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rFonts w:hint="eastAsia"/>
        </w:rPr>
        <w:t xml:space="preserve">算法治理对数字平台生态系统的重构效应</w:t>
      </w:r>
      <w:r>
        <w:br/>
      </w:r>
      <w:r>
        <w:rPr>
          <w:rFonts w:hint="eastAsia"/>
        </w:rPr>
        <w:t xml:space="preserve">——基于微博热搜榜的准自然实验</w:t>
      </w:r>
      <w:r>
        <w:t xml:space="preserve"> </w:t>
      </w:r>
    </w:p>
    <w:p>
      <w:pPr>
        <w:pStyle w:val="FirstParagraph"/>
      </w:pPr>
      <w:r>
        <w:rPr>
          <w:rFonts w:hint="eastAsia"/>
          <w:b/>
          <w:bCs/>
        </w:rPr>
        <w:t xml:space="preserve">摘要：</w:t>
      </w:r>
    </w:p>
    <w:p>
      <w:pPr>
        <w:pStyle w:val="BodyText"/>
      </w:pPr>
      <w:r>
        <w:rPr>
          <w:rFonts w:hint="eastAsia"/>
        </w:rPr>
        <w:t xml:space="preserve">算法推荐系统作为数字平台的核心信息配置机制，在优化用户体验的同时也引发了信息茧房、注意力垄断等公共治理难题。如何在释放算法价值的同时有效规制其负外部性，成为全球数字治理的核心议题。本文利用2024年11月中国清朗行动算法治理政策这一准自然实验，采用断点回归时间序列与双重差分相结合的识别策略，基于微博热搜榜高频数据系统评估算法治理对平台内容生态的重构效应。研究发现，算法治理有效推动了注意力分布的去中心化，瓦解了头部话题的垄断格局；分级分类治理导致社会类内容质量显著提升而娱乐类保持稳定，形成差异化的质量改善路径。然而，在注意力总量守恒的零和约束下，监管对高风险领域的强化治理引发了注意力向低风险领域的系统性转移，呈现典型的</w:t>
      </w:r>
      <w:r>
        <w:rPr>
          <w:rFonts w:hint="eastAsia"/>
        </w:rPr>
        <w:t xml:space="preserve">“水床效应”</w:t>
      </w:r>
      <w:r>
        <w:rPr>
          <w:rFonts w:hint="eastAsia"/>
        </w:rPr>
        <w:t xml:space="preserve">。在密度层面，社会类呈</w:t>
      </w:r>
      <w:r>
        <w:rPr>
          <w:rFonts w:hint="eastAsia"/>
        </w:rPr>
        <w:t xml:space="preserve">“少而精”</w:t>
      </w:r>
      <w:r>
        <w:rPr>
          <w:rFonts w:hint="eastAsia"/>
        </w:rPr>
        <w:t xml:space="preserve">调整，娱乐类呈</w:t>
      </w:r>
      <w:r>
        <w:rPr>
          <w:rFonts w:hint="eastAsia"/>
        </w:rPr>
        <w:t xml:space="preserve">“多且长”</w:t>
      </w:r>
      <w:r>
        <w:rPr>
          <w:rFonts w:hint="eastAsia"/>
        </w:rPr>
        <w:t xml:space="preserve">扩张。本研究揭示了算法治理的复杂效应：多样性提升与质量改善的积极成效，与注意力再分配的非预期后果并存，形成</w:t>
      </w:r>
      <w:r>
        <w:rPr>
          <w:rFonts w:hint="eastAsia"/>
        </w:rPr>
        <w:t xml:space="preserve">“监管初衷”</w:t>
      </w:r>
      <w:r>
        <w:rPr>
          <w:rFonts w:hint="eastAsia"/>
        </w:rPr>
        <w:t xml:space="preserve">与</w:t>
      </w:r>
      <w:r>
        <w:rPr>
          <w:rFonts w:hint="eastAsia"/>
        </w:rPr>
        <w:t xml:space="preserve">“生态演化”</w:t>
      </w:r>
      <w:r>
        <w:rPr>
          <w:rFonts w:hint="eastAsia"/>
        </w:rPr>
        <w:t xml:space="preserve">之间的张力。研究为理解算法治理的系统性后果提供了新的实证证据，对完善分级分类治理体系、探索</w:t>
      </w:r>
      <w:r>
        <w:rPr>
          <w:rFonts w:hint="eastAsia"/>
        </w:rPr>
        <w:t xml:space="preserve">“激励优质内容+动态监测调整+跨平台协同治理”</w:t>
      </w:r>
      <w:r>
        <w:rPr>
          <w:rFonts w:hint="eastAsia"/>
        </w:rPr>
        <w:t xml:space="preserve">的系统性框架具有重要政策启示。</w:t>
      </w:r>
    </w:p>
    <w:p>
      <w:pPr>
        <w:pStyle w:val="BodyText"/>
      </w:pPr>
      <w:r>
        <w:rPr>
          <w:rFonts w:hint="eastAsia"/>
          <w:b/>
          <w:bCs/>
        </w:rPr>
        <w:t xml:space="preserve">关键词：</w:t>
      </w:r>
      <w:r>
        <w:rPr>
          <w:rFonts w:hint="eastAsia"/>
        </w:rPr>
        <w:t xml:space="preserve">算法治理；平台生态系统；注意力经济；断点回归时间序列；水床效应</w:t>
      </w:r>
    </w:p>
    <w:p>
      <w:pPr>
        <w:pStyle w:val="BodyText"/>
      </w:pPr>
      <w:r>
        <w:rPr>
          <w:rFonts w:hint="eastAsia"/>
        </w:rPr>
        <w:t xml:space="preserve">JEL分类号：D83；L51；L86</w:t>
      </w:r>
    </w:p>
    <w:p>
      <w:pPr>
        <w:pStyle w:val="BodyText"/>
      </w:pPr>
      <w:r>
        <w:rPr>
          <w:b/>
          <w:bCs/>
        </w:rPr>
        <w:t xml:space="preserve">Abstract:</w:t>
      </w:r>
    </w:p>
    <w:p>
      <w:pPr>
        <w:pStyle w:val="BodyText"/>
      </w:pPr>
      <w:r>
        <w:t xml:space="preserve">As the core information allocation mechanism of digital platforms, algorithmic recommendation systems optimize user experience while also triggering public governance challenges such as information cocoons and attention monopolization. How to effectively regulate the negative externalities of algorithms while unleashing their value has become a central issue in global digital governance. This study leverages the quasi-natural experiment of China’s Qinglang Action algorithm governance policy implemented in November 2024, employing an identification strategy combining interrupted time series (ITS) with difference-in-differences (DID). Based on high-frequency data from Weibo’s trending list, we systematically evaluate the restructuring effects of algorithm governance on platform content ecosystems.</w:t>
      </w:r>
    </w:p>
    <w:p>
      <w:pPr>
        <w:pStyle w:val="BodyText"/>
      </w:pPr>
      <w:r>
        <w:t xml:space="preserve">We find that algorithm governance effectively promotes the decentralization of attention distribution, dismantling the monopoly pattern of head topics. Risk-based tiered governance leads to significant quality improvement in social content while entertainment content remains stable, forming differentiated quality improvement pathways. However, under zero-sum attention constraints where total attention is conserved, intensified regulation of high-risk domains triggers systematic attention transfer toward low-risk domains, exhibiting a pronounced</w:t>
      </w:r>
      <w:r>
        <w:t xml:space="preserve"> </w:t>
      </w:r>
      <w:r>
        <w:t xml:space="preserve">“waterbed effect.”</w:t>
      </w:r>
      <w:r>
        <w:t xml:space="preserve"> </w:t>
      </w:r>
      <w:r>
        <w:t xml:space="preserve">At the density level, social content shows a</w:t>
      </w:r>
      <w:r>
        <w:t xml:space="preserve"> </w:t>
      </w:r>
      <w:r>
        <w:t xml:space="preserve">“fewer but refined”</w:t>
      </w:r>
      <w:r>
        <w:t xml:space="preserve"> </w:t>
      </w:r>
      <w:r>
        <w:t xml:space="preserve">adjustment, while entertainment content shows</w:t>
      </w:r>
      <w:r>
        <w:t xml:space="preserve"> </w:t>
      </w:r>
      <w:r>
        <w:t xml:space="preserve">“more and prolonged”</w:t>
      </w:r>
      <w:r>
        <w:t xml:space="preserve"> </w:t>
      </w:r>
      <w:r>
        <w:t xml:space="preserve">expansion. This study reveals the complex effects of algorithm governance: positive outcomes of diversity enhancement and quality improvement coexist with unintended consequences of attention reallocation, creating tension between</w:t>
      </w:r>
      <w:r>
        <w:t xml:space="preserve"> </w:t>
      </w:r>
      <w:r>
        <w:t xml:space="preserve">“regulatory intent”</w:t>
      </w:r>
      <w:r>
        <w:t xml:space="preserve"> </w:t>
      </w:r>
      <w:r>
        <w:t xml:space="preserve">and</w:t>
      </w:r>
      <w:r>
        <w:t xml:space="preserve"> </w:t>
      </w:r>
      <w:r>
        <w:t xml:space="preserve">“ecosystem evolution.”</w:t>
      </w:r>
      <w:r>
        <w:t xml:space="preserve"> </w:t>
      </w:r>
      <w:r>
        <w:t xml:space="preserve">The research provides new empirical evidence for understanding the systemic consequences of algorithm governance and offers important policy implications for improving tiered governance systems and exploring a systematic framework of</w:t>
      </w:r>
      <w:r>
        <w:t xml:space="preserve"> </w:t>
      </w:r>
      <w:r>
        <w:t xml:space="preserve">“incentivizing quality content + dynamic monitoring and adjustment + cross-platform coordinated governance.”</w:t>
      </w:r>
    </w:p>
    <w:p>
      <w:pPr>
        <w:pStyle w:val="BodyText"/>
      </w:pPr>
      <w:r>
        <w:rPr>
          <w:b/>
          <w:bCs/>
        </w:rPr>
        <w:t xml:space="preserve">Keywords:</w:t>
      </w:r>
      <w:r>
        <w:t xml:space="preserve"> </w:t>
      </w:r>
      <w:r>
        <w:t xml:space="preserve">Algorithm governance; Platform ecosystems; Attention economy; Interrupted time series; Waterbed effect</w:t>
      </w:r>
    </w:p>
    <w:p>
      <w:pPr>
        <w:pStyle w:val="BodyText"/>
      </w:pPr>
      <w:r>
        <w:t xml:space="preserve">JEL Classification: D83; L51; L86</w:t>
      </w:r>
    </w:p>
    <w:bookmarkStart w:id="9" w:name="引言"/>
    <w:p>
      <w:pPr>
        <w:pStyle w:val="Heading1"/>
      </w:pPr>
      <w:r>
        <w:rPr>
          <w:rFonts w:hint="eastAsia"/>
        </w:rPr>
        <w:t xml:space="preserve">引言</w:t>
      </w:r>
    </w:p>
    <w:p>
      <w:pPr>
        <w:pStyle w:val="FirstParagraph"/>
      </w:pPr>
      <w:r>
        <w:rPr>
          <w:rFonts w:hint="eastAsia"/>
        </w:rPr>
        <w:t xml:space="preserve">数字平台已成为信息传播、社会互动和经济活动的核心基础设施。作为平台生态系统的</w:t>
      </w:r>
      <w:r>
        <w:rPr>
          <w:rFonts w:hint="eastAsia"/>
        </w:rPr>
        <w:t xml:space="preserve">“神经中枢”</w:t>
      </w:r>
      <w:r>
        <w:t xml:space="preserve">(Jacobides et al. 2018)</w:t>
      </w:r>
      <w:r>
        <w:rPr>
          <w:rFonts w:hint="eastAsia"/>
        </w:rPr>
        <w:t xml:space="preserve">，算法推荐系统在优化用户体验、提升商业价值的同时，也在深刻塑造着公共信息环境。当算法推荐逐渐成为亿万用户获取信息的</w:t>
      </w:r>
      <w:r>
        <w:rPr>
          <w:rFonts w:hint="eastAsia"/>
        </w:rPr>
        <w:t xml:space="preserve">“把关人”</w:t>
      </w:r>
      <w:r>
        <w:t xml:space="preserve">(Gorwa et al. 2020)</w:t>
      </w:r>
      <w:r>
        <w:rPr>
          <w:rFonts w:hint="eastAsia"/>
        </w:rPr>
        <w:t xml:space="preserve">，其带来的信息茧房、注意力垄断、内容低质化等问题日益凸显。平台算法通过个性化推荐强化用户既有偏好，可能导致</w:t>
      </w:r>
      <w:r>
        <w:rPr>
          <w:rFonts w:hint="eastAsia"/>
        </w:rPr>
        <w:t xml:space="preserve">“过滤气泡”</w:t>
      </w:r>
      <w:r>
        <w:rPr>
          <w:rFonts w:hint="eastAsia"/>
        </w:rPr>
        <w:t xml:space="preserve">效应</w:t>
      </w:r>
      <w:r>
        <w:t xml:space="preserve">(Pariser 2011)</w:t>
      </w:r>
      <w:r>
        <w:rPr>
          <w:rFonts w:hint="eastAsia"/>
        </w:rPr>
        <w:t xml:space="preserve">；头部内容凭借算法加权获得不成比例的曝光，形成</w:t>
      </w:r>
      <w:r>
        <w:rPr>
          <w:rFonts w:hint="eastAsia"/>
        </w:rPr>
        <w:t xml:space="preserve">“赢者通吃”</w:t>
      </w:r>
      <w:r>
        <w:rPr>
          <w:rFonts w:hint="eastAsia"/>
        </w:rPr>
        <w:t xml:space="preserve">的马太效应</w:t>
      </w:r>
      <w:r>
        <w:t xml:space="preserve">(Hindman 2018)</w:t>
      </w:r>
      <w:r>
        <w:rPr>
          <w:rFonts w:hint="eastAsia"/>
        </w:rPr>
        <w:t xml:space="preserve">；为追求点击率最大化，诱导性标题（clickbait）泛滥，信息质量持续下滑</w:t>
      </w:r>
      <w:r>
        <w:t xml:space="preserve">(Chen et al. 2015)</w:t>
      </w:r>
      <w:r>
        <w:rPr>
          <w:rFonts w:hint="eastAsia"/>
        </w:rPr>
        <w:t xml:space="preserve">。如何有效治理算法推荐系统，已成为全球数字治理的核心议题。</w:t>
      </w:r>
    </w:p>
    <w:p>
      <w:pPr>
        <w:pStyle w:val="BodyText"/>
      </w:pPr>
      <w:r>
        <w:rPr>
          <w:rFonts w:hint="eastAsia"/>
        </w:rPr>
        <w:t xml:space="preserve">面对算法推荐带来的系统性挑战，各国监管机构纷纷探索治理路径。欧盟《数字服务法》（DSA）要求大型平台披露算法推荐逻辑并提供</w:t>
      </w:r>
      <w:r>
        <w:rPr>
          <w:rFonts w:hint="eastAsia"/>
        </w:rPr>
        <w:t xml:space="preserve">“无算法”</w:t>
      </w:r>
      <w:r>
        <w:rPr>
          <w:rFonts w:hint="eastAsia"/>
        </w:rPr>
        <w:t xml:space="preserve">选项；美国学界和政策界围绕《算法问责法案》展开激烈讨论；中国在算法治理领域走在世界前列，《互联网信息服务算法推荐管理规定》（2022年）和《生成式人工智能服务管理暂行办法》（2023年）构建了全球最为系统的算法监管框架</w:t>
      </w:r>
      <w:r>
        <w:t xml:space="preserve">(Creemers 2022)</w:t>
      </w:r>
      <w:r>
        <w:rPr>
          <w:rFonts w:hint="eastAsia"/>
        </w:rPr>
        <w:t xml:space="preserve">。2024年11月12日，国家网信办启动新一轮清朗行动，聚焦算法推荐治理，发布《算法推荐服务专项治理清单指引》，明确27项核验标准，要求各大平台</w:t>
      </w:r>
      <w:r>
        <w:rPr>
          <w:rFonts w:hint="eastAsia"/>
        </w:rPr>
        <w:t xml:space="preserve">“不得利用算法操纵热点话题”</w:t>
      </w:r>
      <w:r>
        <w:t xml:space="preserve">、</w:t>
      </w:r>
      <w:r>
        <w:rPr>
          <w:rFonts w:hint="eastAsia"/>
        </w:rPr>
        <w:t xml:space="preserve">“保障信息内容多样性”</w:t>
      </w:r>
      <w:r>
        <w:t xml:space="preserve">、</w:t>
      </w:r>
      <w:r>
        <w:rPr>
          <w:rFonts w:hint="eastAsia"/>
        </w:rPr>
        <w:t xml:space="preserve">“降低低俗内容权重”</w:t>
      </w:r>
      <w:r>
        <w:rPr>
          <w:rFonts w:hint="eastAsia"/>
        </w:rPr>
        <w:t xml:space="preserve">，并强化分级分类管理，对社会类等高风险内容实施更严格的审核机制。这一政策冲击为学术界提供了难得的准自然实验场景，引发了本文关注的核心现实问题：当外部监管力量介入平台算法系统，内容生态将如何响应？监管目标能否实现？是否会产生非预期后果？</w:t>
      </w:r>
    </w:p>
    <w:p>
      <w:pPr>
        <w:pStyle w:val="BodyText"/>
      </w:pPr>
      <w:r>
        <w:rPr>
          <w:rFonts w:hint="eastAsia"/>
        </w:rPr>
        <w:t xml:space="preserve">现有文献在理论层面存在两个关键缺口，制约了对上述问题的系统性回答。第一，缺乏统一的理论框架解释监管引发的多维效应。尽管平台治理研究已积累丰富成果——涵盖平台生态系统理论</w:t>
      </w:r>
      <w:r>
        <w:t xml:space="preserve">(Tiwana et al. 2010)</w:t>
      </w:r>
      <w:r>
        <w:rPr>
          <w:rFonts w:hint="eastAsia"/>
        </w:rPr>
        <w:t xml:space="preserve">、平台边界资源管理</w:t>
      </w:r>
      <w:r>
        <w:t xml:space="preserve">(Ghazawneh and Henfridsson 2013)</w:t>
      </w:r>
      <w:r>
        <w:rPr>
          <w:rFonts w:hint="eastAsia"/>
        </w:rPr>
        <w:t xml:space="preserve">、多边市场治理</w:t>
      </w:r>
      <w:r>
        <w:t xml:space="preserve">(Huber et al. 2013; Parker and Van Alstyne 2018)</w:t>
      </w:r>
      <w:r>
        <w:rPr>
          <w:rFonts w:hint="eastAsia"/>
        </w:rPr>
        <w:t xml:space="preserve">等多个分支——但既有研究多聚焦于单一治理目标（如内容质量或多样性），缺乏将多元治理效应纳入统一分析框架的理论尝试。特别是，算法治理如何同时影响内容质量、注意力分布和生态结构，这些效应之间存在何种内在关联，现有研究尚未提供系统性解释。第二，忽视了监管的非预期后果与目标冲突。注意力是数字平台最核心的稀缺资源</w:t>
      </w:r>
      <w:r>
        <w:t xml:space="preserve">(Davenport and Beck 2001; Webster 2014)</w:t>
      </w:r>
      <w:r>
        <w:rPr>
          <w:rFonts w:hint="eastAsia"/>
        </w:rPr>
        <w:t xml:space="preserve">，用户的总注意力预算在短期内近似固定，形成典型的零和博弈格局。在此约束下，对某一内容类型的监管强化可能引发注意力在不同类型间的系统性再分配。然而，现有算法治理文献</w:t>
      </w:r>
      <w:r>
        <w:t xml:space="preserve">(Gritsenko and Wood 2022; Ulbricht and Yeung 2022)</w:t>
      </w:r>
      <w:r>
        <w:rPr>
          <w:rFonts w:hint="eastAsia"/>
        </w:rPr>
        <w:t xml:space="preserve">多停留在规范性讨论，缺乏对监管溢出效应的理论刻画。这引出了本文关注的核心理论问题：在资源约束条件下，对高风险内容的监管强化是否会触发平台的资源再配置行为，进而产生</w:t>
      </w:r>
      <w:r>
        <w:rPr>
          <w:rFonts w:hint="eastAsia"/>
        </w:rPr>
        <w:t xml:space="preserve">“按下葫芦浮起瓢”</w:t>
      </w:r>
      <w:r>
        <w:rPr>
          <w:rFonts w:hint="eastAsia"/>
        </w:rPr>
        <w:t xml:space="preserve">的水床效应？实证层面同样面临挑战。由于算法系统的</w:t>
      </w:r>
      <w:r>
        <w:rPr>
          <w:rFonts w:hint="eastAsia"/>
        </w:rPr>
        <w:t xml:space="preserve">“黑箱”</w:t>
      </w:r>
      <w:r>
        <w:rPr>
          <w:rFonts w:hint="eastAsia"/>
        </w:rPr>
        <w:t xml:space="preserve">特性和高频政策调整，学界难以获得清晰的政策断点和高质量数据，导致算法治理效果的因果识别研究极为稀缺</w:t>
      </w:r>
      <w:r>
        <w:t xml:space="preserve">(Jhaver et al. 2019)</w:t>
      </w:r>
      <w:r>
        <w:t xml:space="preserve">。</w:t>
      </w:r>
    </w:p>
    <w:p>
      <w:pPr>
        <w:pStyle w:val="BodyText"/>
      </w:pPr>
      <w:r>
        <w:rPr>
          <w:rFonts w:hint="eastAsia"/>
        </w:rPr>
        <w:t xml:space="preserve">本文聚焦2024年11月清朗行动算法推荐治理这一准自然实验，以微博热搜榜为研究对象。在数据层面，本文构建了覆盖政策实施前后的高频面板数据集，为因果识别提供了充分的时间窗口。在方法层面，采用断点回归时间序列（ITS）识别主效应，辅以双重差分（DID）进行稳健性检验。在理论层面，本文构建了基于资源依赖理论的统一分析框架，将用户注意力视为平台依赖的核心稀缺资源，系统分析算法治理如何通过改变不同内容类型的资源获取成本，触发平台的资源再配置行为。研究发现，算法治理引发了内容生态的多维重构：内容质量呈现分化趋势，高风险内容质量显著提升而低风险内容保持稳定；注意力分布趋于去中心化，头部垄断格局被打破；在注意力总量守恒的零和约束下，社会类内容份额收缩、娱乐类份额扩张，呈现</w:t>
      </w:r>
      <w:r>
        <w:rPr>
          <w:rFonts w:hint="eastAsia"/>
        </w:rPr>
        <w:t xml:space="preserve">“水床效应”</w:t>
      </w:r>
      <w:r>
        <w:rPr>
          <w:rFonts w:hint="eastAsia"/>
        </w:rPr>
        <w:t xml:space="preserve">；不同类型内容的调整路径分化，社会类</w:t>
      </w:r>
      <w:r>
        <w:rPr>
          <w:rFonts w:hint="eastAsia"/>
        </w:rPr>
        <w:t xml:space="preserve">“少而精”</w:t>
      </w:r>
      <w:r>
        <w:rPr>
          <w:rFonts w:hint="eastAsia"/>
        </w:rPr>
        <w:t xml:space="preserve">、娱乐类</w:t>
      </w:r>
      <w:r>
        <w:rPr>
          <w:rFonts w:hint="eastAsia"/>
        </w:rPr>
        <w:t xml:space="preserve">“多且长”</w:t>
      </w:r>
      <w:r>
        <w:t xml:space="preserve">。</w:t>
      </w:r>
    </w:p>
    <w:p>
      <w:pPr>
        <w:pStyle w:val="BodyText"/>
      </w:pPr>
      <w:r>
        <w:rPr>
          <w:rFonts w:hint="eastAsia"/>
        </w:rPr>
        <w:t xml:space="preserve">本文的贡献主要体现在三个方面。第一，理论贡献在于构建了基于资源依赖理论的算法治理分析框架。既有研究多聚焦于单一治理目标，缺乏将多元效应纳入统一框架的尝试。本文将注意力作为核心稀缺资源，从资源获取成本与约束条件的双重视角解释监管如何触发平台的系统性响应，提出</w:t>
      </w:r>
      <w:r>
        <w:rPr>
          <w:rFonts w:hint="eastAsia"/>
        </w:rPr>
        <w:t xml:space="preserve">“水床效应”</w:t>
      </w:r>
      <w:r>
        <w:rPr>
          <w:rFonts w:hint="eastAsia"/>
        </w:rPr>
        <w:t xml:space="preserve">机制揭示了监管在注意力总量守恒约束下的间接传导路径，拓展了平台治理的理论边界。第二，实证贡献在于利用准自然实验提供了算法治理因果效应的可信估计。由于算法系统的</w:t>
      </w:r>
      <w:r>
        <w:rPr>
          <w:rFonts w:hint="eastAsia"/>
        </w:rPr>
        <w:t xml:space="preserve">“黑箱”</w:t>
      </w:r>
      <w:r>
        <w:rPr>
          <w:rFonts w:hint="eastAsia"/>
        </w:rPr>
        <w:t xml:space="preserve">特性和数据可得性限制，算法治理的因果识别研究极为稀缺，本文通过清晰的政策断点和高频数据为政策评估文献增添了中国证据。第三，政策贡献在于揭示了算法治理中多元目标的潜在张力。研究发现，质量提升与多样性改善的同时，可能伴随公共议题曝光度的结构性下降，提示监管部门需要在治理框架中纳入</w:t>
      </w:r>
      <w:r>
        <w:rPr>
          <w:rFonts w:hint="eastAsia"/>
        </w:rPr>
        <w:t xml:space="preserve">“跨类别溢出效应”</w:t>
      </w:r>
      <w:r>
        <w:rPr>
          <w:rFonts w:hint="eastAsia"/>
        </w:rPr>
        <w:t xml:space="preserve">的系统考量，建立更加精细化的分类治理策略。</w:t>
      </w:r>
    </w:p>
    <w:p>
      <w:pPr>
        <w:pStyle w:val="BodyText"/>
      </w:pPr>
      <w:r>
        <w:rPr>
          <w:rFonts w:hint="eastAsia"/>
        </w:rPr>
        <w:t xml:space="preserve">本文的结构安排如下：第二部分梳理相关文献并构建理论框架，推导研究假说；第三部分介绍研究设计和数据来源；第四部分报告实证结果及稳健性检验；第五部分讨论研究发现的理论含义和政策启示。</w:t>
      </w:r>
    </w:p>
    <w:bookmarkEnd w:id="9"/>
    <w:bookmarkStart w:id="26" w:name="文献回顾与研究假设"/>
    <w:p>
      <w:pPr>
        <w:pStyle w:val="Heading1"/>
      </w:pPr>
      <w:r>
        <w:rPr>
          <w:rFonts w:hint="eastAsia"/>
        </w:rPr>
        <w:t xml:space="preserve">文献回顾与研究假设</w:t>
      </w:r>
    </w:p>
    <w:bookmarkStart w:id="14" w:name="文献回顾"/>
    <w:p>
      <w:pPr>
        <w:pStyle w:val="Heading2"/>
      </w:pPr>
      <w:r>
        <w:rPr>
          <w:rFonts w:hint="eastAsia"/>
        </w:rPr>
        <w:t xml:space="preserve">文献回顾</w:t>
      </w:r>
    </w:p>
    <w:bookmarkStart w:id="10" w:name="平台治理与算法监管"/>
    <w:p>
      <w:pPr>
        <w:pStyle w:val="Heading3"/>
      </w:pPr>
      <w:r>
        <w:rPr>
          <w:rFonts w:hint="eastAsia"/>
        </w:rPr>
        <w:t xml:space="preserve">平台治理与算法监管</w:t>
      </w:r>
    </w:p>
    <w:p>
      <w:pPr>
        <w:pStyle w:val="FirstParagraph"/>
      </w:pPr>
      <w:r>
        <w:rPr>
          <w:rFonts w:hint="eastAsia"/>
        </w:rPr>
        <w:t xml:space="preserve">数字平台治理研究经历了从技术视角向制度视角的范式转换。早期研究聚焦于平台作为</w:t>
      </w:r>
      <w:r>
        <w:rPr>
          <w:rFonts w:hint="eastAsia"/>
        </w:rPr>
        <w:t xml:space="preserve">“双边市场”</w:t>
      </w:r>
      <w:r>
        <w:rPr>
          <w:rFonts w:hint="eastAsia"/>
        </w:rPr>
        <w:t xml:space="preserve">的经济属性</w:t>
      </w:r>
      <w:r>
        <w:t xml:space="preserve">(Rochet and Tirole 2003; Armstrong 2006)</w:t>
      </w:r>
      <w:r>
        <w:rPr>
          <w:rFonts w:hint="eastAsia"/>
        </w:rPr>
        <w:t xml:space="preserve">，强调网络效应、定价策略与市场竞争。随着平台规模的扩大与社会影响的深化，学者开始关注平台的治理维度。</w:t>
      </w:r>
      <w:r>
        <w:t xml:space="preserve">Tiwana et al. (2010)</w:t>
      </w:r>
      <w:r>
        <w:rPr>
          <w:rFonts w:hint="eastAsia"/>
        </w:rPr>
        <w:t xml:space="preserve">提出平台生态系统理论，将平台视为由核心架构与互补者构成的共生系统，治理的核心在于协调多方利益、维护生态健康。</w:t>
      </w:r>
      <w:r>
        <w:t xml:space="preserve">Ghazawneh and Henfridsson (2013)</w:t>
      </w:r>
      <w:r>
        <w:rPr>
          <w:rFonts w:hint="eastAsia"/>
        </w:rPr>
        <w:t xml:space="preserve">进一步提出边界资源概念，分析平台如何通过API、规则与激励机制管理开发者行为。</w:t>
      </w:r>
      <w:r>
        <w:t xml:space="preserve">Parker and Van Alstyne (2018)</w:t>
      </w:r>
      <w:r>
        <w:rPr>
          <w:rFonts w:hint="eastAsia"/>
        </w:rPr>
        <w:t xml:space="preserve">则从网络效应视角系统阐述了平台治理的独特逻辑，指出平台需要同时管理供给端（内容生产者）与需求端（用户），任何治理干预都可能产生跨边溢出效应。</w:t>
      </w:r>
      <w:r>
        <w:t xml:space="preserve">Jacobides et al. (2018)</w:t>
      </w:r>
      <w:r>
        <w:rPr>
          <w:rFonts w:hint="eastAsia"/>
        </w:rPr>
        <w:t xml:space="preserve">从生态系统视角分析了平台企业的治理逻辑与价值创造范式，</w:t>
      </w:r>
      <w:r>
        <w:t xml:space="preserve">Huber et al. (2013)</w:t>
      </w:r>
      <w:r>
        <w:rPr>
          <w:rFonts w:hint="eastAsia"/>
        </w:rPr>
        <w:t xml:space="preserve">进一步系统梳理了平台监管中契约治理与关系治理的互补与替代机制。焦豪</w:t>
      </w:r>
      <w:r>
        <w:t xml:space="preserve">(2023)</w:t>
      </w:r>
      <w:r>
        <w:rPr>
          <w:rFonts w:hint="eastAsia"/>
        </w:rPr>
        <w:t xml:space="preserve">提出</w:t>
      </w:r>
      <w:r>
        <w:rPr>
          <w:rFonts w:hint="eastAsia"/>
        </w:rPr>
        <w:t xml:space="preserve">“数字平台生态观”</w:t>
      </w:r>
      <w:r>
        <w:rPr>
          <w:rFonts w:hint="eastAsia"/>
        </w:rPr>
        <w:t xml:space="preserve">这一理论新视角，强调数字经济时代企业需要建立与自身资源相匹配的数字平台，通过与利益相关者共同创造价值形成持续竞争优势。</w:t>
      </w:r>
    </w:p>
    <w:p>
      <w:pPr>
        <w:pStyle w:val="BodyText"/>
      </w:pPr>
      <w:r>
        <w:rPr>
          <w:rFonts w:hint="eastAsia"/>
        </w:rPr>
        <w:t xml:space="preserve">算法推荐系统的治理构成平台治理的新兴分支。算法作为平台的</w:t>
      </w:r>
      <w:r>
        <w:rPr>
          <w:rFonts w:hint="eastAsia"/>
        </w:rPr>
        <w:t xml:space="preserve">“隐性架构”</w:t>
      </w:r>
      <w:r>
        <w:t xml:space="preserve">(Gillespie 2014)</w:t>
      </w:r>
      <w:r>
        <w:rPr>
          <w:rFonts w:hint="eastAsia"/>
        </w:rPr>
        <w:t xml:space="preserve">，通过个性化推荐深度介入用户的信息获取过程，成为事实上的</w:t>
      </w:r>
      <w:r>
        <w:rPr>
          <w:rFonts w:hint="eastAsia"/>
        </w:rPr>
        <w:t xml:space="preserve">“信息把关人”</w:t>
      </w:r>
      <w:r>
        <w:t xml:space="preserve">(Gorwa et al. 2020)</w:t>
      </w:r>
      <w:r>
        <w:t xml:space="preserve">。</w:t>
      </w:r>
      <w:r>
        <w:t xml:space="preserve">Bucher (2018)</w:t>
      </w:r>
      <w:r>
        <w:rPr>
          <w:rFonts w:hint="eastAsia"/>
        </w:rPr>
        <w:t xml:space="preserve">指出，算法权力体现在其</w:t>
      </w:r>
      <w:r>
        <w:rPr>
          <w:rFonts w:hint="eastAsia"/>
        </w:rPr>
        <w:t xml:space="preserve">“可供性”</w:t>
      </w:r>
      <w:r>
        <w:rPr>
          <w:rFonts w:hint="eastAsia"/>
        </w:rPr>
        <w:t xml:space="preserve">（affordance），算法不仅反映用户偏好，更主动塑造用户行为。这一视角在后续研究中得到进一步拓展，</w:t>
      </w:r>
      <w:r>
        <w:t xml:space="preserve">Gillespie (2018)</w:t>
      </w:r>
      <w:r>
        <w:rPr>
          <w:rFonts w:hint="eastAsia"/>
        </w:rPr>
        <w:t xml:space="preserve">系统分析了平台作为</w:t>
      </w:r>
      <w:r>
        <w:rPr>
          <w:rFonts w:hint="eastAsia"/>
        </w:rPr>
        <w:t xml:space="preserve">“互联网守门人”</w:t>
      </w:r>
      <w:r>
        <w:rPr>
          <w:rFonts w:hint="eastAsia"/>
        </w:rPr>
        <w:t xml:space="preserve">的角色演变，强调算法已成为重构信息流通逻辑的核心力量；</w:t>
      </w:r>
      <w:r>
        <w:t xml:space="preserve">Katyal (2019)</w:t>
      </w:r>
      <w:r>
        <w:rPr>
          <w:rFonts w:hint="eastAsia"/>
        </w:rPr>
        <w:t xml:space="preserve">则从法律视角分析了人工智能时代私人问责的边界问题。这一双向互动使得算法治理面临独特挑战：监管者既要约束算法的负面效应，又要避免过度干预导致系统效率损失</w:t>
      </w:r>
      <w:r>
        <w:t xml:space="preserve">(Yeung 2018)</w:t>
      </w:r>
      <w:r>
        <w:t xml:space="preserve">。</w:t>
      </w:r>
    </w:p>
    <w:p>
      <w:pPr>
        <w:pStyle w:val="BodyText"/>
      </w:pPr>
      <w:r>
        <w:rPr>
          <w:rFonts w:hint="eastAsia"/>
        </w:rPr>
        <w:t xml:space="preserve">方法论层面，算法审计（algorithm</w:t>
      </w:r>
      <w:r>
        <w:t xml:space="preserve"> </w:t>
      </w:r>
      <w:r>
        <w:rPr>
          <w:rFonts w:hint="eastAsia"/>
        </w:rPr>
        <w:t xml:space="preserve">audit）为理解算法行为提供了实证工具。</w:t>
      </w:r>
      <w:r>
        <w:t xml:space="preserve">Sandvig et al. (2014)</w:t>
      </w:r>
      <w:r>
        <w:rPr>
          <w:rFonts w:hint="eastAsia"/>
        </w:rPr>
        <w:t xml:space="preserve">系统梳理了算法审计的研究方法，提出了检测互联网平台歧视行为的实证框架；</w:t>
      </w:r>
      <w:r>
        <w:t xml:space="preserve">Diakopoulos (2016)</w:t>
      </w:r>
      <w:r>
        <w:rPr>
          <w:rFonts w:hint="eastAsia"/>
        </w:rPr>
        <w:t xml:space="preserve">进一步将算法问责的理念应用于新闻推荐领域，发现算法推荐存在显著的议题设置效应。国内学者亦对算法审计方法进行了本土化探索，师文和陈昌凤</w:t>
      </w:r>
      <w:r>
        <w:t xml:space="preserve">(2023)</w:t>
      </w:r>
      <w:r>
        <w:rPr>
          <w:rFonts w:hint="eastAsia"/>
        </w:rPr>
        <w:t xml:space="preserve">基于计算实验方法系统审计了国内主流平台算法的</w:t>
      </w:r>
      <w:r>
        <w:rPr>
          <w:rFonts w:hint="eastAsia"/>
        </w:rPr>
        <w:t xml:space="preserve">“主流化”</w:t>
      </w:r>
      <w:r>
        <w:rPr>
          <w:rFonts w:hint="eastAsia"/>
        </w:rPr>
        <w:t xml:space="preserve">偏向与</w:t>
      </w:r>
      <w:r>
        <w:rPr>
          <w:rFonts w:hint="eastAsia"/>
        </w:rPr>
        <w:t xml:space="preserve">“个性化”</w:t>
      </w:r>
      <w:r>
        <w:rPr>
          <w:rFonts w:hint="eastAsia"/>
        </w:rPr>
        <w:t xml:space="preserve">特质，为理解中国情境下的算法行为提供了实证基础。这些研究为本文的实证设计提供了方法论参考。</w:t>
      </w:r>
    </w:p>
    <w:p>
      <w:pPr>
        <w:pStyle w:val="BodyText"/>
      </w:pPr>
      <w:r>
        <w:rPr>
          <w:rFonts w:hint="eastAsia"/>
        </w:rPr>
        <w:t xml:space="preserve">全球范围内，算法治理呈现差异化路径。欧盟采取</w:t>
      </w:r>
      <w:r>
        <w:rPr>
          <w:rFonts w:hint="eastAsia"/>
        </w:rPr>
        <w:t xml:space="preserve">“透明度+问责”</w:t>
      </w:r>
      <w:r>
        <w:rPr>
          <w:rFonts w:hint="eastAsia"/>
        </w:rPr>
        <w:t xml:space="preserve">模式，《通用数据保护条例》（GDPR）赋予用户</w:t>
      </w:r>
      <w:r>
        <w:rPr>
          <w:rFonts w:hint="eastAsia"/>
        </w:rPr>
        <w:t xml:space="preserve">“解释权”</w:t>
      </w:r>
      <w:r>
        <w:rPr>
          <w:rFonts w:hint="eastAsia"/>
        </w:rPr>
        <w:t xml:space="preserve">，《数字服务法》（DSA）要求平台披露推荐逻辑并接受第三方审计</w:t>
      </w:r>
      <w:r>
        <w:t xml:space="preserve">(Renda 2023)</w:t>
      </w:r>
      <w:r>
        <w:rPr>
          <w:rFonts w:hint="eastAsia"/>
        </w:rPr>
        <w:t xml:space="preserve">。美国延续</w:t>
      </w:r>
      <w:r>
        <w:rPr>
          <w:rFonts w:hint="eastAsia"/>
        </w:rPr>
        <w:t xml:space="preserve">“自律为主”</w:t>
      </w:r>
      <w:r>
        <w:rPr>
          <w:rFonts w:hint="eastAsia"/>
        </w:rPr>
        <w:t xml:space="preserve">传统，但围绕《算法问责法案》的讨论日趋激烈</w:t>
      </w:r>
      <w:r>
        <w:t xml:space="preserve">(Katyal 2019)</w:t>
      </w:r>
      <w:r>
        <w:rPr>
          <w:rFonts w:hint="eastAsia"/>
        </w:rPr>
        <w:t xml:space="preserve">。李三希等</w:t>
      </w:r>
      <w:r>
        <w:t xml:space="preserve">(2023)</w:t>
      </w:r>
      <w:r>
        <w:rPr>
          <w:rFonts w:hint="eastAsia"/>
        </w:rPr>
        <w:t xml:space="preserve">从产业组织视角考察了市场竞争对企业数据行为的影响，发现竞争能够有效约束企业过度收集消费者信息的动机，这为理解数据治理的市场化路径提供了理论基础。中国构建了全球最为系统的算法监管框架：2021年《互联网信息服务算法推荐管理规定》确立分级分类原则，2023年《生成式人工智能服务管理暂行办法》将监管延伸至大模型领域</w:t>
      </w:r>
      <w:r>
        <w:t xml:space="preserve">(Creemers 2022)</w:t>
      </w:r>
      <w:r>
        <w:t xml:space="preserve">。</w:t>
      </w:r>
      <w:r>
        <w:t xml:space="preserve">Ulbricht and Yeung (2022)</w:t>
      </w:r>
      <w:r>
        <w:rPr>
          <w:rFonts w:hint="eastAsia"/>
        </w:rPr>
        <w:t xml:space="preserve">指出，算法监管已成为全球治理的成熟议题，各国在透明度、问责与风险分级等维度形成了差异化的制度路径。2024年</w:t>
      </w:r>
      <w:r>
        <w:rPr>
          <w:rFonts w:hint="eastAsia"/>
        </w:rPr>
        <w:t xml:space="preserve">“清朗行动”</w:t>
      </w:r>
      <w:r>
        <w:rPr>
          <w:rFonts w:hint="eastAsia"/>
        </w:rPr>
        <w:t xml:space="preserve">算法专项治理则以27项核验标准推动规则落地，体现了</w:t>
      </w:r>
      <w:r>
        <w:rPr>
          <w:rFonts w:hint="eastAsia"/>
        </w:rPr>
        <w:t xml:space="preserve">“风险分级+协同治理”</w:t>
      </w:r>
      <w:r>
        <w:rPr>
          <w:rFonts w:hint="eastAsia"/>
        </w:rPr>
        <w:t xml:space="preserve">的制度逻辑</w:t>
      </w:r>
      <w:r>
        <w:t xml:space="preserve">(Gritsenko and Wood 2022)</w:t>
      </w:r>
      <w:r>
        <w:rPr>
          <w:rFonts w:hint="eastAsia"/>
        </w:rPr>
        <w:t xml:space="preserve">。这一制度演进为本文提供了清晰的政策断点。</w:t>
      </w:r>
    </w:p>
    <w:bookmarkEnd w:id="10"/>
    <w:bookmarkStart w:id="11" w:name="注意力经济与信息分配"/>
    <w:p>
      <w:pPr>
        <w:pStyle w:val="Heading3"/>
      </w:pPr>
      <w:r>
        <w:rPr>
          <w:rFonts w:hint="eastAsia"/>
        </w:rPr>
        <w:t xml:space="preserve">注意力经济与信息分配</w:t>
      </w:r>
    </w:p>
    <w:p>
      <w:pPr>
        <w:pStyle w:val="FirstParagraph"/>
      </w:pPr>
      <w:r>
        <w:rPr>
          <w:rFonts w:hint="eastAsia"/>
        </w:rPr>
        <w:t xml:space="preserve">注意力经济理论为理解平台内容生态提供了资源视角。</w:t>
      </w:r>
      <w:r>
        <w:t xml:space="preserve">Simon (1971)</w:t>
      </w:r>
      <w:r>
        <w:rPr>
          <w:rFonts w:hint="eastAsia"/>
        </w:rPr>
        <w:t xml:space="preserve">最早指出，在信息过载时代，稀缺的不是信息本身而是处理信息的注意力。</w:t>
      </w:r>
      <w:r>
        <w:t xml:space="preserve">Davenport and Beck (2001)</w:t>
      </w:r>
      <w:r>
        <w:rPr>
          <w:rFonts w:hint="eastAsia"/>
        </w:rPr>
        <w:t xml:space="preserve">将注意力定义为</w:t>
      </w:r>
      <w:r>
        <w:rPr>
          <w:rFonts w:hint="eastAsia"/>
        </w:rPr>
        <w:t xml:space="preserve">“对特定信息的聚焦心智参与”</w:t>
      </w:r>
      <w:r>
        <w:rPr>
          <w:rFonts w:hint="eastAsia"/>
        </w:rPr>
        <w:t xml:space="preserve">，强调其稀缺性、竞争性与货币化潜力。</w:t>
      </w:r>
      <w:r>
        <w:t xml:space="preserve">Webster (2014)</w:t>
      </w:r>
      <w:r>
        <w:rPr>
          <w:rFonts w:hint="eastAsia"/>
        </w:rPr>
        <w:t xml:space="preserve">进一步提出</w:t>
      </w:r>
      <w:r>
        <w:rPr>
          <w:rFonts w:hint="eastAsia"/>
        </w:rPr>
        <w:t xml:space="preserve">“注意力市场”</w:t>
      </w:r>
      <w:r>
        <w:rPr>
          <w:rFonts w:hint="eastAsia"/>
        </w:rPr>
        <w:t xml:space="preserve">概念，将媒体竞争重新框定为对用户时间与心智份额的争夺。</w:t>
      </w:r>
      <w:r>
        <w:t xml:space="preserve">Wu (2017)</w:t>
      </w:r>
      <w:r>
        <w:rPr>
          <w:rFonts w:hint="eastAsia"/>
        </w:rPr>
        <w:t xml:space="preserve">从历史视角系统梳理了注意力商业化的演进历程，揭示了数字时代注意力稀缺与算法分配的内在逻辑。喻国明和刘彧晗</w:t>
      </w:r>
      <w:r>
        <w:t xml:space="preserve">(2023)</w:t>
      </w:r>
      <w:r>
        <w:rPr>
          <w:rFonts w:hint="eastAsia"/>
        </w:rPr>
        <w:t xml:space="preserve">基于元传播视角提出，数字平台竞争已从</w:t>
      </w:r>
      <w:r>
        <w:rPr>
          <w:rFonts w:hint="eastAsia"/>
        </w:rPr>
        <w:t xml:space="preserve">“信息竞争”</w:t>
      </w:r>
      <w:r>
        <w:rPr>
          <w:rFonts w:hint="eastAsia"/>
        </w:rPr>
        <w:t xml:space="preserve">转向</w:t>
      </w:r>
      <w:r>
        <w:rPr>
          <w:rFonts w:hint="eastAsia"/>
        </w:rPr>
        <w:t xml:space="preserve">“认知竞争”</w:t>
      </w:r>
      <w:r>
        <w:rPr>
          <w:rFonts w:hint="eastAsia"/>
        </w:rPr>
        <w:t xml:space="preserve">，这一范式转型深刻重塑了注意力资源的获取与分配机制。</w:t>
      </w:r>
    </w:p>
    <w:p>
      <w:pPr>
        <w:pStyle w:val="BodyText"/>
      </w:pPr>
      <w:r>
        <w:rPr>
          <w:rFonts w:hint="eastAsia"/>
        </w:rPr>
        <w:t xml:space="preserve">在数字平台情境下，注意力的分配呈现高度不均衡特征。</w:t>
      </w:r>
      <w:r>
        <w:t xml:space="preserve">Hindman (2018)</w:t>
      </w:r>
      <w:r>
        <w:rPr>
          <w:rFonts w:hint="eastAsia"/>
        </w:rPr>
        <w:t xml:space="preserve">通过大规模网络流量分析揭示了</w:t>
      </w:r>
      <w:r>
        <w:rPr>
          <w:rFonts w:hint="eastAsia"/>
        </w:rPr>
        <w:t xml:space="preserve">“赢者通吃”</w:t>
      </w:r>
      <w:r>
        <w:rPr>
          <w:rFonts w:hint="eastAsia"/>
        </w:rPr>
        <w:t xml:space="preserve">格局，发现少数头部内容获取了不成比例的用户注意力，形成典型的幂律分布。算法推荐系统可能加剧这一趋势：通过放大用户既有偏好，算法创造了</w:t>
      </w:r>
      <w:r>
        <w:rPr>
          <w:rFonts w:hint="eastAsia"/>
        </w:rPr>
        <w:t xml:space="preserve">“过滤气泡”</w:t>
      </w:r>
      <w:r>
        <w:rPr>
          <w:rFonts w:hint="eastAsia"/>
        </w:rPr>
        <w:t xml:space="preserve">（filter</w:t>
      </w:r>
      <w:r>
        <w:t xml:space="preserve"> </w:t>
      </w:r>
      <w:r>
        <w:rPr>
          <w:rFonts w:hint="eastAsia"/>
        </w:rPr>
        <w:t xml:space="preserve">bubble）与</w:t>
      </w:r>
      <w:r>
        <w:rPr>
          <w:rFonts w:hint="eastAsia"/>
        </w:rPr>
        <w:t xml:space="preserve">“回音室”</w:t>
      </w:r>
      <w:r>
        <w:rPr>
          <w:rFonts w:hint="eastAsia"/>
        </w:rPr>
        <w:t xml:space="preserve">（echo</w:t>
      </w:r>
      <w:r>
        <w:t xml:space="preserve"> </w:t>
      </w:r>
      <w:r>
        <w:rPr>
          <w:rFonts w:hint="eastAsia"/>
        </w:rPr>
        <w:t xml:space="preserve">chamber）效应</w:t>
      </w:r>
      <w:r>
        <w:t xml:space="preserve">(Pariser 2011; Sunstein 2017)</w:t>
      </w:r>
      <w:r>
        <w:rPr>
          <w:rFonts w:hint="eastAsia"/>
        </w:rPr>
        <w:t xml:space="preserve">。然而，也有研究对此提出质疑。</w:t>
      </w:r>
      <w:r>
        <w:t xml:space="preserve">Guess et al.</w:t>
      </w:r>
      <w:r>
        <w:t xml:space="preserve"> </w:t>
      </w:r>
      <w:r>
        <w:t xml:space="preserve">(2023)</w:t>
      </w:r>
      <w:r>
        <w:rPr>
          <w:rFonts w:hint="eastAsia"/>
        </w:rPr>
        <w:t xml:space="preserve">基于大规模实验发现，关闭算法推荐并未显著改善用户的信息多样性，暗示算法效应可能被高估。</w:t>
      </w:r>
      <w:r>
        <w:t xml:space="preserve">Hosanagar et al. (2014)</w:t>
      </w:r>
      <w:r>
        <w:rPr>
          <w:rFonts w:hint="eastAsia"/>
        </w:rPr>
        <w:t xml:space="preserve">的研究也表明，推荐系统对消费者信息多样性的影响存在高度异质性。喻国明和刘彧晗</w:t>
      </w:r>
      <w:r>
        <w:t xml:space="preserve">(2024)</w:t>
      </w:r>
      <w:r>
        <w:rPr>
          <w:rFonts w:hint="eastAsia"/>
        </w:rPr>
        <w:t xml:space="preserve">进一步指出，</w:t>
      </w:r>
      <w:r>
        <w:rPr>
          <w:rFonts w:hint="eastAsia"/>
        </w:rPr>
        <w:t xml:space="preserve">“信息茧房”</w:t>
      </w:r>
      <w:r>
        <w:rPr>
          <w:rFonts w:hint="eastAsia"/>
        </w:rPr>
        <w:t xml:space="preserve">议题可能被过度渲染，个性化推荐并不必然导致用户视野收窄，算法推荐的实际效应需要更多实证检验。这一争论凸显了算法治理效果评估的重要性与复杂性。</w:t>
      </w:r>
    </w:p>
    <w:p>
      <w:pPr>
        <w:pStyle w:val="BodyText"/>
      </w:pPr>
      <w:r>
        <w:rPr>
          <w:rFonts w:hint="eastAsia"/>
        </w:rPr>
        <w:t xml:space="preserve">注意力的零和特性对治理具有重要含义。</w:t>
      </w:r>
      <w:r>
        <w:t xml:space="preserve">Wu (2017)</w:t>
      </w:r>
      <w:r>
        <w:rPr>
          <w:rFonts w:hint="eastAsia"/>
        </w:rPr>
        <w:t xml:space="preserve">指出，平台经济的核心商业模式是</w:t>
      </w:r>
      <w:r>
        <w:rPr>
          <w:rFonts w:hint="eastAsia"/>
        </w:rPr>
        <w:t xml:space="preserve">“注意力商人”</w:t>
      </w:r>
      <w:r>
        <w:rPr>
          <w:rFonts w:hint="eastAsia"/>
        </w:rPr>
        <w:t xml:space="preserve">，即通过免费内容吸引用户注意力，再将注意力出售给广告商。在此模式下，用户的总注意力构成平台收入的</w:t>
      </w:r>
      <w:r>
        <w:rPr>
          <w:rFonts w:hint="eastAsia"/>
        </w:rPr>
        <w:t xml:space="preserve">“天花板”</w:t>
      </w:r>
      <w:r>
        <w:rPr>
          <w:rFonts w:hint="eastAsia"/>
        </w:rPr>
        <w:t xml:space="preserve">。这意味着，对某一类型内容的监管干预可能引发注意力在不同类型间的再分配，本文将这一机制概念化为</w:t>
      </w:r>
      <w:r>
        <w:rPr>
          <w:rFonts w:hint="eastAsia"/>
        </w:rPr>
        <w:t xml:space="preserve">“水床效应”</w:t>
      </w:r>
      <w:r>
        <w:t xml:space="preserve">。</w:t>
      </w:r>
    </w:p>
    <w:bookmarkEnd w:id="11"/>
    <w:bookmarkStart w:id="12" w:name="内容质量与信息诱导"/>
    <w:p>
      <w:pPr>
        <w:pStyle w:val="Heading3"/>
      </w:pPr>
      <w:r>
        <w:rPr>
          <w:rFonts w:hint="eastAsia"/>
        </w:rPr>
        <w:t xml:space="preserve">内容质量与信息诱导</w:t>
      </w:r>
    </w:p>
    <w:p>
      <w:pPr>
        <w:pStyle w:val="FirstParagraph"/>
      </w:pPr>
      <w:r>
        <w:rPr>
          <w:rFonts w:hint="eastAsia"/>
        </w:rPr>
        <w:t xml:space="preserve">内容质量劣化是算法治理的核心关切之一。信息差理论（information</w:t>
      </w:r>
      <w:r>
        <w:t xml:space="preserve"> gap </w:t>
      </w:r>
      <w:r>
        <w:rPr>
          <w:rFonts w:hint="eastAsia"/>
        </w:rPr>
        <w:t xml:space="preserve">theory）为理解诱导性内容提供了心理学基础。</w:t>
      </w:r>
      <w:r>
        <w:t xml:space="preserve">Loewenstein (1994)</w:t>
      </w:r>
      <w:r>
        <w:rPr>
          <w:rFonts w:hint="eastAsia"/>
        </w:rPr>
        <w:t xml:space="preserve">指出，当个体意识到知识缺口时会产生强烈好奇心，驱使其采取行动填补缺口。诱导性标题（clickbait）正是利用这一心理机制，通过制造标题与内容之间的语义悬念来操纵用户的注意力分配</w:t>
      </w:r>
      <w:r>
        <w:t xml:space="preserve">(Golman and Loewenstein 2018)</w:t>
      </w:r>
      <w:r>
        <w:t xml:space="preserve">。</w:t>
      </w:r>
      <w:r>
        <w:t xml:space="preserve">Chakraborty et al. (2016)</w:t>
      </w:r>
      <w:r>
        <w:rPr>
          <w:rFonts w:hint="eastAsia"/>
        </w:rPr>
        <w:t xml:space="preserve">通过机器学习方法识别clickbait特征，发现疑问句式、悬念词汇、情感激发是典型策略。</w:t>
      </w:r>
      <w:r>
        <w:t xml:space="preserve">Chen et al. (2015)</w:t>
      </w:r>
      <w:r>
        <w:rPr>
          <w:rFonts w:hint="eastAsia"/>
        </w:rPr>
        <w:t xml:space="preserve">分析了clickbait的经济逻辑，指出在注意力竞争中，夸张标题能够获得更高点击率，但会损害用户信任与长期价值。</w:t>
      </w:r>
    </w:p>
    <w:p>
      <w:pPr>
        <w:pStyle w:val="BodyText"/>
      </w:pPr>
      <w:r>
        <w:rPr>
          <w:rFonts w:hint="eastAsia"/>
        </w:rPr>
        <w:t xml:space="preserve">内容质量治理面临</w:t>
      </w:r>
      <w:r>
        <w:rPr>
          <w:rFonts w:hint="eastAsia"/>
        </w:rPr>
        <w:t xml:space="preserve">“逐底竞争”</w:t>
      </w:r>
      <w:r>
        <w:rPr>
          <w:rFonts w:hint="eastAsia"/>
        </w:rPr>
        <w:t xml:space="preserve">困境。</w:t>
      </w:r>
      <w:r>
        <w:t xml:space="preserve">Munger (2020)</w:t>
      </w:r>
      <w:r>
        <w:rPr>
          <w:rFonts w:hint="eastAsia"/>
        </w:rPr>
        <w:t xml:space="preserve">指出，在算法驱动的信息环境中，内容生产者面临集体行动困境：个体理性（追求点击率）与集体理性（维护信息质量）相冲突，导致低质内容驱逐高质内容的</w:t>
      </w:r>
      <w:r>
        <w:rPr>
          <w:rFonts w:hint="eastAsia"/>
        </w:rPr>
        <w:t xml:space="preserve">“柠檬市场”</w:t>
      </w:r>
      <w:r>
        <w:rPr>
          <w:rFonts w:hint="eastAsia"/>
        </w:rPr>
        <w:t xml:space="preserve">效应。</w:t>
      </w:r>
      <w:r>
        <w:t xml:space="preserve">Berman and Katona (2020)</w:t>
      </w:r>
      <w:r>
        <w:rPr>
          <w:rFonts w:hint="eastAsia"/>
        </w:rPr>
        <w:t xml:space="preserve">系统分析了算法策展对内容质量的影响，发现内容质量呈现分化趋势，专业媒体坚守内容标准，而用户生成内容更易陷入流量导向。</w:t>
      </w:r>
      <w:r>
        <w:t xml:space="preserve">Jhaver et al. (2019)</w:t>
      </w:r>
      <w:r>
        <w:rPr>
          <w:rFonts w:hint="eastAsia"/>
        </w:rPr>
        <w:t xml:space="preserve">基于Reddit的实证研究发现，内容审核透明性与用户信任之间存在显著正相关，这为治理干预提供了行为依据。平台治理的干预逻辑在于改变激励结构，使高质量内容获得更高回报</w:t>
      </w:r>
      <w:r>
        <w:t xml:space="preserve">(Gillespie 2018)</w:t>
      </w:r>
      <w:r>
        <w:rPr>
          <w:rFonts w:hint="eastAsia"/>
        </w:rPr>
        <w:t xml:space="preserve">。然而，既有研究多聚焦于平台自治，对外部监管如何影响内容质量的实证分析相对匮乏。</w:t>
      </w:r>
    </w:p>
    <w:bookmarkEnd w:id="12"/>
    <w:bookmarkStart w:id="13" w:name="现有研究的不足与本文定位"/>
    <w:p>
      <w:pPr>
        <w:pStyle w:val="Heading3"/>
      </w:pPr>
      <w:r>
        <w:rPr>
          <w:rFonts w:hint="eastAsia"/>
        </w:rPr>
        <w:t xml:space="preserve">现有研究的不足与本文定位</w:t>
      </w:r>
    </w:p>
    <w:p>
      <w:pPr>
        <w:pStyle w:val="FirstParagraph"/>
      </w:pPr>
      <w:r>
        <w:rPr>
          <w:rFonts w:hint="eastAsia"/>
        </w:rPr>
        <w:t xml:space="preserve">综上所述，现有文献在三个方面存在不足，构成本文的理论切入点。</w:t>
      </w:r>
    </w:p>
    <w:p>
      <w:pPr>
        <w:pStyle w:val="BodyText"/>
      </w:pPr>
      <w:r>
        <w:rPr>
          <w:rFonts w:hint="eastAsia"/>
        </w:rPr>
        <w:t xml:space="preserve">第一，缺乏统一框架整合多维效应。平台治理文献分散于内容质量、信息多样性、用户行为等子领域，缺乏将多元治理效应纳入统一分析框架的理论尝试。尽管学者们在平台治理</w:t>
      </w:r>
      <w:r>
        <w:t xml:space="preserve">(Parker and Van Alstyne 2018; Tiwana et al. 2010)</w:t>
      </w:r>
      <w:r>
        <w:rPr>
          <w:rFonts w:hint="eastAsia"/>
        </w:rPr>
        <w:t xml:space="preserve">、算法权力</w:t>
      </w:r>
      <w:r>
        <w:t xml:space="preserve">(Bucher 2018; Katyal 2019)</w:t>
      </w:r>
      <w:r>
        <w:rPr>
          <w:rFonts w:hint="eastAsia"/>
        </w:rPr>
        <w:t xml:space="preserve">等领域取得了重要进展，但鲜有研究将这些分散的理论视角系统整合。本文引入资源依赖理论，将用户注意力视为平台依赖的核心稀缺资源，从资源再配置视角统一解释内容质量分化、注意力去中心化、水床效应等多维效应。</w:t>
      </w:r>
    </w:p>
    <w:p>
      <w:pPr>
        <w:pStyle w:val="BodyText"/>
      </w:pPr>
      <w:r>
        <w:rPr>
          <w:rFonts w:hint="eastAsia"/>
        </w:rPr>
        <w:t xml:space="preserve">第二，忽视监管的非预期后果。既有算法治理文献多聚焦于规范性讨论或单一目标评估</w:t>
      </w:r>
      <w:r>
        <w:t xml:space="preserve">(Gritsenko and Wood 2022; Ulbricht and Yeung 2022)</w:t>
      </w:r>
      <w:r>
        <w:rPr>
          <w:rFonts w:hint="eastAsia"/>
        </w:rPr>
        <w:t xml:space="preserve">，缺乏对监管溢出效应的系统分析。本文提出</w:t>
      </w:r>
      <w:r>
        <w:rPr>
          <w:rFonts w:hint="eastAsia"/>
        </w:rPr>
        <w:t xml:space="preserve">“水床效应”</w:t>
      </w:r>
      <w:r>
        <w:rPr>
          <w:rFonts w:hint="eastAsia"/>
        </w:rPr>
        <w:t xml:space="preserve">概念，刻画在注意力零和约束下监管干预的间接传导路径，揭示质量提升与公共议题曝光度下降之间的潜在张力。</w:t>
      </w:r>
    </w:p>
    <w:p>
      <w:pPr>
        <w:pStyle w:val="BodyText"/>
      </w:pPr>
      <w:r>
        <w:rPr>
          <w:rFonts w:hint="eastAsia"/>
        </w:rPr>
        <w:t xml:space="preserve">第三，因果识别研究稀缺。由于算法系统的</w:t>
      </w:r>
      <w:r>
        <w:rPr>
          <w:rFonts w:hint="eastAsia"/>
        </w:rPr>
        <w:t xml:space="preserve">“黑箱”</w:t>
      </w:r>
      <w:r>
        <w:rPr>
          <w:rFonts w:hint="eastAsia"/>
        </w:rPr>
        <w:t xml:space="preserve">特性和数据获取难题，既有研究多为描述性分析或规范性讨论。虽然</w:t>
      </w:r>
      <w:r>
        <w:t xml:space="preserve">Sandvig et al. (2014)</w:t>
      </w:r>
      <w:r>
        <w:rPr>
          <w:rFonts w:hint="eastAsia"/>
        </w:rPr>
        <w:t xml:space="preserve">和</w:t>
      </w:r>
      <w:r>
        <w:t xml:space="preserve">Diakopoulos (2016)</w:t>
      </w:r>
      <w:r>
        <w:rPr>
          <w:rFonts w:hint="eastAsia"/>
        </w:rPr>
        <w:t xml:space="preserve">等学者发展了算法审计的方法论，但这些研究主要聚焦于算法行为的描述性刻画，而非政策干预的因果效应评估。本文利用2024年清朗行动提供的准自然实验场景，采用ITS与DID相结合的因果识别策略，提供算法治理效果的可信估计。</w:t>
      </w:r>
    </w:p>
    <w:bookmarkEnd w:id="13"/>
    <w:bookmarkEnd w:id="14"/>
    <w:bookmarkStart w:id="20" w:name="理论框架与研究假设"/>
    <w:p>
      <w:pPr>
        <w:pStyle w:val="Heading2"/>
      </w:pPr>
      <w:r>
        <w:rPr>
          <w:rFonts w:hint="eastAsia"/>
        </w:rPr>
        <w:t xml:space="preserve">理论框架与研究假设</w:t>
      </w:r>
    </w:p>
    <w:bookmarkStart w:id="15" w:name="资源依赖视角下的算法治理分析"/>
    <w:p>
      <w:pPr>
        <w:pStyle w:val="Heading3"/>
      </w:pPr>
      <w:r>
        <w:rPr>
          <w:rFonts w:hint="eastAsia"/>
        </w:rPr>
        <w:t xml:space="preserve">资源依赖视角下的算法治理分析</w:t>
      </w:r>
    </w:p>
    <w:p>
      <w:pPr>
        <w:pStyle w:val="FirstParagraph"/>
      </w:pPr>
      <w:r>
        <w:rPr>
          <w:rFonts w:hint="eastAsia"/>
        </w:rPr>
        <w:t xml:space="preserve">资源依赖理论（Resource</w:t>
      </w:r>
      <w:r>
        <w:t xml:space="preserve"> Dependence </w:t>
      </w:r>
      <w:r>
        <w:rPr>
          <w:rFonts w:hint="eastAsia"/>
        </w:rPr>
        <w:t xml:space="preserve">Theory）认为，组织的生存与发展取决于其从外部环境获取关键资源的能力</w:t>
      </w:r>
      <w:r>
        <w:t xml:space="preserve">(Pfeffer and Salancik 1978)</w:t>
      </w:r>
      <w:r>
        <w:rPr>
          <w:rFonts w:hint="eastAsia"/>
        </w:rPr>
        <w:t xml:space="preserve">。当组织高度依赖某一稀缺资源时，该资源的供给者将对组织行为产生深远影响。本文将这一理论框架应用于数字平台情境，提出核心命题：用户注意力构成了数字平台最核心的稀缺资源，算法治理的本质是改变平台获取和配置注意力资源的成本结构与约束条件。</w:t>
      </w:r>
    </w:p>
    <w:p>
      <w:pPr>
        <w:pStyle w:val="BodyText"/>
      </w:pPr>
      <w:r>
        <w:rPr>
          <w:rFonts w:hint="eastAsia"/>
        </w:rPr>
        <w:t xml:space="preserve">在数字平台生态系统中，注意力资源具有三个决定性特征</w:t>
      </w:r>
      <w:r>
        <w:t xml:space="preserve">(Oestreicher-Singer and Sundararajan 2012; Berman and Katona 2020)</w:t>
      </w:r>
      <w:r>
        <w:rPr>
          <w:rFonts w:hint="eastAsia"/>
        </w:rPr>
        <w:t xml:space="preserve">。第一，稀缺性：用户日均使用时长存在生理和时间约束，短期内缺乏弹性。第二，竞争性：注意力分配给某一话题必然减少其他话题的份额，形成典型的零和博弈格局。第三，不可再生性：注意力一旦消耗无法恢复。这三个特征共同构成了本文分析的基础约束——注意力总量守恒：各类内容获得的注意力之和等于平台可获取的总注意力预算。</w:t>
      </w:r>
    </w:p>
    <w:p>
      <w:pPr>
        <w:pStyle w:val="BodyText"/>
      </w:pPr>
      <w:r>
        <w:rPr>
          <w:rFonts w:hint="eastAsia"/>
        </w:rPr>
        <w:t xml:space="preserve">基于资源依赖理论，算法治理通过两条路径影响平台行为：</w:t>
      </w:r>
      <w:r>
        <w:rPr>
          <w:rFonts w:hint="eastAsia"/>
          <w:b/>
          <w:bCs/>
        </w:rPr>
        <w:t xml:space="preserve">成本路径</w:t>
      </w:r>
      <w:r>
        <w:rPr>
          <w:rFonts w:hint="eastAsia"/>
        </w:rPr>
        <w:t xml:space="preserve">与</w:t>
      </w:r>
      <w:r>
        <w:rPr>
          <w:rFonts w:hint="eastAsia"/>
          <w:b/>
          <w:bCs/>
        </w:rPr>
        <w:t xml:space="preserve">约束路径</w:t>
      </w:r>
      <w:r>
        <w:t xml:space="preserve">。</w:t>
      </w:r>
    </w:p>
    <w:p>
      <w:pPr>
        <w:pStyle w:val="BodyText"/>
      </w:pPr>
      <w:r>
        <w:rPr>
          <w:rFonts w:hint="eastAsia"/>
          <w:b/>
          <w:bCs/>
        </w:rPr>
        <w:t xml:space="preserve">成本路径</w:t>
      </w:r>
      <w:r>
        <w:rPr>
          <w:rFonts w:hint="eastAsia"/>
        </w:rPr>
        <w:t xml:space="preserve">：《算法专项治理清单指引》通过分级分类监管，对不同风险类别的内容施加差异化的合规要求，直接改变了平台的资源获取成本。监管后各类内容的成本变化取决于其风险等级和监管强度，且成本变化与风险等级正相关。由于社会类内容涉及公共利益、舆情风险等敏感领域，其风险等级显著高于娱乐类，导致社会类内容的合规成本大幅上升，而娱乐类成本基本稳定。这一差异化成本冲击将驱动平台对高风险内容实施更严格的质量筛选（对应假设H1），并在注意力总量守恒约束下引发跨类别的资源再分配（对应假设H3、H4）。</w:t>
      </w:r>
    </w:p>
    <w:p>
      <w:pPr>
        <w:pStyle w:val="BodyText"/>
      </w:pPr>
      <w:r>
        <w:rPr>
          <w:rFonts w:hint="eastAsia"/>
          <w:b/>
          <w:bCs/>
        </w:rPr>
        <w:t xml:space="preserve">约束路径</w:t>
      </w:r>
      <w:r>
        <w:rPr>
          <w:rFonts w:hint="eastAsia"/>
        </w:rPr>
        <w:t xml:space="preserve">：监管同时施加了多样性约束，要求平台</w:t>
      </w:r>
      <w:r>
        <w:rPr>
          <w:rFonts w:hint="eastAsia"/>
        </w:rPr>
        <w:t xml:space="preserve">“不得利用算法操纵热点话题”</w:t>
      </w:r>
      <w:r>
        <w:t xml:space="preserve">、</w:t>
      </w:r>
      <w:r>
        <w:rPr>
          <w:rFonts w:hint="eastAsia"/>
        </w:rPr>
        <w:t xml:space="preserve">“保障信息内容多样性”</w:t>
      </w:r>
      <w:r>
        <w:rPr>
          <w:rFonts w:hint="eastAsia"/>
        </w:rPr>
        <w:t xml:space="preserve">。这直接改变了平台的可行域结构，限制了头部话题的注意力垄断能力（对应假设H2）。</w:t>
      </w:r>
    </w:p>
    <w:p>
      <w:pPr>
        <w:pStyle w:val="BodyText"/>
      </w:pPr>
      <w:r>
        <w:rPr>
          <w:rFonts w:hint="eastAsia"/>
        </w:rPr>
        <w:t xml:space="preserve">面对差异化的成本冲击与新增约束，平台作为理性主体将重新优化其资源配置策略。平台的目标是在注意力总量守恒和多样性约束条件下最大化净收益。最优化条件要求各类内容的边际净收益相等。当社会类的合规成本上升时，平台需要减少社会类的注意力配置以提高其边际收益，并将释放的资源重新配置至成本较低的类别。在注意力总量守恒约束下，这一再配置过程产生了本文提出的</w:t>
      </w:r>
      <w:r>
        <w:rPr>
          <w:rFonts w:hint="eastAsia"/>
        </w:rPr>
        <w:t xml:space="preserve">“水床效应”</w:t>
      </w:r>
      <w:r>
        <w:rPr>
          <w:rFonts w:hint="eastAsia"/>
        </w:rPr>
        <w:t xml:space="preserve">：社会类注意力下降必然导致娱乐类和其他类别注意力上升。</w:t>
      </w:r>
    </w:p>
    <w:p>
      <w:pPr>
        <w:pStyle w:val="BodyText"/>
      </w:pPr>
      <w:r>
        <w:rPr>
          <w:rFonts w:hint="eastAsia"/>
        </w:rPr>
        <w:t xml:space="preserve">基于上述理论框架，本文提出四项研究假设。这四项假设共同构成资源依赖视角下算法治理效应的完整图景：H1刻画成本路径的直接效应（质量筛选），H2刻画约束路径的直接效应（多样性提升），H3刻画资源总量约束下的再配置效应（水床效应），H4刻画再配置效应在微观层面的具体表现（密度分化）。</w:t>
      </w:r>
    </w:p>
    <w:bookmarkEnd w:id="15"/>
    <w:bookmarkStart w:id="16" w:name="假设h1内容质量分化效应"/>
    <w:p>
      <w:pPr>
        <w:pStyle w:val="Heading3"/>
      </w:pPr>
      <w:r>
        <w:rPr>
          <w:rFonts w:hint="eastAsia"/>
        </w:rPr>
        <w:t xml:space="preserve">假设H1：内容质量分化效应</w:t>
      </w:r>
    </w:p>
    <w:p>
      <w:pPr>
        <w:pStyle w:val="FirstParagraph"/>
      </w:pPr>
      <w:r>
        <w:rPr>
          <w:rFonts w:hint="eastAsia"/>
          <w:b/>
          <w:bCs/>
        </w:rPr>
        <w:t xml:space="preserve">理论逻辑</w:t>
      </w:r>
      <w:r>
        <w:rPr>
          <w:rFonts w:hint="eastAsia"/>
        </w:rPr>
        <w:t xml:space="preserve">：资源依赖理论强调，组织会根据资源获取成本调整其行为策略</w:t>
      </w:r>
      <w:r>
        <w:t xml:space="preserve">(Pfeffer and Salancik 1978)</w:t>
      </w:r>
      <w:r>
        <w:rPr>
          <w:rFonts w:hint="eastAsia"/>
        </w:rPr>
        <w:t xml:space="preserve">。分级分类监管的核心在于根据内容的舆论风险等级实施差异化监管强度。《算法专项治理清单指引》对涉及公共事件、舆情风险的社会类内容提出了更高的信息来源、事实核验和价值导向标准，而对娱乐类内容多采取</w:t>
      </w:r>
      <w:r>
        <w:rPr>
          <w:rFonts w:hint="eastAsia"/>
        </w:rPr>
        <w:t xml:space="preserve">“守住底线”</w:t>
      </w:r>
      <w:r>
        <w:rPr>
          <w:rFonts w:hint="eastAsia"/>
        </w:rPr>
        <w:t xml:space="preserve">的防御性姿态。</w:t>
      </w:r>
    </w:p>
    <w:p>
      <w:pPr>
        <w:pStyle w:val="BodyText"/>
      </w:pPr>
      <w:r>
        <w:rPr>
          <w:rFonts w:hint="eastAsia"/>
        </w:rPr>
        <w:t xml:space="preserve">从资源依赖视角看，这一差异化监管直接转化为平台的差异化合规成本。社会类内容的合规成本大幅上升，包括强化内容审核成本、信息来源核查成本和违规问责风险成本；娱乐类内容的合规成本基本稳定。根据前述理论模型，当社会类合规成本上升时，平台的最优响应是提高社会类内容的质量门槛，通过</w:t>
      </w:r>
      <w:r>
        <w:rPr>
          <w:rFonts w:hint="eastAsia"/>
        </w:rPr>
        <w:t xml:space="preserve">“事前筛选”</w:t>
      </w:r>
      <w:r>
        <w:rPr>
          <w:rFonts w:hint="eastAsia"/>
        </w:rPr>
        <w:t xml:space="preserve">淘汰低质内容，从而降低单位内容的合规风险。换言之，社会类的质量门槛与其合规成本正相关，而娱乐类质量门槛基本不变。</w:t>
      </w:r>
    </w:p>
    <w:p>
      <w:pPr>
        <w:pStyle w:val="BodyText"/>
      </w:pPr>
      <w:r>
        <w:rPr>
          <w:rFonts w:hint="eastAsia"/>
        </w:rPr>
        <w:t xml:space="preserve">在社会类内部，机构媒体相对自媒体将展现出更显著的质量提升。这源于两个机制：第一，源头筛选机制，平台在高风险领域优先选择机构媒体作为信息源头，因为机构媒体的内容规范性和可信度更高</w:t>
      </w:r>
      <w:r>
        <w:t xml:space="preserve">(He et al. 2022)</w:t>
      </w:r>
      <w:r>
        <w:rPr>
          <w:rFonts w:hint="eastAsia"/>
        </w:rPr>
        <w:t xml:space="preserve">，能够有效降低平台的合规风险；第二，信号显示机制，平台通过提升机构媒体占比向监管者传递合规信号，以获取监管合法性。</w:t>
      </w:r>
    </w:p>
    <w:p>
      <w:pPr>
        <w:pStyle w:val="BodyText"/>
      </w:pPr>
      <w:r>
        <w:rPr>
          <w:rFonts w:hint="eastAsia"/>
        </w:rPr>
        <w:t xml:space="preserve">基于上述分析，提出假设H1：</w:t>
      </w:r>
    </w:p>
    <w:p>
      <w:pPr>
        <w:pStyle w:val="BodyText"/>
      </w:pPr>
      <w:r>
        <w:rPr>
          <w:rFonts w:hint="eastAsia"/>
          <w:b/>
          <w:bCs/>
        </w:rPr>
        <w:t xml:space="preserve">H1（内容质量分化）</w:t>
      </w:r>
      <w:r>
        <w:rPr>
          <w:rFonts w:hint="eastAsia"/>
        </w:rPr>
        <w:t xml:space="preserve">：算法治理导致不同风险类别内容的质量呈现分化趋势，高风险内容质量显著提升，低风险内容质量基本稳定。</w:t>
      </w:r>
    </w:p>
    <w:p>
      <w:pPr>
        <w:pStyle w:val="BodyText"/>
      </w:pPr>
      <w:r>
        <w:rPr>
          <w:rFonts w:hint="eastAsia"/>
        </w:rPr>
        <w:t xml:space="preserve">H1a：社会类话题的信息差指数（衡量标题信息诱导程度）在监管后显著下降</w:t>
      </w:r>
    </w:p>
    <w:p>
      <w:pPr>
        <w:pStyle w:val="BodyText"/>
      </w:pPr>
      <w:r>
        <w:rPr>
          <w:rFonts w:hint="eastAsia"/>
        </w:rPr>
        <w:t xml:space="preserve">H1b：社会类内部，机构媒体相对自媒体的信息差净下降（DID估计量显著为负）</w:t>
      </w:r>
    </w:p>
    <w:p>
      <w:pPr>
        <w:pStyle w:val="BodyText"/>
      </w:pPr>
      <w:r>
        <w:rPr>
          <w:rFonts w:hint="eastAsia"/>
        </w:rPr>
        <w:t xml:space="preserve">H1c：娱乐类话题的质量指标在监管前后无显著变化</w:t>
      </w:r>
    </w:p>
    <w:bookmarkEnd w:id="16"/>
    <w:bookmarkStart w:id="17" w:name="假设h2注意力去中心化效应"/>
    <w:p>
      <w:pPr>
        <w:pStyle w:val="Heading3"/>
      </w:pPr>
      <w:r>
        <w:rPr>
          <w:rFonts w:hint="eastAsia"/>
        </w:rPr>
        <w:t xml:space="preserve">假设H2：注意力去中心化效应</w:t>
      </w:r>
    </w:p>
    <w:p>
      <w:pPr>
        <w:pStyle w:val="FirstParagraph"/>
      </w:pPr>
      <w:r>
        <w:rPr>
          <w:rFonts w:hint="eastAsia"/>
          <w:b/>
          <w:bCs/>
        </w:rPr>
        <w:t xml:space="preserve">理论逻辑</w:t>
      </w:r>
      <w:r>
        <w:rPr>
          <w:rFonts w:hint="eastAsia"/>
        </w:rPr>
        <w:t xml:space="preserve">：资源依赖理论指出，外部约束的变化将迫使组织调整其资源配置模式</w:t>
      </w:r>
      <w:r>
        <w:t xml:space="preserve">(Pfeffer and Salancik 1978)</w:t>
      </w:r>
      <w:r>
        <w:rPr>
          <w:rFonts w:hint="eastAsia"/>
        </w:rPr>
        <w:t xml:space="preserve">。《算法专项治理清单指引》明确要求平台</w:t>
      </w:r>
      <w:r>
        <w:rPr>
          <w:rFonts w:hint="eastAsia"/>
        </w:rPr>
        <w:t xml:space="preserve">“不得利用算法操纵热点话题”</w:t>
      </w:r>
      <w:r>
        <w:t xml:space="preserve">、</w:t>
      </w:r>
      <w:r>
        <w:rPr>
          <w:rFonts w:hint="eastAsia"/>
        </w:rPr>
        <w:t xml:space="preserve">“保障信息内容多样性”</w:t>
      </w:r>
      <w:r>
        <w:rPr>
          <w:rFonts w:hint="eastAsia"/>
        </w:rPr>
        <w:t xml:space="preserve">。这些监管条款构成了平台资源配置的硬约束边界，直接限制了头部话题的注意力垄断能力。</w:t>
      </w:r>
    </w:p>
    <w:p>
      <w:pPr>
        <w:pStyle w:val="BodyText"/>
      </w:pPr>
      <w:r>
        <w:rPr>
          <w:rFonts w:hint="eastAsia"/>
        </w:rPr>
        <w:t xml:space="preserve">从资源配置视角看，多样性约束改变了平台的可行域结构。监管要求政策实施后话题分布的多样性水平（以Shannon熵衡量）必须高于政策实施前的最低标准，即监管提高了平台内容多样性的下限要求。该约束迫使平台压缩头部话题的资源配额、提升长尾话题的曝光机会。在注意力总量守恒的前提下，这意味着原本高度集中于少数话题的注意力将被重新分配至更广泛的话题集合。平台通过限制同一话题ID的上榜频次、设置话题轮换机制，从供给端切断了头部话题的垄断路径。</w:t>
      </w:r>
    </w:p>
    <w:p>
      <w:pPr>
        <w:pStyle w:val="BodyText"/>
      </w:pPr>
      <w:r>
        <w:rPr>
          <w:rFonts w:hint="eastAsia"/>
        </w:rPr>
        <w:t xml:space="preserve">同时，监管还通过改变平台的风险收益函数，激励其主动提升内容多样性。单一话题过度曝光的违规概率在监管后显著上升，平台因话题过度集中而遭受监管处罚的预期成本相应增加。平台为规避监管风险而主动调低头部话题权重、提升长尾话题推荐权重。</w:t>
      </w:r>
    </w:p>
    <w:p>
      <w:pPr>
        <w:pStyle w:val="BodyText"/>
      </w:pPr>
      <w:r>
        <w:rPr>
          <w:rFonts w:hint="eastAsia"/>
        </w:rPr>
        <w:t xml:space="preserve">基于上述分析，提出假设H2：</w:t>
      </w:r>
    </w:p>
    <w:p>
      <w:pPr>
        <w:pStyle w:val="BodyText"/>
      </w:pPr>
      <w:r>
        <w:rPr>
          <w:rFonts w:hint="eastAsia"/>
          <w:b/>
          <w:bCs/>
        </w:rPr>
        <w:t xml:space="preserve">H2（注意力去中心化）</w:t>
      </w:r>
      <w:r>
        <w:rPr>
          <w:rFonts w:hint="eastAsia"/>
        </w:rPr>
        <w:t xml:space="preserve">：算法治理打破了热搜榜单的赢者通吃格局，注意力从少数头部话题向广泛的长尾话题再分配。</w:t>
      </w:r>
    </w:p>
    <w:p>
      <w:pPr>
        <w:pStyle w:val="BodyText"/>
      </w:pPr>
      <w:r>
        <w:rPr>
          <w:rFonts w:hint="eastAsia"/>
        </w:rPr>
        <w:t xml:space="preserve">H2a：Shannon熵在监管后显著上升</w:t>
      </w:r>
    </w:p>
    <w:p>
      <w:pPr>
        <w:pStyle w:val="BodyText"/>
      </w:pPr>
      <w:r>
        <w:rPr>
          <w:rFonts w:hint="eastAsia"/>
        </w:rPr>
        <w:t xml:space="preserve">H2b：HHI集中度指数在监管后显著下降</w:t>
      </w:r>
    </w:p>
    <w:p>
      <w:pPr>
        <w:pStyle w:val="BodyText"/>
      </w:pPr>
      <w:r>
        <w:rPr>
          <w:rFonts w:hint="eastAsia"/>
        </w:rPr>
        <w:t xml:space="preserve">H2c：单条话题重复上榜次数和连续在榜时长在监管后显著下降</w:t>
      </w:r>
    </w:p>
    <w:bookmarkEnd w:id="17"/>
    <w:bookmarkStart w:id="18" w:name="假设h3注意力再分配效应水床效应"/>
    <w:p>
      <w:pPr>
        <w:pStyle w:val="Heading3"/>
      </w:pPr>
      <w:r>
        <w:rPr>
          <w:rFonts w:hint="eastAsia"/>
        </w:rPr>
        <w:t xml:space="preserve">假设H3：注意力再分配效应（水床效应）</w:t>
      </w:r>
    </w:p>
    <w:p>
      <w:pPr>
        <w:pStyle w:val="FirstParagraph"/>
      </w:pPr>
      <w:r>
        <w:rPr>
          <w:rFonts w:hint="eastAsia"/>
          <w:b/>
          <w:bCs/>
        </w:rPr>
        <w:t xml:space="preserve">理论逻辑</w:t>
      </w:r>
      <w:r>
        <w:rPr>
          <w:rFonts w:hint="eastAsia"/>
        </w:rPr>
        <w:t xml:space="preserve">：水床效应是资源依赖理论在注意力总量守恒约束下的核心推论。资源依赖理论强调，当某一资源获取渠道受阻时，组织会转向替代性资源渠道</w:t>
      </w:r>
      <w:r>
        <w:t xml:space="preserve">(Pfeffer and Salancik 1978)</w:t>
      </w:r>
      <w:r>
        <w:rPr>
          <w:rFonts w:hint="eastAsia"/>
        </w:rPr>
        <w:t xml:space="preserve">。在本文情境下，监管提高了社会类内容的获取成本，平台作为理性主体将调整其资源配置，将注意力从高成本领域转向低成本领域。</w:t>
      </w:r>
    </w:p>
    <w:p>
      <w:pPr>
        <w:pStyle w:val="BodyText"/>
      </w:pPr>
      <w:r>
        <w:rPr>
          <w:rFonts w:hint="eastAsia"/>
        </w:rPr>
        <w:t xml:space="preserve">这一再分配过程同时受到供给侧和需求侧的双重驱动。从供给侧看，监管实施后社会类的</w:t>
      </w:r>
      <w:r>
        <w:rPr>
          <w:rFonts w:hint="eastAsia"/>
        </w:rPr>
        <w:t xml:space="preserve">“有效供给”</w:t>
      </w:r>
      <w:r>
        <w:rPr>
          <w:rFonts w:hint="eastAsia"/>
        </w:rPr>
        <w:t xml:space="preserve">因质量门槛提高和合规成本上升而下降。根据前述理论模型，平台选择的最优社会类内容数量与其合规成本呈负相关关系：当社会类合规成本上升时，平台倾向于减少社会类内容的供给数量。从需求侧看，用户的总注意力需求在短期内保持稳定，不会因监管而显著改变。在供需缺口下，用户将注意力转向替代性内容。由于娱乐类内容的审核成本相对较低，其成为承接溢出注意力的</w:t>
      </w:r>
      <w:r>
        <w:rPr>
          <w:rFonts w:hint="eastAsia"/>
        </w:rPr>
        <w:t xml:space="preserve">“蓄水池”</w:t>
      </w:r>
      <w:r>
        <w:t xml:space="preserve">。</w:t>
      </w:r>
    </w:p>
    <w:p>
      <w:pPr>
        <w:pStyle w:val="BodyText"/>
      </w:pPr>
      <w:r>
        <w:rPr>
          <w:rFonts w:hint="eastAsia"/>
        </w:rPr>
        <w:t xml:space="preserve">这一</w:t>
      </w:r>
      <w:r>
        <w:rPr>
          <w:rFonts w:hint="eastAsia"/>
        </w:rPr>
        <w:t xml:space="preserve">“成本驱动”</w:t>
      </w:r>
      <w:r>
        <w:rPr>
          <w:rFonts w:hint="eastAsia"/>
        </w:rPr>
        <w:t xml:space="preserve">的再配置逻辑与用户行为的被动调整相互强化，共同塑造了</w:t>
      </w:r>
      <w:r>
        <w:rPr>
          <w:rFonts w:hint="eastAsia"/>
        </w:rPr>
        <w:t xml:space="preserve">“社会类紧缩与娱乐类扩张”</w:t>
      </w:r>
      <w:r>
        <w:rPr>
          <w:rFonts w:hint="eastAsia"/>
        </w:rPr>
        <w:t xml:space="preserve">的结构性格局。水床效应的存在可通过验证注意力总量守恒来间接证实：如果用户的总注意力预算在短期内保持稳定，则算法治理不应显著改变平台的总注意力供给量，而仅改变其在不同类型间的分配结构。具体表现为：平台总注意力保持基本稳定，但社会类注意力份额下降，娱乐类注意力份额相应上升。</w:t>
      </w:r>
    </w:p>
    <w:p>
      <w:pPr>
        <w:pStyle w:val="BodyText"/>
      </w:pPr>
      <w:r>
        <w:rPr>
          <w:rFonts w:hint="eastAsia"/>
        </w:rPr>
        <w:t xml:space="preserve">基于上述分析，提出假设H3：</w:t>
      </w:r>
    </w:p>
    <w:p>
      <w:pPr>
        <w:pStyle w:val="BodyText"/>
      </w:pPr>
      <w:r>
        <w:rPr>
          <w:rFonts w:hint="eastAsia"/>
          <w:b/>
          <w:bCs/>
        </w:rPr>
        <w:t xml:space="preserve">H3（注意力再分配/水床效应）</w:t>
      </w:r>
      <w:r>
        <w:rPr>
          <w:rFonts w:hint="eastAsia"/>
        </w:rPr>
        <w:t xml:space="preserve">：在注意力零和约束下，对社会类的监管强化将引发注意力向娱乐类的系统性转移。</w:t>
      </w:r>
    </w:p>
    <w:p>
      <w:pPr>
        <w:pStyle w:val="BodyText"/>
      </w:pPr>
      <w:r>
        <w:rPr>
          <w:rFonts w:hint="eastAsia"/>
        </w:rPr>
        <w:t xml:space="preserve">H3a：社会类话题在热搜榜中的份额在监管后显著下降</w:t>
      </w:r>
    </w:p>
    <w:p>
      <w:pPr>
        <w:pStyle w:val="BodyText"/>
      </w:pPr>
      <w:r>
        <w:rPr>
          <w:rFonts w:hint="eastAsia"/>
        </w:rPr>
        <w:t xml:space="preserve">H3b：娱乐类话题在热搜榜中的份额在监管后显著上升</w:t>
      </w:r>
    </w:p>
    <w:p>
      <w:pPr>
        <w:pStyle w:val="BodyText"/>
      </w:pPr>
      <w:r>
        <w:rPr>
          <w:rFonts w:hint="eastAsia"/>
        </w:rPr>
        <w:t xml:space="preserve">H3c：周度总热度在监管前后无显著变化，验证注意力零和约束</w:t>
      </w:r>
    </w:p>
    <w:bookmarkEnd w:id="18"/>
    <w:bookmarkStart w:id="19" w:name="假设h4注意力密度分化效应"/>
    <w:p>
      <w:pPr>
        <w:pStyle w:val="Heading3"/>
      </w:pPr>
      <w:r>
        <w:rPr>
          <w:rFonts w:hint="eastAsia"/>
        </w:rPr>
        <w:t xml:space="preserve">假设H4：注意力密度分化效应</w:t>
      </w:r>
    </w:p>
    <w:p>
      <w:pPr>
        <w:pStyle w:val="FirstParagraph"/>
      </w:pPr>
      <w:r>
        <w:rPr>
          <w:rFonts w:hint="eastAsia"/>
          <w:b/>
          <w:bCs/>
        </w:rPr>
        <w:t xml:space="preserve">理论逻辑</w:t>
      </w:r>
      <w:r>
        <w:rPr>
          <w:rFonts w:hint="eastAsia"/>
        </w:rPr>
        <w:t xml:space="preserve">：注意力密度分化是水床效应在微观层面的具体表现，揭示了平台在宏观配额调整基础上的精细化响应策略。资源依赖理论指出，组织在资源约束下会采取差异化策略以最大化资源利用效率</w:t>
      </w:r>
      <w:r>
        <w:t xml:space="preserve">(Pfeffer and Salancik 1978)</w:t>
      </w:r>
      <w:r>
        <w:rPr>
          <w:rFonts w:hint="eastAsia"/>
        </w:rPr>
        <w:t xml:space="preserve">。在本文情境下，社会类与娱乐类因其风险特征不同，将呈现截然不同的调整路径。</w:t>
      </w:r>
    </w:p>
    <w:p>
      <w:pPr>
        <w:pStyle w:val="BodyText"/>
      </w:pPr>
      <w:r>
        <w:rPr>
          <w:rFonts w:hint="eastAsia"/>
        </w:rPr>
        <w:t xml:space="preserve">社会类预期呈现</w:t>
      </w:r>
      <w:r>
        <w:rPr>
          <w:rFonts w:hint="eastAsia"/>
        </w:rPr>
        <w:t xml:space="preserve">“少而精”</w:t>
      </w:r>
      <w:r>
        <w:rPr>
          <w:rFonts w:hint="eastAsia"/>
        </w:rPr>
        <w:t xml:space="preserve">的调整路径。根据前述分析，监管显著提高了社会类内容的准入门槛，低质内容在更严格的审核标准下被淘汰出局，导致上榜话题数量明显减少。与此同时，通过质量筛选得以留存的高质量话题因其信息价值和公共属性获得平台更长时间的曝光支持。这一策略符合资源依赖理论的核心逻辑：在资源获取成本上升时，组织会更加谨慎地使用资源，确保每单位资源都能产生更高价值。在话题数量减少而总在榜时长相对稳定的综合作用下，社会类的单条话题平均在榜时长呈现上升态势，即注意力密度提高。</w:t>
      </w:r>
    </w:p>
    <w:p>
      <w:pPr>
        <w:pStyle w:val="BodyText"/>
      </w:pPr>
      <w:r>
        <w:rPr>
          <w:rFonts w:hint="eastAsia"/>
        </w:rPr>
        <w:t xml:space="preserve">娱乐类预期呈现</w:t>
      </w:r>
      <w:r>
        <w:rPr>
          <w:rFonts w:hint="eastAsia"/>
        </w:rPr>
        <w:t xml:space="preserve">“多且长”</w:t>
      </w:r>
      <w:r>
        <w:rPr>
          <w:rFonts w:hint="eastAsia"/>
        </w:rPr>
        <w:t xml:space="preserve">的扩张格局。在注意力总量守恒的约束下，社会类受挤压释放的配额需要寻找新的</w:t>
      </w:r>
      <w:r>
        <w:rPr>
          <w:rFonts w:hint="eastAsia"/>
        </w:rPr>
        <w:t xml:space="preserve">“蓄水池”</w:t>
      </w:r>
      <w:r>
        <w:rPr>
          <w:rFonts w:hint="eastAsia"/>
        </w:rPr>
        <w:t xml:space="preserve">，审核成本相对较低的娱乐类内容成为承接溢出注意力的天然选择。平台为填补社会类紧缩造成的配额缺口，主动增加娱乐类话题的上榜数量，并延长单条话题的在榜时长，形成话题数量和单条时长同步扩张的局面。</w:t>
      </w:r>
    </w:p>
    <w:p>
      <w:pPr>
        <w:pStyle w:val="BodyText"/>
      </w:pPr>
      <w:r>
        <w:rPr>
          <w:rFonts w:hint="eastAsia"/>
        </w:rPr>
        <w:t xml:space="preserve">基于上述分析，提出假设H4：</w:t>
      </w:r>
    </w:p>
    <w:p>
      <w:pPr>
        <w:pStyle w:val="BodyText"/>
      </w:pPr>
      <w:r>
        <w:rPr>
          <w:rFonts w:hint="eastAsia"/>
          <w:b/>
          <w:bCs/>
        </w:rPr>
        <w:t xml:space="preserve">H4（注意力密度分化）</w:t>
      </w:r>
      <w:r>
        <w:rPr>
          <w:rFonts w:hint="eastAsia"/>
        </w:rPr>
        <w:t xml:space="preserve">：在注意力再分配过程中，不同类型内容的注意力密度呈现差异化演化路径。</w:t>
      </w:r>
    </w:p>
    <w:p>
      <w:pPr>
        <w:pStyle w:val="BodyText"/>
      </w:pPr>
      <w:r>
        <w:rPr>
          <w:rFonts w:hint="eastAsia"/>
        </w:rPr>
        <w:t xml:space="preserve">H4a：社会类单条话题的平均在榜时长在监管后保持稳定或上升，体现</w:t>
      </w:r>
      <w:r>
        <w:rPr>
          <w:rFonts w:hint="eastAsia"/>
        </w:rPr>
        <w:t xml:space="preserve">“少而精”</w:t>
      </w:r>
      <w:r>
        <w:rPr>
          <w:rFonts w:hint="eastAsia"/>
        </w:rPr>
        <w:t xml:space="preserve">调整</w:t>
      </w:r>
    </w:p>
    <w:p>
      <w:pPr>
        <w:pStyle w:val="BodyText"/>
      </w:pPr>
      <w:r>
        <w:rPr>
          <w:rFonts w:hint="eastAsia"/>
        </w:rPr>
        <w:t xml:space="preserve">H4b：娱乐类的总在榜时长、时间份额、单条话题平均时长在监管后显著上升，体现</w:t>
      </w:r>
      <w:r>
        <w:rPr>
          <w:rFonts w:hint="eastAsia"/>
        </w:rPr>
        <w:t xml:space="preserve">“多且长”</w:t>
      </w:r>
      <w:r>
        <w:rPr>
          <w:rFonts w:hint="eastAsia"/>
        </w:rPr>
        <w:t xml:space="preserve">调整</w:t>
      </w:r>
    </w:p>
    <w:bookmarkEnd w:id="19"/>
    <w:bookmarkEnd w:id="20"/>
    <w:bookmarkStart w:id="25" w:name="理论框架总结"/>
    <w:p>
      <w:pPr>
        <w:pStyle w:val="Heading2"/>
      </w:pPr>
      <w:r>
        <w:rPr>
          <w:rFonts w:hint="eastAsia"/>
        </w:rPr>
        <w:t xml:space="preserve">理论框架总结</w:t>
      </w:r>
    </w:p>
    <w:p>
      <w:pPr>
        <w:pStyle w:val="FirstParagraph"/>
      </w:pPr>
      <w:r>
        <w:rPr>
          <w:rFonts w:hint="eastAsia"/>
        </w:rPr>
        <w:t xml:space="preserve">综上所述，本文构建了基于资源依赖理论的算法治理分析框架（见图</w:t>
      </w:r>
      <w:hyperlink w:anchor="fig:framework">
        <w:r>
          <w:rPr>
            <w:rStyle w:val="Hyperlink"/>
          </w:rPr>
          <w:t xml:space="preserve">1</w:t>
        </w:r>
      </w:hyperlink>
      <w:r>
        <w:rPr>
          <w:rFonts w:hint="eastAsia"/>
        </w:rPr>
        <w:t xml:space="preserve">）。该框架的核心逻辑是：算法治理通过分级分类监管改变了不同内容类型的资源获取成本（成本路径）并施加多样性约束（约束路径），平台作为资源依赖者在新的成本结构与约束条件下重新优化资源配置，最终导致内容生态的多维重构。</w:t>
      </w:r>
    </w:p>
    <w:p>
      <w:pPr>
        <w:pStyle w:val="BodyText"/>
      </w:pPr>
      <w:r>
        <w:rPr>
          <w:rFonts w:hint="eastAsia"/>
        </w:rPr>
        <w:t xml:space="preserve">四项假设之间的逻辑关系可概括为：H1（内容质量分化）是成本路径的直接效应，高风险内容面临更高合规成本从而提升质量门槛，体现了资源依赖理论中</w:t>
      </w:r>
      <w:r>
        <w:rPr>
          <w:rFonts w:hint="eastAsia"/>
        </w:rPr>
        <w:t xml:space="preserve">“成本上升导致筛选强化”</w:t>
      </w:r>
      <w:r>
        <w:rPr>
          <w:rFonts w:hint="eastAsia"/>
        </w:rPr>
        <w:t xml:space="preserve">的基本逻辑；H2（注意力去中心化）是约束路径的直接效应，多样性监管约束迫使平台打破头部垄断格局，体现了</w:t>
      </w:r>
      <w:r>
        <w:rPr>
          <w:rFonts w:hint="eastAsia"/>
        </w:rPr>
        <w:t xml:space="preserve">“外部约束改变资源配置模式”</w:t>
      </w:r>
      <w:r>
        <w:rPr>
          <w:rFonts w:hint="eastAsia"/>
        </w:rPr>
        <w:t xml:space="preserve">的理论预测；H3（水床效应）是资源总量约束下的再配置效应，高成本领域紧缩、低成本领域扩张，体现了</w:t>
      </w:r>
      <w:r>
        <w:rPr>
          <w:rFonts w:hint="eastAsia"/>
        </w:rPr>
        <w:t xml:space="preserve">“资源获取渠道受阻时组织转向替代渠道”</w:t>
      </w:r>
      <w:r>
        <w:rPr>
          <w:rFonts w:hint="eastAsia"/>
        </w:rPr>
        <w:t xml:space="preserve">的核心命题；H4（密度分化）是资源再配置在微观层面的表现，社会类</w:t>
      </w:r>
      <w:r>
        <w:rPr>
          <w:rFonts w:hint="eastAsia"/>
        </w:rPr>
        <w:t xml:space="preserve">“少而精”</w:t>
      </w:r>
      <w:r>
        <w:rPr>
          <w:rFonts w:hint="eastAsia"/>
        </w:rPr>
        <w:t xml:space="preserve">、娱乐类</w:t>
      </w:r>
      <w:r>
        <w:rPr>
          <w:rFonts w:hint="eastAsia"/>
        </w:rPr>
        <w:t xml:space="preserve">“多且长”</w:t>
      </w:r>
      <w:r>
        <w:rPr>
          <w:rFonts w:hint="eastAsia"/>
        </w:rPr>
        <w:t xml:space="preserve">，体现了</w:t>
      </w:r>
      <w:r>
        <w:rPr>
          <w:rFonts w:hint="eastAsia"/>
        </w:rPr>
        <w:t xml:space="preserve">“差异化策略最大化资源利用效率”</w:t>
      </w:r>
      <w:r>
        <w:rPr>
          <w:rFonts w:hint="eastAsia"/>
        </w:rPr>
        <w:t xml:space="preserve">的组织行为特征。这一理论框架将多元治理效应纳入统一的资源依赖逻辑，为理解算法治理的系统性后果提供了分析工具。</w:t>
      </w:r>
    </w:p>
    <w:bookmarkStart w:id="24" w:name="fig:framework"/>
    <w:p>
      <w:pPr>
        <w:pStyle w:val="CaptionedFigure"/>
      </w:pPr>
      <w:r>
        <w:drawing>
          <wp:inline>
            <wp:extent cx="5067300" cy="5067300"/>
            <wp:effectExtent b="0" l="0" r="0" t="0"/>
            <wp:docPr descr="" title="" id="22" name="Picture"/>
            <a:graphic>
              <a:graphicData uri="http://schemas.openxmlformats.org/drawingml/2006/picture">
                <pic:pic>
                  <pic:nvPicPr>
                    <pic:cNvPr descr="figures/framework.png" id="23" name="Picture"/>
                    <pic:cNvPicPr>
                      <a:picLocks noChangeArrowheads="1" noChangeAspect="1"/>
                    </pic:cNvPicPr>
                  </pic:nvPicPr>
                  <pic:blipFill>
                    <a:blip r:embed="rId21"/>
                    <a:stretch>
                      <a:fillRect/>
                    </a:stretch>
                  </pic:blipFill>
                  <pic:spPr bwMode="auto">
                    <a:xfrm>
                      <a:off x="0" y="0"/>
                      <a:ext cx="5067300" cy="5067300"/>
                    </a:xfrm>
                    <a:prstGeom prst="rect">
                      <a:avLst/>
                    </a:prstGeom>
                    <a:noFill/>
                    <a:ln w="9525">
                      <a:noFill/>
                      <a:headEnd/>
                      <a:tailEnd/>
                    </a:ln>
                  </pic:spPr>
                </pic:pic>
              </a:graphicData>
            </a:graphic>
          </wp:inline>
        </w:drawing>
      </w:r>
    </w:p>
    <w:p>
      <w:pPr>
        <w:pStyle w:val="ImageCaption"/>
      </w:pPr>
      <w:r>
        <w:rPr>
          <w:rFonts w:hint="eastAsia"/>
        </w:rPr>
        <w:t xml:space="preserve">理论分析框架</w:t>
      </w:r>
    </w:p>
    <w:bookmarkEnd w:id="24"/>
    <w:bookmarkEnd w:id="25"/>
    <w:bookmarkEnd w:id="26"/>
    <w:bookmarkStart w:id="41" w:name="样本选择与数据来源"/>
    <w:p>
      <w:pPr>
        <w:pStyle w:val="Heading1"/>
      </w:pPr>
      <w:r>
        <w:rPr>
          <w:rFonts w:hint="eastAsia"/>
        </w:rPr>
        <w:t xml:space="preserve">样本选择与数据来源</w:t>
      </w:r>
    </w:p>
    <w:bookmarkStart w:id="27" w:name="数据来源与样本筛选"/>
    <w:p>
      <w:pPr>
        <w:pStyle w:val="Heading2"/>
      </w:pPr>
      <w:r>
        <w:rPr>
          <w:rFonts w:hint="eastAsia"/>
        </w:rPr>
        <w:t xml:space="preserve">数据来源与样本筛选</w:t>
      </w:r>
    </w:p>
    <w:p>
      <w:pPr>
        <w:pStyle w:val="FirstParagraph"/>
      </w:pPr>
      <w:r>
        <w:rPr>
          <w:rFonts w:hint="eastAsia"/>
        </w:rPr>
        <w:t xml:space="preserve">本研究使用新浪微博热搜榜的历史数据作为核心数据源。微博作为中国最大的社交媒体平台之一，其热搜榜单通过算法实时聚合用户浏览、搜索、讨论等行为数据，动态生成并展示当前最受关注的50个话题，是观察算法治理效应的理想场景。数据采集的时间窗口为2024年2月1日至2025年10月1日，跨度共计608天，完整覆盖了2024年11月12日算法治理政策实施的前后阶段，其中政策前观测期为253天，政策后观测期为355天。</w:t>
      </w:r>
    </w:p>
    <w:p>
      <w:pPr>
        <w:pStyle w:val="BodyText"/>
      </w:pPr>
      <w:r>
        <w:rPr>
          <w:rFonts w:hint="eastAsia"/>
        </w:rPr>
        <w:t xml:space="preserve">原始数据包含话题名称、热度值（微博官方计算的综合指标，整合了阅读量、讨论量、搜索量等多维度数据）、上榜时长、话题主持人分类（微博平台预设的81个细分类别）、时间戳（精确到分钟级别）等关键维度。为确保数据质量，本文对原始数据实施了三步筛选：第一，剔除时间戳缺失或异常的记录；第二，删除空话题或系统占位符；第三，排除平台未明确分类的</w:t>
      </w:r>
      <w:r>
        <w:rPr>
          <w:rFonts w:hint="eastAsia"/>
        </w:rPr>
        <w:t xml:space="preserve">“其他”</w:t>
      </w:r>
      <w:r>
        <w:rPr>
          <w:rFonts w:hint="eastAsia"/>
        </w:rPr>
        <w:t xml:space="preserve">类别话题（该类别含义模糊，无法纳入类别对比分析）。经过筛选，最终样本包含253,227条观测值，对应约215,083个独立话题，覆盖608个日样本。</w:t>
      </w:r>
    </w:p>
    <w:bookmarkEnd w:id="27"/>
    <w:bookmarkStart w:id="29" w:name="话题分类方法"/>
    <w:p>
      <w:pPr>
        <w:pStyle w:val="Heading2"/>
      </w:pPr>
      <w:r>
        <w:rPr>
          <w:rFonts w:hint="eastAsia"/>
        </w:rPr>
        <w:t xml:space="preserve">话题分类方法</w:t>
      </w:r>
    </w:p>
    <w:p>
      <w:pPr>
        <w:pStyle w:val="FirstParagraph"/>
      </w:pPr>
      <w:r>
        <w:rPr>
          <w:rFonts w:hint="eastAsia"/>
        </w:rPr>
        <w:t xml:space="preserve">本研究直接沿用微博平台预设的主持人分类字段作为话题分类的基础。选择平台原始分类的理由有三：第一，减少测量误差，平台分类基于大规模用户行为数据与算法模型训练，相较于研究者的二次编码具有更高的稳定性；第二，贴近平台决策逻辑，算法治理政策的实施主体是平台本身，使用平台原始分类可最大程度还原算法调整的真实作用路径；第三，提升研究可复制性，平台分类数据可直接获取且公开透明。</w:t>
      </w:r>
    </w:p>
    <w:p>
      <w:pPr>
        <w:pStyle w:val="BodyText"/>
      </w:pPr>
      <w:r>
        <w:rPr>
          <w:rFonts w:hint="eastAsia"/>
        </w:rPr>
        <w:t xml:space="preserve">虽然原始数据包含81个细分类别，但为聚焦理论假设中的核心对比——</w:t>
      </w:r>
      <w:r>
        <w:rPr>
          <w:rFonts w:hint="eastAsia"/>
        </w:rPr>
        <w:t xml:space="preserve">“高风险社会类内容”</w:t>
      </w:r>
      <w:r>
        <w:rPr>
          <w:rFonts w:hint="eastAsia"/>
        </w:rPr>
        <w:t xml:space="preserve">与</w:t>
      </w:r>
      <w:r>
        <w:rPr>
          <w:rFonts w:hint="eastAsia"/>
        </w:rPr>
        <w:t xml:space="preserve">“低风险娱乐类内容”</w:t>
      </w:r>
      <w:r>
        <w:rPr>
          <w:rFonts w:hint="eastAsia"/>
        </w:rPr>
        <w:t xml:space="preserve">之间的差异化效应——本文选取了占比排名前十的类别作为主分析对象。这十大类别合计覆盖约86%的样本量，具体分布见表</w:t>
      </w:r>
      <w:hyperlink w:anchor="tab:category">
        <w:r>
          <w:rPr>
            <w:rStyle w:val="Hyperlink"/>
          </w:rPr>
          <w:t xml:space="preserve">1</w:t>
        </w:r>
      </w:hyperlink>
      <w:r>
        <w:t xml:space="preserve">。</w:t>
      </w:r>
    </w:p>
    <w:bookmarkStart w:id="28" w:name="tab:category"/>
    <w:p>
      <w:pPr>
        <w:pStyle w:val="TableCaption"/>
      </w:pPr>
      <w:r>
        <w:t xml:space="preserve">Top </w:t>
      </w:r>
      <w:r>
        <w:rPr>
          <w:rFonts w:hint="eastAsia"/>
        </w:rPr>
        <w:t xml:space="preserve">10话题类别分布</w:t>
      </w:r>
    </w:p>
    <w:tbl>
      <w:tblPr>
        <w:tblStyle w:val="Table"/>
        <w:tblW w:type="auto" w:w="0"/>
        <w:tblLook w:firstRow="1" w:lastRow="0" w:firstColumn="0" w:lastColumn="0" w:noHBand="0" w:noVBand="0" w:val="0020"/>
        <w:tblCaption w:val="Top 10话题类别分布"/>
      </w:tblPr>
      <w:tblGrid>
        <w:gridCol w:w="1584"/>
        <w:gridCol w:w="1584"/>
        <w:gridCol w:w="1584"/>
        <w:gridCol w:w="1584"/>
        <w:gridCol w:w="1584"/>
      </w:tblGrid>
      <w:tr>
        <w:trPr>
          <w:tblHeader w:val="on"/>
        </w:trPr>
        <w:tc>
          <w:tcPr/>
          <w:p>
            <w:pPr>
              <w:pStyle w:val="Compact"/>
              <w:jc w:val="left"/>
            </w:pPr>
            <w:r>
              <w:rPr>
                <w:rFonts w:hint="eastAsia"/>
              </w:rPr>
              <w:t xml:space="preserve">类别</w:t>
            </w:r>
          </w:p>
        </w:tc>
        <w:tc>
          <w:tcPr/>
          <w:p>
            <w:pPr>
              <w:pStyle w:val="Compact"/>
              <w:jc w:val="center"/>
            </w:pPr>
            <w:r>
              <w:rPr>
                <w:rFonts w:hint="eastAsia"/>
              </w:rPr>
              <w:t xml:space="preserve">占比</w:t>
            </w:r>
          </w:p>
        </w:tc>
        <w:tc>
          <w:tcPr/>
          <w:p>
            <w:pPr>
              <w:pStyle w:val="Compact"/>
              <w:jc w:val="center"/>
            </w:pPr>
            <w:r>
              <w:rPr>
                <w:rFonts w:hint="eastAsia"/>
              </w:rPr>
              <w:t xml:space="preserve">累计占比</w:t>
            </w:r>
          </w:p>
        </w:tc>
        <w:tc>
          <w:tcPr/>
          <w:p>
            <w:pPr>
              <w:pStyle w:val="Compact"/>
              <w:jc w:val="center"/>
            </w:pPr>
            <w:r>
              <w:rPr>
                <w:rFonts w:hint="eastAsia"/>
              </w:rPr>
              <w:t xml:space="preserve">风险等级</w:t>
            </w:r>
          </w:p>
        </w:tc>
        <w:tc>
          <w:tcPr/>
          <w:p>
            <w:pPr>
              <w:pStyle w:val="Compact"/>
              <w:jc w:val="left"/>
            </w:pPr>
            <w:r>
              <w:rPr>
                <w:rFonts w:hint="eastAsia"/>
              </w:rPr>
              <w:t xml:space="preserve">核心分析组</w:t>
            </w:r>
          </w:p>
        </w:tc>
      </w:tr>
      <w:tr>
        <w:tc>
          <w:tcPr/>
          <w:p>
            <w:pPr>
              <w:pStyle w:val="Compact"/>
              <w:jc w:val="left"/>
            </w:pPr>
            <w:r>
              <w:rPr>
                <w:rFonts w:hint="eastAsia"/>
              </w:rPr>
              <w:t xml:space="preserve">社会</w:t>
            </w:r>
          </w:p>
        </w:tc>
        <w:tc>
          <w:tcPr/>
          <w:p>
            <w:pPr>
              <w:pStyle w:val="Compact"/>
              <w:jc w:val="center"/>
            </w:pPr>
            <w:r>
              <w:t xml:space="preserve">34.82%</w:t>
            </w:r>
          </w:p>
        </w:tc>
        <w:tc>
          <w:tcPr/>
          <w:p>
            <w:pPr>
              <w:pStyle w:val="Compact"/>
              <w:jc w:val="center"/>
            </w:pPr>
            <w:r>
              <w:t xml:space="preserve">34.82%</w:t>
            </w:r>
          </w:p>
        </w:tc>
        <w:tc>
          <w:tcPr/>
          <w:p>
            <w:pPr>
              <w:pStyle w:val="Compact"/>
              <w:jc w:val="center"/>
            </w:pPr>
            <w:r>
              <w:rPr>
                <w:rFonts w:hint="eastAsia"/>
              </w:rPr>
              <w:t xml:space="preserve">高风险</w:t>
            </w:r>
          </w:p>
        </w:tc>
        <w:tc>
          <w:tcPr/>
          <w:p>
            <w:pPr>
              <w:pStyle w:val="Compact"/>
              <w:jc w:val="left"/>
            </w:pPr>
            <w:r>
              <w:rPr>
                <w:rFonts w:hint="eastAsia"/>
              </w:rPr>
              <w:t xml:space="preserve">社会类</w:t>
            </w:r>
          </w:p>
        </w:tc>
      </w:tr>
      <w:tr>
        <w:tc>
          <w:tcPr/>
          <w:p>
            <w:pPr>
              <w:pStyle w:val="Compact"/>
              <w:jc w:val="left"/>
            </w:pPr>
            <w:r>
              <w:rPr>
                <w:rFonts w:hint="eastAsia"/>
              </w:rPr>
              <w:t xml:space="preserve">明星</w:t>
            </w:r>
          </w:p>
        </w:tc>
        <w:tc>
          <w:tcPr/>
          <w:p>
            <w:pPr>
              <w:pStyle w:val="Compact"/>
              <w:jc w:val="center"/>
            </w:pPr>
            <w:r>
              <w:t xml:space="preserve">11.86%</w:t>
            </w:r>
          </w:p>
        </w:tc>
        <w:tc>
          <w:tcPr/>
          <w:p>
            <w:pPr>
              <w:pStyle w:val="Compact"/>
              <w:jc w:val="center"/>
            </w:pPr>
            <w:r>
              <w:t xml:space="preserve">46.68%</w:t>
            </w:r>
          </w:p>
        </w:tc>
        <w:tc>
          <w:tcPr/>
          <w:p>
            <w:pPr>
              <w:pStyle w:val="Compact"/>
              <w:jc w:val="center"/>
            </w:pPr>
            <w:r>
              <w:rPr>
                <w:rFonts w:hint="eastAsia"/>
              </w:rPr>
              <w:t xml:space="preserve">低风险</w:t>
            </w:r>
          </w:p>
        </w:tc>
        <w:tc>
          <w:tcPr/>
          <w:p>
            <w:pPr>
              <w:pStyle w:val="Compact"/>
              <w:jc w:val="left"/>
            </w:pPr>
            <w:r>
              <w:rPr>
                <w:rFonts w:hint="eastAsia"/>
              </w:rPr>
              <w:t xml:space="preserve">娱乐类</w:t>
            </w:r>
          </w:p>
        </w:tc>
      </w:tr>
      <w:tr>
        <w:tc>
          <w:tcPr/>
          <w:p>
            <w:pPr>
              <w:pStyle w:val="Compact"/>
              <w:jc w:val="left"/>
            </w:pPr>
            <w:r>
              <w:rPr>
                <w:rFonts w:hint="eastAsia"/>
              </w:rPr>
              <w:t xml:space="preserve">体育</w:t>
            </w:r>
          </w:p>
        </w:tc>
        <w:tc>
          <w:tcPr/>
          <w:p>
            <w:pPr>
              <w:pStyle w:val="Compact"/>
              <w:jc w:val="center"/>
            </w:pPr>
            <w:r>
              <w:t xml:space="preserve">10.43%</w:t>
            </w:r>
          </w:p>
        </w:tc>
        <w:tc>
          <w:tcPr/>
          <w:p>
            <w:pPr>
              <w:pStyle w:val="Compact"/>
              <w:jc w:val="center"/>
            </w:pPr>
            <w:r>
              <w:t xml:space="preserve">57.11%</w:t>
            </w:r>
          </w:p>
        </w:tc>
        <w:tc>
          <w:tcPr/>
          <w:p>
            <w:pPr>
              <w:pStyle w:val="Compact"/>
              <w:jc w:val="center"/>
            </w:pPr>
            <w:r>
              <w:rPr>
                <w:rFonts w:hint="eastAsia"/>
              </w:rPr>
              <w:t xml:space="preserve">中风险</w:t>
            </w:r>
          </w:p>
        </w:tc>
        <w:tc>
          <w:tcPr/>
          <w:p>
            <w:pPr>
              <w:pStyle w:val="Compact"/>
              <w:jc w:val="left"/>
            </w:pPr>
            <w:r>
              <w:t xml:space="preserve">—</w:t>
            </w:r>
          </w:p>
        </w:tc>
      </w:tr>
      <w:tr>
        <w:tc>
          <w:tcPr/>
          <w:p>
            <w:pPr>
              <w:pStyle w:val="Compact"/>
              <w:jc w:val="left"/>
            </w:pPr>
            <w:r>
              <w:rPr>
                <w:rFonts w:hint="eastAsia"/>
              </w:rPr>
              <w:t xml:space="preserve">时事</w:t>
            </w:r>
          </w:p>
        </w:tc>
        <w:tc>
          <w:tcPr/>
          <w:p>
            <w:pPr>
              <w:pStyle w:val="Compact"/>
              <w:jc w:val="center"/>
            </w:pPr>
            <w:r>
              <w:t xml:space="preserve">6.52%</w:t>
            </w:r>
          </w:p>
        </w:tc>
        <w:tc>
          <w:tcPr/>
          <w:p>
            <w:pPr>
              <w:pStyle w:val="Compact"/>
              <w:jc w:val="center"/>
            </w:pPr>
            <w:r>
              <w:t xml:space="preserve">63.63%</w:t>
            </w:r>
          </w:p>
        </w:tc>
        <w:tc>
          <w:tcPr/>
          <w:p>
            <w:pPr>
              <w:pStyle w:val="Compact"/>
              <w:jc w:val="center"/>
            </w:pPr>
            <w:r>
              <w:rPr>
                <w:rFonts w:hint="eastAsia"/>
              </w:rPr>
              <w:t xml:space="preserve">中风险</w:t>
            </w:r>
          </w:p>
        </w:tc>
        <w:tc>
          <w:tcPr/>
          <w:p>
            <w:pPr>
              <w:pStyle w:val="Compact"/>
              <w:jc w:val="left"/>
            </w:pPr>
            <w:r>
              <w:t xml:space="preserve">—</w:t>
            </w:r>
          </w:p>
        </w:tc>
      </w:tr>
      <w:tr>
        <w:tc>
          <w:tcPr/>
          <w:p>
            <w:pPr>
              <w:pStyle w:val="Compact"/>
              <w:jc w:val="left"/>
            </w:pPr>
            <w:r>
              <w:rPr>
                <w:rFonts w:hint="eastAsia"/>
              </w:rPr>
              <w:t xml:space="preserve">游戏</w:t>
            </w:r>
          </w:p>
        </w:tc>
        <w:tc>
          <w:tcPr/>
          <w:p>
            <w:pPr>
              <w:pStyle w:val="Compact"/>
              <w:jc w:val="center"/>
            </w:pPr>
            <w:r>
              <w:t xml:space="preserve">4.82%</w:t>
            </w:r>
          </w:p>
        </w:tc>
        <w:tc>
          <w:tcPr/>
          <w:p>
            <w:pPr>
              <w:pStyle w:val="Compact"/>
              <w:jc w:val="center"/>
            </w:pPr>
            <w:r>
              <w:t xml:space="preserve">68.45%</w:t>
            </w:r>
          </w:p>
        </w:tc>
        <w:tc>
          <w:tcPr/>
          <w:p>
            <w:pPr>
              <w:pStyle w:val="Compact"/>
              <w:jc w:val="center"/>
            </w:pPr>
            <w:r>
              <w:rPr>
                <w:rFonts w:hint="eastAsia"/>
              </w:rPr>
              <w:t xml:space="preserve">低风险</w:t>
            </w:r>
          </w:p>
        </w:tc>
        <w:tc>
          <w:tcPr/>
          <w:p>
            <w:pPr>
              <w:pStyle w:val="Compact"/>
              <w:jc w:val="left"/>
            </w:pPr>
            <w:r>
              <w:rPr>
                <w:rFonts w:hint="eastAsia"/>
              </w:rPr>
              <w:t xml:space="preserve">娱乐类</w:t>
            </w:r>
          </w:p>
        </w:tc>
      </w:tr>
      <w:tr>
        <w:tc>
          <w:tcPr/>
          <w:p>
            <w:pPr>
              <w:pStyle w:val="Compact"/>
              <w:jc w:val="left"/>
            </w:pPr>
            <w:r>
              <w:rPr>
                <w:rFonts w:hint="eastAsia"/>
              </w:rPr>
              <w:t xml:space="preserve">明星-内地</w:t>
            </w:r>
          </w:p>
        </w:tc>
        <w:tc>
          <w:tcPr/>
          <w:p>
            <w:pPr>
              <w:pStyle w:val="Compact"/>
              <w:jc w:val="center"/>
            </w:pPr>
            <w:r>
              <w:t xml:space="preserve">4.61%</w:t>
            </w:r>
          </w:p>
        </w:tc>
        <w:tc>
          <w:tcPr/>
          <w:p>
            <w:pPr>
              <w:pStyle w:val="Compact"/>
              <w:jc w:val="center"/>
            </w:pPr>
            <w:r>
              <w:t xml:space="preserve">73.06%</w:t>
            </w:r>
          </w:p>
        </w:tc>
        <w:tc>
          <w:tcPr/>
          <w:p>
            <w:pPr>
              <w:pStyle w:val="Compact"/>
              <w:jc w:val="center"/>
            </w:pPr>
            <w:r>
              <w:rPr>
                <w:rFonts w:hint="eastAsia"/>
              </w:rPr>
              <w:t xml:space="preserve">低风险</w:t>
            </w:r>
          </w:p>
        </w:tc>
        <w:tc>
          <w:tcPr/>
          <w:p>
            <w:pPr>
              <w:pStyle w:val="Compact"/>
              <w:jc w:val="left"/>
            </w:pPr>
            <w:r>
              <w:rPr>
                <w:rFonts w:hint="eastAsia"/>
              </w:rPr>
              <w:t xml:space="preserve">娱乐类</w:t>
            </w:r>
          </w:p>
        </w:tc>
      </w:tr>
      <w:tr>
        <w:tc>
          <w:tcPr/>
          <w:p>
            <w:pPr>
              <w:pStyle w:val="Compact"/>
              <w:jc w:val="left"/>
            </w:pPr>
            <w:r>
              <w:rPr>
                <w:rFonts w:hint="eastAsia"/>
              </w:rPr>
              <w:t xml:space="preserve">综艺</w:t>
            </w:r>
          </w:p>
        </w:tc>
        <w:tc>
          <w:tcPr/>
          <w:p>
            <w:pPr>
              <w:pStyle w:val="Compact"/>
              <w:jc w:val="center"/>
            </w:pPr>
            <w:r>
              <w:t xml:space="preserve">4.30%</w:t>
            </w:r>
          </w:p>
        </w:tc>
        <w:tc>
          <w:tcPr/>
          <w:p>
            <w:pPr>
              <w:pStyle w:val="Compact"/>
              <w:jc w:val="center"/>
            </w:pPr>
            <w:r>
              <w:t xml:space="preserve">77.36%</w:t>
            </w:r>
          </w:p>
        </w:tc>
        <w:tc>
          <w:tcPr/>
          <w:p>
            <w:pPr>
              <w:pStyle w:val="Compact"/>
              <w:jc w:val="center"/>
            </w:pPr>
            <w:r>
              <w:rPr>
                <w:rFonts w:hint="eastAsia"/>
              </w:rPr>
              <w:t xml:space="preserve">低风险</w:t>
            </w:r>
          </w:p>
        </w:tc>
        <w:tc>
          <w:tcPr/>
          <w:p>
            <w:pPr>
              <w:pStyle w:val="Compact"/>
              <w:jc w:val="left"/>
            </w:pPr>
            <w:r>
              <w:rPr>
                <w:rFonts w:hint="eastAsia"/>
              </w:rPr>
              <w:t xml:space="preserve">娱乐类</w:t>
            </w:r>
          </w:p>
        </w:tc>
      </w:tr>
      <w:tr>
        <w:tc>
          <w:tcPr/>
          <w:p>
            <w:pPr>
              <w:pStyle w:val="Compact"/>
              <w:jc w:val="left"/>
            </w:pPr>
            <w:r>
              <w:rPr>
                <w:rFonts w:hint="eastAsia"/>
              </w:rPr>
              <w:t xml:space="preserve">电视剧</w:t>
            </w:r>
          </w:p>
        </w:tc>
        <w:tc>
          <w:tcPr/>
          <w:p>
            <w:pPr>
              <w:pStyle w:val="Compact"/>
              <w:jc w:val="center"/>
            </w:pPr>
            <w:r>
              <w:t xml:space="preserve">3.17%</w:t>
            </w:r>
          </w:p>
        </w:tc>
        <w:tc>
          <w:tcPr/>
          <w:p>
            <w:pPr>
              <w:pStyle w:val="Compact"/>
              <w:jc w:val="center"/>
            </w:pPr>
            <w:r>
              <w:t xml:space="preserve">80.53%</w:t>
            </w:r>
          </w:p>
        </w:tc>
        <w:tc>
          <w:tcPr/>
          <w:p>
            <w:pPr>
              <w:pStyle w:val="Compact"/>
              <w:jc w:val="center"/>
            </w:pPr>
            <w:r>
              <w:rPr>
                <w:rFonts w:hint="eastAsia"/>
              </w:rPr>
              <w:t xml:space="preserve">低风险</w:t>
            </w:r>
          </w:p>
        </w:tc>
        <w:tc>
          <w:tcPr/>
          <w:p>
            <w:pPr>
              <w:pStyle w:val="Compact"/>
              <w:jc w:val="left"/>
            </w:pPr>
            <w:r>
              <w:rPr>
                <w:rFonts w:hint="eastAsia"/>
              </w:rPr>
              <w:t xml:space="preserve">娱乐类</w:t>
            </w:r>
          </w:p>
        </w:tc>
      </w:tr>
      <w:tr>
        <w:tc>
          <w:tcPr/>
          <w:p>
            <w:pPr>
              <w:pStyle w:val="Compact"/>
              <w:jc w:val="left"/>
            </w:pPr>
            <w:r>
              <w:rPr>
                <w:rFonts w:hint="eastAsia"/>
              </w:rPr>
              <w:t xml:space="preserve">搞笑</w:t>
            </w:r>
          </w:p>
        </w:tc>
        <w:tc>
          <w:tcPr/>
          <w:p>
            <w:pPr>
              <w:pStyle w:val="Compact"/>
              <w:jc w:val="center"/>
            </w:pPr>
            <w:r>
              <w:t xml:space="preserve">2.69%</w:t>
            </w:r>
          </w:p>
        </w:tc>
        <w:tc>
          <w:tcPr/>
          <w:p>
            <w:pPr>
              <w:pStyle w:val="Compact"/>
              <w:jc w:val="center"/>
            </w:pPr>
            <w:r>
              <w:t xml:space="preserve">83.22%</w:t>
            </w:r>
          </w:p>
        </w:tc>
        <w:tc>
          <w:tcPr/>
          <w:p>
            <w:pPr>
              <w:pStyle w:val="Compact"/>
              <w:jc w:val="center"/>
            </w:pPr>
            <w:r>
              <w:rPr>
                <w:rFonts w:hint="eastAsia"/>
              </w:rPr>
              <w:t xml:space="preserve">低风险</w:t>
            </w:r>
          </w:p>
        </w:tc>
        <w:tc>
          <w:tcPr/>
          <w:p>
            <w:pPr>
              <w:pStyle w:val="Compact"/>
              <w:jc w:val="left"/>
            </w:pPr>
            <w:r>
              <w:rPr>
                <w:rFonts w:hint="eastAsia"/>
              </w:rPr>
              <w:t xml:space="preserve">娱乐类</w:t>
            </w:r>
          </w:p>
        </w:tc>
      </w:tr>
      <w:tr>
        <w:tc>
          <w:tcPr/>
          <w:p>
            <w:pPr>
              <w:pStyle w:val="Compact"/>
              <w:jc w:val="left"/>
            </w:pPr>
            <w:r>
              <w:rPr>
                <w:rFonts w:hint="eastAsia"/>
              </w:rPr>
              <w:t xml:space="preserve">财经</w:t>
            </w:r>
          </w:p>
        </w:tc>
        <w:tc>
          <w:tcPr/>
          <w:p>
            <w:pPr>
              <w:pStyle w:val="Compact"/>
              <w:jc w:val="center"/>
            </w:pPr>
            <w:r>
              <w:t xml:space="preserve">2.46%</w:t>
            </w:r>
          </w:p>
        </w:tc>
        <w:tc>
          <w:tcPr/>
          <w:p>
            <w:pPr>
              <w:pStyle w:val="Compact"/>
              <w:jc w:val="center"/>
            </w:pPr>
            <w:r>
              <w:t xml:space="preserve">85.68%</w:t>
            </w:r>
          </w:p>
        </w:tc>
        <w:tc>
          <w:tcPr/>
          <w:p>
            <w:pPr>
              <w:pStyle w:val="Compact"/>
              <w:jc w:val="center"/>
            </w:pPr>
            <w:r>
              <w:rPr>
                <w:rFonts w:hint="eastAsia"/>
              </w:rPr>
              <w:t xml:space="preserve">中风险</w:t>
            </w:r>
          </w:p>
        </w:tc>
        <w:tc>
          <w:tcPr/>
          <w:p>
            <w:pPr>
              <w:pStyle w:val="Compact"/>
              <w:jc w:val="left"/>
            </w:pPr>
            <w:r>
              <w:t xml:space="preserve">—</w:t>
            </w:r>
          </w:p>
        </w:tc>
      </w:tr>
    </w:tbl>
    <w:bookmarkEnd w:id="28"/>
    <w:p>
      <w:pPr>
        <w:pStyle w:val="BodyText"/>
      </w:pPr>
      <w:r>
        <w:rPr>
          <w:rFonts w:hint="eastAsia"/>
        </w:rPr>
        <w:t xml:space="preserve">基于理论假设中关于</w:t>
      </w:r>
      <w:r>
        <w:rPr>
          <w:rFonts w:hint="eastAsia"/>
        </w:rPr>
        <w:t xml:space="preserve">“监管强度的非对称性”</w:t>
      </w:r>
      <w:r>
        <w:rPr>
          <w:rFonts w:hint="eastAsia"/>
        </w:rPr>
        <w:t xml:space="preserve">，本文将上述类别聚合为两个核心对比组：社会类（占比34.82%），主要涵盖公共事件、民生议题、社会现象等具有较强舆论属性的内容，根据《算法专项治理清单指引》第11条和第23条，此类内容被纳入平台重点监测范围，面临更高的信息真实性、来源可溯性要求，构成典型的</w:t>
      </w:r>
      <w:r>
        <w:rPr>
          <w:rFonts w:hint="eastAsia"/>
        </w:rPr>
        <w:t xml:space="preserve">“高风险、高合规成本”</w:t>
      </w:r>
      <w:r>
        <w:rPr>
          <w:rFonts w:hint="eastAsia"/>
        </w:rPr>
        <w:t xml:space="preserve">类别；娱乐类（包括明星、明星-内地、游戏、综艺、电视剧、搞笑等六个子类别，合计占比31.45%），主要涵盖明星动态、娱乐八卦、游戏资讯、综艺节目、影视剧集、搞笑内容等泛娱乐领域话题，其特征是用户参与度高但舆论风险相对可控，监管多采取</w:t>
      </w:r>
      <w:r>
        <w:rPr>
          <w:rFonts w:hint="eastAsia"/>
        </w:rPr>
        <w:t xml:space="preserve">“守住底线”</w:t>
      </w:r>
      <w:r>
        <w:rPr>
          <w:rFonts w:hint="eastAsia"/>
        </w:rPr>
        <w:t xml:space="preserve">的防御性姿态，构成典型的</w:t>
      </w:r>
      <w:r>
        <w:rPr>
          <w:rFonts w:hint="eastAsia"/>
        </w:rPr>
        <w:t xml:space="preserve">“低风险、低合规成本”</w:t>
      </w:r>
      <w:r>
        <w:rPr>
          <w:rFonts w:hint="eastAsia"/>
        </w:rPr>
        <w:t xml:space="preserve">类别。选择这两个类别作为核心对比组，是因为二者在监管强度、内容属性、用户群体等维度上呈现出最鲜明的两极分化特征，这种</w:t>
      </w:r>
      <w:r>
        <w:rPr>
          <w:rFonts w:hint="eastAsia"/>
        </w:rPr>
        <w:t xml:space="preserve">“极端对比”</w:t>
      </w:r>
      <w:r>
        <w:rPr>
          <w:rFonts w:hint="eastAsia"/>
        </w:rPr>
        <w:t xml:space="preserve">策略有助于清晰识别算法治理的差异化效应。</w:t>
      </w:r>
    </w:p>
    <w:bookmarkEnd w:id="29"/>
    <w:bookmarkStart w:id="35" w:name="变量定义与测量"/>
    <w:p>
      <w:pPr>
        <w:pStyle w:val="Heading2"/>
      </w:pPr>
      <w:r>
        <w:rPr>
          <w:rFonts w:hint="eastAsia"/>
        </w:rPr>
        <w:t xml:space="preserve">变量定义与测量</w:t>
      </w:r>
    </w:p>
    <w:p>
      <w:pPr>
        <w:pStyle w:val="FirstParagraph"/>
      </w:pPr>
      <w:r>
        <w:rPr>
          <w:rFonts w:hint="eastAsia"/>
        </w:rPr>
        <w:t xml:space="preserve">本研究构建了涵盖多样性、质量、注意力配置、注意力密度四个维度的指标体系，以全面检验算法治理对平台生态系统的重构效应。表</w:t>
      </w:r>
      <w:hyperlink w:anchor="tab:variables">
        <w:r>
          <w:rPr>
            <w:rStyle w:val="Hyperlink"/>
          </w:rPr>
          <w:t xml:space="preserve">2</w:t>
        </w:r>
      </w:hyperlink>
      <w:r>
        <w:rPr>
          <w:rFonts w:hint="eastAsia"/>
        </w:rPr>
        <w:t xml:space="preserve">汇总了所有核心变量的定义、测量方法、文献来源及对应假说。</w:t>
      </w:r>
    </w:p>
    <w:bookmarkStart w:id="30" w:name="质量指标h1"/>
    <w:p>
      <w:pPr>
        <w:pStyle w:val="Heading3"/>
      </w:pPr>
      <w:r>
        <w:rPr>
          <w:rFonts w:hint="eastAsia"/>
        </w:rPr>
        <w:t xml:space="preserve">质量指标（H1）</w:t>
      </w:r>
    </w:p>
    <w:p>
      <w:pPr>
        <w:pStyle w:val="FirstParagraph"/>
      </w:pPr>
      <w:r>
        <w:rPr>
          <w:rFonts w:hint="eastAsia"/>
        </w:rPr>
        <w:t xml:space="preserve">信息差指数基于</w:t>
      </w:r>
      <w:r>
        <w:t xml:space="preserve">Loewenstein (1994)</w:t>
      </w:r>
      <w:r>
        <w:rPr>
          <w:rFonts w:hint="eastAsia"/>
        </w:rPr>
        <w:t xml:space="preserve">的信息差理论（information</w:t>
      </w:r>
      <w:r>
        <w:t xml:space="preserve"> gap </w:t>
      </w:r>
      <w:r>
        <w:rPr>
          <w:rFonts w:hint="eastAsia"/>
        </w:rPr>
        <w:t xml:space="preserve">theory），该理论指出当个体意识到知识缺口时会产生强烈好奇心，驱使其采取行动填补缺口。诱导性标题（clickbait）正是利用这一心理机制，通过制造标题与内容之间的语义悬念来操纵用户的注意力分配</w:t>
      </w:r>
      <w:r>
        <w:t xml:space="preserve">(Golman and Loewenstein 2018)</w:t>
      </w:r>
      <w:r>
        <w:rPr>
          <w:rFonts w:hint="eastAsia"/>
        </w:rPr>
        <w:t xml:space="preserve">。本研究采用基于关键词词频统计的方法构建信息差指数，该方法在社交媒体内容分析中得到广泛应用</w:t>
      </w:r>
      <w:r>
        <w:t xml:space="preserve">(Chakraborty et al. 2016)</w:t>
      </w:r>
      <w:r>
        <w:t xml:space="preserve">。</w:t>
      </w:r>
    </w:p>
    <w:p>
      <w:pPr>
        <w:pStyle w:val="BodyText"/>
      </w:pPr>
      <w:r>
        <w:rPr>
          <w:rFonts w:hint="eastAsia"/>
        </w:rPr>
        <w:t xml:space="preserve">具体而言，本文识别话题标题中制造好奇缺口的三类语言特征：疑问词（为何、为什么、怎么、什么、原因、真相）、悬念词（曝、竟、暗示、去向、结局、神反转、揭秘、内幕、背后）、疑问标点（?、？）。本研究采用关键词词频聚合方法构建信息差指数：通过对标题文本进行分词处理，统计上述三类特征词的出现频次，将标题中出现任一特征词的情况标记为存在信息差。该方法遵循内容分析领域的标准化编码流程，在保证测量效度的同时兼顾了大规模文本分析的可操作性。该二元测度直接捕捉了标题是否利用</w:t>
      </w:r>
      <w:r>
        <w:rPr>
          <w:rFonts w:hint="eastAsia"/>
        </w:rPr>
        <w:t xml:space="preserve">“知识缺口”</w:t>
      </w:r>
      <w:r>
        <w:rPr>
          <w:rFonts w:hint="eastAsia"/>
        </w:rPr>
        <w:t xml:space="preserve">策略吸引注意力，值越高表示信息诱导程度越强，内容质量越低。</w:t>
      </w:r>
    </w:p>
    <w:p>
      <w:pPr>
        <w:pStyle w:val="BodyText"/>
      </w:pPr>
      <w:r>
        <w:rPr>
          <w:rFonts w:hint="eastAsia"/>
        </w:rPr>
        <w:t xml:space="preserve">为检验H1b中提出的</w:t>
      </w:r>
      <w:r>
        <w:rPr>
          <w:rFonts w:hint="eastAsia"/>
        </w:rPr>
        <w:t xml:space="preserve">“机构媒体相对优势”</w:t>
      </w:r>
      <w:r>
        <w:rPr>
          <w:rFonts w:hint="eastAsia"/>
        </w:rPr>
        <w:t xml:space="preserve">假说，本文对话题的信源属性进行了分类。根据</w:t>
      </w:r>
      <w:r>
        <w:t xml:space="preserve">He et al. (2022)</w:t>
      </w:r>
      <w:r>
        <w:rPr>
          <w:rFonts w:hint="eastAsia"/>
        </w:rPr>
        <w:t xml:space="preserve">对中国舆论生态的研究，机构媒体在内容规范性和信息可信度方面具有显著优势，构成平台治理中的</w:t>
      </w:r>
      <w:r>
        <w:rPr>
          <w:rFonts w:hint="eastAsia"/>
        </w:rPr>
        <w:t xml:space="preserve">“质量基准”</w:t>
      </w:r>
      <w:r>
        <w:rPr>
          <w:rFonts w:hint="eastAsia"/>
        </w:rPr>
        <w:t xml:space="preserve">。本研究基于人工标注数据（manual_host_labels.csv）对话题主持人进行机构媒体/自媒体分类，该标注结合了启发式规则和人工校验。机构媒体定义为：传统主流媒体（如央视新闻、澎湃新闻、新京报）、政务账号（如公安部、各地卫健委）及新闻门户账号。机构媒体虚拟变量赋值为1，自媒体及个人账号赋值为0。</w:t>
      </w:r>
    </w:p>
    <w:bookmarkEnd w:id="30"/>
    <w:bookmarkStart w:id="31" w:name="多样性指标h2"/>
    <w:p>
      <w:pPr>
        <w:pStyle w:val="Heading3"/>
      </w:pPr>
      <w:r>
        <w:rPr>
          <w:rFonts w:hint="eastAsia"/>
        </w:rPr>
        <w:t xml:space="preserve">多样性指标（H2）</w:t>
      </w:r>
    </w:p>
    <w:p>
      <w:pPr>
        <w:pStyle w:val="FirstParagraph"/>
      </w:pPr>
      <w:r>
        <w:rPr>
          <w:rFonts w:hint="eastAsia"/>
        </w:rPr>
        <w:t xml:space="preserve">Shannon熵是信息论中衡量分布不确定性的经典指标，广泛应用于推荐系统多样性的评估</w:t>
      </w:r>
      <w:r>
        <w:t xml:space="preserve">(Oestreicher-Singer and Sundararajan 2012)</w:t>
      </w:r>
      <w:r>
        <w:rPr>
          <w:rFonts w:hint="eastAsia"/>
        </w:rPr>
        <w:t xml:space="preserve">。该指标值越大，表示注意力分布越均匀，头部垄断程度越低。定义为：</w:t>
      </w:r>
    </w:p>
    <w:p>
      <w:pPr>
        <w:pStyle w:val="BodyText"/>
      </w:pPr>
      <m:oMathPara>
        <m:oMathParaPr>
          <m:jc m:val="center"/>
        </m:oMathParaPr>
        <m:oMath>
          <m:r>
            <m:t>H</m:t>
          </m:r>
          <m:r>
            <m:rPr>
              <m:sty m:val="p"/>
            </m:rPr>
            <m:t>(</m:t>
          </m:r>
          <m:r>
            <m:t>p</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ln</m:t>
          </m:r>
          <m:sSub>
            <m:e>
              <m:r>
                <m:t>p</m:t>
              </m:r>
            </m:e>
            <m:sub>
              <m:r>
                <m:t>i</m:t>
              </m:r>
            </m:sub>
          </m:sSub>
        </m:oMath>
      </m:oMathPara>
    </w:p>
    <w:p>
      <w:pPr>
        <w:pStyle w:val="FirstParagraph"/>
      </w:pPr>
      <w:r>
        <w:rPr>
          <w:rFonts w:hint="eastAsia"/>
        </w:rPr>
        <w:t xml:space="preserve">其中，</w:t>
      </w:r>
      <m:oMath>
        <m:sSub>
          <m:e>
            <m:r>
              <m:t>p</m:t>
            </m:r>
          </m:e>
          <m:sub>
            <m:r>
              <m:t>i</m:t>
            </m:r>
          </m:sub>
        </m:sSub>
      </m:oMath>
      <w:r>
        <w:rPr>
          <w:rFonts w:hint="eastAsia"/>
        </w:rPr>
        <w:t xml:space="preserve">为第</w:t>
      </w:r>
      <m:oMath>
        <m:r>
          <m:t>i</m:t>
        </m:r>
      </m:oMath>
      <w:r>
        <w:rPr>
          <w:rFonts w:hint="eastAsia"/>
        </w:rPr>
        <w:t xml:space="preserve">个话题获得的注意力份额（以在榜时长占比衡量），</w:t>
      </w:r>
      <m:oMath>
        <m:r>
          <m:t>N</m:t>
        </m:r>
      </m:oMath>
      <w:r>
        <w:rPr>
          <w:rFonts w:hint="eastAsia"/>
        </w:rPr>
        <w:t xml:space="preserve">为观测日内上榜话题总数。当所有话题获得等额注意力时（</w:t>
      </w:r>
      <m:oMath>
        <m:sSub>
          <m:e>
            <m:r>
              <m:t>p</m:t>
            </m:r>
          </m:e>
          <m:sub>
            <m:r>
              <m:t>i</m:t>
            </m:r>
          </m:sub>
        </m:sSub>
        <m:r>
          <m:rPr>
            <m:sty m:val="p"/>
          </m:rPr>
          <m:t>=</m:t>
        </m:r>
        <m:r>
          <m:t>1</m:t>
        </m:r>
        <m:r>
          <m:rPr>
            <m:sty m:val="p"/>
          </m:rPr>
          <m:t>/</m:t>
        </m:r>
        <m:r>
          <m:t>N</m:t>
        </m:r>
      </m:oMath>
      <w:r>
        <w:rPr>
          <w:rFonts w:hint="eastAsia"/>
        </w:rPr>
        <w:t xml:space="preserve">），Shannon熵达到最大值</w:t>
      </w:r>
      <m:oMath>
        <m:r>
          <m:rPr>
            <m:sty m:val="p"/>
          </m:rPr>
          <m:t>ln</m:t>
        </m:r>
        <m:r>
          <m:t>N</m:t>
        </m:r>
      </m:oMath>
      <w:r>
        <w:rPr>
          <w:rFonts w:hint="eastAsia"/>
        </w:rPr>
        <w:t xml:space="preserve">；当注意力完全集中于单一话题时（</w:t>
      </w:r>
      <m:oMath>
        <m:sSub>
          <m:e>
            <m:r>
              <m:t>p</m:t>
            </m:r>
          </m:e>
          <m:sub>
            <m:r>
              <m:t>1</m:t>
            </m:r>
          </m:sub>
        </m:sSub>
        <m:r>
          <m:rPr>
            <m:sty m:val="p"/>
          </m:rPr>
          <m:t>=</m:t>
        </m:r>
        <m:r>
          <m:t>1</m:t>
        </m:r>
        <m:r>
          <m:rPr>
            <m:sty m:val="p"/>
          </m:rPr>
          <m:t>,</m:t>
        </m:r>
        <m:sSub>
          <m:e>
            <m:r>
              <m:t>p</m:t>
            </m:r>
          </m:e>
          <m:sub>
            <m:r>
              <m:t>i</m:t>
            </m:r>
            <m:r>
              <m:rPr>
                <m:sty m:val="p"/>
              </m:rPr>
              <m:t>≠</m:t>
            </m:r>
            <m:r>
              <m:t>1</m:t>
            </m:r>
          </m:sub>
        </m:sSub>
        <m:r>
          <m:rPr>
            <m:sty m:val="p"/>
          </m:rPr>
          <m:t>=</m:t>
        </m:r>
        <m:r>
          <m:t>0</m:t>
        </m:r>
      </m:oMath>
      <w:r>
        <w:rPr>
          <w:rFonts w:hint="eastAsia"/>
        </w:rPr>
        <w:t xml:space="preserve">），熵值降至0。</w:t>
      </w:r>
    </w:p>
    <w:p>
      <w:pPr>
        <w:pStyle w:val="BodyText"/>
      </w:pPr>
      <w:r>
        <w:rPr>
          <w:rFonts w:hint="eastAsia"/>
        </w:rPr>
        <w:t xml:space="preserve">HHI指数源于产业组织理论，用于衡量市场集中度</w:t>
      </w:r>
      <w:r>
        <w:t xml:space="preserve">(Berman and Katona 2020)</w:t>
      </w:r>
      <w:r>
        <w:rPr>
          <w:rFonts w:hint="eastAsia"/>
        </w:rPr>
        <w:t xml:space="preserve">。在注意力经济情境下，HHI反映了少数头部话题对总注意力的垄断程度。定义为：</w:t>
      </w:r>
    </w:p>
    <w:p>
      <w:pPr>
        <w:pStyle w:val="BodyText"/>
      </w:pPr>
      <m:oMathPara>
        <m:oMathParaPr>
          <m:jc m:val="center"/>
        </m:oMathParaPr>
        <m:oMath>
          <m:r>
            <m:rPr>
              <m:nor/>
              <m:sty m:val="p"/>
            </m:rPr>
            <m:t>HHI</m:t>
          </m:r>
          <m:r>
            <m:rPr>
              <m:sty m:val="p"/>
            </m:rPr>
            <m:t>=</m:t>
          </m:r>
          <m:nary>
            <m:naryPr>
              <m:chr m:val="∑"/>
              <m:limLoc m:val="undOvr"/>
              <m:subHide m:val="off"/>
              <m:supHide m:val="off"/>
            </m:naryPr>
            <m:sub>
              <m:r>
                <m:t>i</m:t>
              </m:r>
              <m:r>
                <m:rPr>
                  <m:sty m:val="p"/>
                </m:rPr>
                <m:t>=</m:t>
              </m:r>
              <m:r>
                <m:t>1</m:t>
              </m:r>
            </m:sub>
            <m:sup>
              <m:r>
                <m:t>N</m:t>
              </m:r>
            </m:sup>
            <m:e>
              <m:sSubSup>
                <m:e>
                  <m:r>
                    <m:t>p</m:t>
                  </m:r>
                </m:e>
                <m:sub>
                  <m:r>
                    <m:t>i</m:t>
                  </m:r>
                </m:sub>
                <m:sup>
                  <m:r>
                    <m:t>2</m:t>
                  </m:r>
                </m:sup>
              </m:sSubSup>
            </m:e>
          </m:nary>
        </m:oMath>
      </m:oMathPara>
    </w:p>
    <w:p>
      <w:pPr>
        <w:pStyle w:val="FirstParagraph"/>
      </w:pPr>
      <w:r>
        <w:rPr>
          <w:rFonts w:hint="eastAsia"/>
        </w:rPr>
        <w:t xml:space="preserve">HHI的取值范围为</w:t>
      </w:r>
      <m:oMath>
        <m:r>
          <m:rPr>
            <m:sty m:val="p"/>
          </m:rPr>
          <m:t>[</m:t>
        </m:r>
        <m:r>
          <m:t>1</m:t>
        </m:r>
        <m:r>
          <m:rPr>
            <m:sty m:val="p"/>
          </m:rPr>
          <m:t>/</m:t>
        </m:r>
        <m:r>
          <m:t>N</m:t>
        </m:r>
        <m:r>
          <m:rPr>
            <m:sty m:val="p"/>
          </m:rPr>
          <m:t>,</m:t>
        </m:r>
        <m:r>
          <m:t>1</m:t>
        </m:r>
        <m:r>
          <m:rPr>
            <m:sty m:val="p"/>
          </m:rPr>
          <m:t>]</m:t>
        </m:r>
      </m:oMath>
      <w:r>
        <w:rPr>
          <w:rFonts w:hint="eastAsia"/>
        </w:rPr>
        <w:t xml:space="preserve">。当注意力完全均匀分布时，</w:t>
      </w:r>
      <m:oMath>
        <m:r>
          <m:rPr>
            <m:nor/>
            <m:sty m:val="p"/>
          </m:rPr>
          <m:t>HHI</m:t>
        </m:r>
        <m:r>
          <m:rPr>
            <m:sty m:val="p"/>
          </m:rPr>
          <m:t>=</m:t>
        </m:r>
        <m:r>
          <m:t>1</m:t>
        </m:r>
        <m:r>
          <m:rPr>
            <m:sty m:val="p"/>
          </m:rPr>
          <m:t>/</m:t>
        </m:r>
        <m:r>
          <m:t>N</m:t>
        </m:r>
      </m:oMath>
      <w:r>
        <w:rPr>
          <w:rFonts w:hint="eastAsia"/>
        </w:rPr>
        <w:t xml:space="preserve">，集中度最低；当注意力完全集中于单一话题时，</w:t>
      </w:r>
      <m:oMath>
        <m:r>
          <m:rPr>
            <m:nor/>
            <m:sty m:val="p"/>
          </m:rPr>
          <m:t>HHI</m:t>
        </m:r>
        <m:r>
          <m:rPr>
            <m:sty m:val="p"/>
          </m:rPr>
          <m:t>=</m:t>
        </m:r>
        <m:r>
          <m:t>1</m:t>
        </m:r>
      </m:oMath>
      <w:r>
        <w:rPr>
          <w:rFonts w:hint="eastAsia"/>
        </w:rPr>
        <w:t xml:space="preserve">，集中度最高。</w:t>
      </w:r>
    </w:p>
    <w:bookmarkEnd w:id="31"/>
    <w:bookmarkStart w:id="32" w:name="注意力配置指标h3"/>
    <w:p>
      <w:pPr>
        <w:pStyle w:val="Heading3"/>
      </w:pPr>
      <w:r>
        <w:rPr>
          <w:rFonts w:hint="eastAsia"/>
        </w:rPr>
        <w:t xml:space="preserve">注意力配置指标（H3）</w:t>
      </w:r>
    </w:p>
    <w:p>
      <w:pPr>
        <w:pStyle w:val="FirstParagraph"/>
      </w:pPr>
      <w:r>
        <w:rPr>
          <w:rFonts w:hint="eastAsia"/>
        </w:rPr>
        <w:t xml:space="preserve">注意力份额衡量特定类别内容在热搜榜总注意力资源中的占比，反映了平台算法在不同内容类型间的资源配置偏好。</w:t>
      </w:r>
      <w:r>
        <w:t xml:space="preserve">Hosanagar et al. (2014)</w:t>
      </w:r>
      <w:r>
        <w:rPr>
          <w:rFonts w:hint="eastAsia"/>
        </w:rPr>
        <w:t xml:space="preserve">在研究用户注意力的稀缺性时指出，注意力资源具有零和性质，对某一类型的注意力分配必然减少其他类型的份额。本研究定义注意力份额为：</w:t>
      </w:r>
    </w:p>
    <w:p>
      <w:pPr>
        <w:pStyle w:val="BodyText"/>
      </w:pPr>
      <m:oMathPara>
        <m:oMathParaPr>
          <m:jc m:val="center"/>
        </m:oMathParaPr>
        <m:oMath>
          <m:sSub>
            <m:e>
              <m:r>
                <m:rPr>
                  <m:nor/>
                  <m:sty m:val="p"/>
                </m:rPr>
                <m:t>Share</m:t>
              </m:r>
            </m:e>
            <m:sub>
              <m:r>
                <m:t>i</m:t>
              </m:r>
              <m:r>
                <m:t>t</m:t>
              </m:r>
            </m:sub>
          </m:sSub>
          <m:r>
            <m:rPr>
              <m:sty m:val="p"/>
            </m:rPr>
            <m:t>=</m:t>
          </m:r>
          <m:f>
            <m:fPr>
              <m:type m:val="bar"/>
            </m:fPr>
            <m:num>
              <m:nary>
                <m:naryPr>
                  <m:chr m:val="∑"/>
                  <m:limLoc m:val="undOvr"/>
                  <m:subHide m:val="off"/>
                  <m:supHide m:val="on"/>
                </m:naryPr>
                <m:sub>
                  <m:r>
                    <m:t>j</m:t>
                  </m:r>
                  <m:r>
                    <m:rPr>
                      <m:sty m:val="p"/>
                    </m:rPr>
                    <m:t>∈</m:t>
                  </m:r>
                  <m:r>
                    <m:t>i</m:t>
                  </m:r>
                </m:sub>
                <m:sup>
                  <m:r>
                    <m:t>​</m:t>
                  </m:r>
                </m:sup>
                <m:e>
                  <m:sSub>
                    <m:e>
                      <m:r>
                        <m:rPr>
                          <m:nor/>
                          <m:sty m:val="p"/>
                        </m:rPr>
                        <m:t>Duration</m:t>
                      </m:r>
                    </m:e>
                    <m:sub>
                      <m:r>
                        <m:t>j</m:t>
                      </m:r>
                      <m:r>
                        <m:t>t</m:t>
                      </m:r>
                    </m:sub>
                  </m:sSub>
                </m:e>
              </m:nary>
            </m:num>
            <m:den>
              <m:nary>
                <m:naryPr>
                  <m:chr m:val="∑"/>
                  <m:limLoc m:val="undOvr"/>
                  <m:subHide m:val="off"/>
                  <m:supHide m:val="on"/>
                </m:naryPr>
                <m:sub>
                  <m:r>
                    <m:t>k</m:t>
                  </m:r>
                </m:sub>
                <m:sup>
                  <m:r>
                    <m:t>​</m:t>
                  </m:r>
                </m:sup>
                <m:e>
                  <m:sSub>
                    <m:e>
                      <m:r>
                        <m:rPr>
                          <m:nor/>
                          <m:sty m:val="p"/>
                        </m:rPr>
                        <m:t>Duration</m:t>
                      </m:r>
                    </m:e>
                    <m:sub>
                      <m:r>
                        <m:t>k</m:t>
                      </m:r>
                      <m:r>
                        <m:t>t</m:t>
                      </m:r>
                    </m:sub>
                  </m:sSub>
                </m:e>
              </m:nary>
            </m:den>
          </m:f>
        </m:oMath>
      </m:oMathPara>
    </w:p>
    <w:p>
      <w:pPr>
        <w:pStyle w:val="FirstParagraph"/>
      </w:pPr>
      <w:r>
        <w:rPr>
          <w:rFonts w:hint="eastAsia"/>
        </w:rPr>
        <w:t xml:space="preserve">其中，</w:t>
      </w:r>
      <m:oMath>
        <m:r>
          <m:t>i</m:t>
        </m:r>
      </m:oMath>
      <w:r>
        <w:rPr>
          <w:rFonts w:hint="eastAsia"/>
        </w:rPr>
        <w:t xml:space="preserve">代表内容类别（社会类或娱乐类），</w:t>
      </w:r>
      <m:oMath>
        <m:r>
          <m:t>t</m:t>
        </m:r>
      </m:oMath>
      <w:r>
        <w:rPr>
          <w:rFonts w:hint="eastAsia"/>
        </w:rPr>
        <w:t xml:space="preserve">代表时间（日度），</w:t>
      </w:r>
      <m:oMath>
        <m:sSub>
          <m:e>
            <m:r>
              <m:rPr>
                <m:nor/>
                <m:sty m:val="p"/>
              </m:rPr>
              <m:t>Duration</m:t>
            </m:r>
          </m:e>
          <m:sub>
            <m:r>
              <m:t>j</m:t>
            </m:r>
            <m:r>
              <m:t>t</m:t>
            </m:r>
          </m:sub>
        </m:sSub>
      </m:oMath>
      <w:r>
        <w:rPr>
          <w:rFonts w:hint="eastAsia"/>
        </w:rPr>
        <w:t xml:space="preserve">为话题</w:t>
      </w:r>
      <m:oMath>
        <m:r>
          <m:t>j</m:t>
        </m:r>
      </m:oMath>
      <w:r>
        <w:rPr>
          <w:rFonts w:hint="eastAsia"/>
        </w:rPr>
        <w:t xml:space="preserve">在</w:t>
      </w:r>
      <m:oMath>
        <m:r>
          <m:t>t</m:t>
        </m:r>
      </m:oMath>
      <w:r>
        <w:rPr>
          <w:rFonts w:hint="eastAsia"/>
        </w:rPr>
        <w:t xml:space="preserve">日的在榜时长，分子为类别</w:t>
      </w:r>
      <m:oMath>
        <m:r>
          <m:t>i</m:t>
        </m:r>
      </m:oMath>
      <w:r>
        <w:rPr>
          <w:rFonts w:hint="eastAsia"/>
        </w:rPr>
        <w:t xml:space="preserve">内所有话题的总在榜时长，分母为当日所有话题的总在榜时长。</w:t>
      </w:r>
    </w:p>
    <w:p>
      <w:pPr>
        <w:pStyle w:val="BodyText"/>
      </w:pPr>
      <w:r>
        <w:rPr>
          <w:rFonts w:hint="eastAsia"/>
        </w:rPr>
        <w:t xml:space="preserve">周度总热度用于验证H3c中提出的</w:t>
      </w:r>
      <w:r>
        <w:rPr>
          <w:rFonts w:hint="eastAsia"/>
        </w:rPr>
        <w:t xml:space="preserve">“注意力零和约束”</w:t>
      </w:r>
      <w:r>
        <w:rPr>
          <w:rFonts w:hint="eastAsia"/>
        </w:rPr>
        <w:t xml:space="preserve">。如果用户的总注意力预算在短期内保持稳定，则算法治理不应显著改变平台的总注意力供给量，而仅改变其在不同类型间的分配结构。定义为：</w:t>
      </w:r>
    </w:p>
    <w:p>
      <w:pPr>
        <w:pStyle w:val="BodyText"/>
      </w:pPr>
      <m:oMathPara>
        <m:oMathParaPr>
          <m:jc m:val="center"/>
        </m:oMathParaPr>
        <m:oMath>
          <m:sSub>
            <m:e>
              <m:r>
                <m:rPr>
                  <m:nor/>
                  <m:sty m:val="p"/>
                </m:rPr>
                <m:t>TotalHeat</m:t>
              </m:r>
            </m:e>
            <m:sub>
              <m:r>
                <m:t>w</m:t>
              </m:r>
            </m:sub>
          </m:sSub>
          <m:r>
            <m:rPr>
              <m:sty m:val="p"/>
            </m:rPr>
            <m:t>=</m:t>
          </m:r>
          <m:nary>
            <m:naryPr>
              <m:chr m:val="∑"/>
              <m:limLoc m:val="undOvr"/>
              <m:subHide m:val="off"/>
              <m:supHide m:val="on"/>
            </m:naryPr>
            <m:sub>
              <m:r>
                <m:t>t</m:t>
              </m:r>
              <m:r>
                <m:rPr>
                  <m:sty m:val="p"/>
                </m:rPr>
                <m:t>∈</m:t>
              </m:r>
              <m:r>
                <m:t>w</m:t>
              </m:r>
            </m:sub>
            <m:sup>
              <m:r>
                <m:t>​</m:t>
              </m:r>
            </m:sup>
            <m:e>
              <m:nary>
                <m:naryPr>
                  <m:chr m:val="∑"/>
                  <m:limLoc m:val="undOvr"/>
                  <m:subHide m:val="off"/>
                  <m:supHide m:val="on"/>
                </m:naryPr>
                <m:sub>
                  <m:r>
                    <m:t>j</m:t>
                  </m:r>
                </m:sub>
                <m:sup>
                  <m:r>
                    <m:t>​</m:t>
                  </m:r>
                </m:sup>
                <m:e>
                  <m:sSub>
                    <m:e>
                      <m:r>
                        <m:rPr>
                          <m:nor/>
                          <m:sty m:val="p"/>
                        </m:rPr>
                        <m:t>Heat</m:t>
                      </m:r>
                    </m:e>
                    <m:sub>
                      <m:r>
                        <m:t>j</m:t>
                      </m:r>
                      <m:r>
                        <m:t>t</m:t>
                      </m:r>
                    </m:sub>
                  </m:sSub>
                </m:e>
              </m:nary>
            </m:e>
          </m:nary>
        </m:oMath>
      </m:oMathPara>
    </w:p>
    <w:p>
      <w:pPr>
        <w:pStyle w:val="FirstParagraph"/>
      </w:pPr>
      <w:r>
        <w:rPr>
          <w:rFonts w:hint="eastAsia"/>
        </w:rPr>
        <w:t xml:space="preserve">其中，</w:t>
      </w:r>
      <m:oMath>
        <m:r>
          <m:t>w</m:t>
        </m:r>
      </m:oMath>
      <w:r>
        <w:rPr>
          <w:rFonts w:hint="eastAsia"/>
        </w:rPr>
        <w:t xml:space="preserve">代表周（7天为一个观测窗口），</w:t>
      </w:r>
      <m:oMath>
        <m:sSub>
          <m:e>
            <m:r>
              <m:rPr>
                <m:nor/>
                <m:sty m:val="p"/>
              </m:rPr>
              <m:t>Heat</m:t>
            </m:r>
          </m:e>
          <m:sub>
            <m:r>
              <m:t>j</m:t>
            </m:r>
            <m:r>
              <m:t>t</m:t>
            </m:r>
          </m:sub>
        </m:sSub>
      </m:oMath>
      <w:r>
        <w:rPr>
          <w:rFonts w:hint="eastAsia"/>
        </w:rPr>
        <w:t xml:space="preserve">为话题</w:t>
      </w:r>
      <m:oMath>
        <m:r>
          <m:t>j</m:t>
        </m:r>
      </m:oMath>
      <w:r>
        <w:rPr>
          <w:rFonts w:hint="eastAsia"/>
        </w:rPr>
        <w:t xml:space="preserve">在</w:t>
      </w:r>
      <m:oMath>
        <m:r>
          <m:t>t</m:t>
        </m:r>
      </m:oMath>
      <w:r>
        <w:rPr>
          <w:rFonts w:hint="eastAsia"/>
        </w:rPr>
        <w:t xml:space="preserve">日的热度值。</w:t>
      </w:r>
    </w:p>
    <w:bookmarkEnd w:id="32"/>
    <w:bookmarkStart w:id="34" w:name="注意力密度指标h4"/>
    <w:p>
      <w:pPr>
        <w:pStyle w:val="Heading3"/>
      </w:pPr>
      <w:r>
        <w:rPr>
          <w:rFonts w:hint="eastAsia"/>
        </w:rPr>
        <w:t xml:space="preserve">注意力密度指标（H4）</w:t>
      </w:r>
    </w:p>
    <w:p>
      <w:pPr>
        <w:pStyle w:val="FirstParagraph"/>
      </w:pPr>
      <w:r>
        <w:rPr>
          <w:rFonts w:hint="eastAsia"/>
        </w:rPr>
        <w:t xml:space="preserve">注意力密度衡量单位内容获得注意力的强度，揭示了在总量重新分配的同时，单条话题获得注意力的深度变化</w:t>
      </w:r>
      <w:r>
        <w:t xml:space="preserve">(Leskovec et al. 2009)</w:t>
      </w:r>
      <w:r>
        <w:rPr>
          <w:rFonts w:hint="eastAsia"/>
        </w:rPr>
        <w:t xml:space="preserve">。本研究定义类内注意力密度为：</w:t>
      </w:r>
    </w:p>
    <w:p>
      <w:pPr>
        <w:pStyle w:val="BodyText"/>
      </w:pPr>
      <m:oMathPara>
        <m:oMathParaPr>
          <m:jc m:val="center"/>
        </m:oMathParaPr>
        <m:oMath>
          <m:sSub>
            <m:e>
              <m:r>
                <m:rPr>
                  <m:nor/>
                  <m:sty m:val="p"/>
                </m:rPr>
                <m:t>Density</m:t>
              </m:r>
            </m:e>
            <m:sub>
              <m:r>
                <m:t>i</m:t>
              </m:r>
              <m:r>
                <m:t>t</m:t>
              </m:r>
            </m:sub>
          </m:sSub>
          <m:r>
            <m:rPr>
              <m:sty m:val="p"/>
            </m:rPr>
            <m:t>=</m:t>
          </m:r>
          <m:f>
            <m:fPr>
              <m:type m:val="bar"/>
            </m:fPr>
            <m:num>
              <m:nary>
                <m:naryPr>
                  <m:chr m:val="∑"/>
                  <m:limLoc m:val="undOvr"/>
                  <m:subHide m:val="off"/>
                  <m:supHide m:val="on"/>
                </m:naryPr>
                <m:sub>
                  <m:r>
                    <m:t>j</m:t>
                  </m:r>
                  <m:r>
                    <m:rPr>
                      <m:sty m:val="p"/>
                    </m:rPr>
                    <m:t>∈</m:t>
                  </m:r>
                  <m:r>
                    <m:t>i</m:t>
                  </m:r>
                </m:sub>
                <m:sup>
                  <m:r>
                    <m:t>​</m:t>
                  </m:r>
                </m:sup>
                <m:e>
                  <m:sSub>
                    <m:e>
                      <m:r>
                        <m:rPr>
                          <m:nor/>
                          <m:sty m:val="p"/>
                        </m:rPr>
                        <m:t>Duration</m:t>
                      </m:r>
                    </m:e>
                    <m:sub>
                      <m:r>
                        <m:t>j</m:t>
                      </m:r>
                      <m:r>
                        <m:t>t</m:t>
                      </m:r>
                    </m:sub>
                  </m:sSub>
                </m:e>
              </m:nary>
            </m:num>
            <m:den>
              <m:sSub>
                <m:e>
                  <m:r>
                    <m:rPr>
                      <m:nor/>
                      <m:sty m:val="p"/>
                    </m:rPr>
                    <m:t>Count</m:t>
                  </m:r>
                </m:e>
                <m:sub>
                  <m:r>
                    <m:t>i</m:t>
                  </m:r>
                  <m:r>
                    <m:t>t</m:t>
                  </m:r>
                </m:sub>
              </m:sSub>
            </m:den>
          </m:f>
        </m:oMath>
      </m:oMathPara>
    </w:p>
    <w:p>
      <w:pPr>
        <w:pStyle w:val="FirstParagraph"/>
      </w:pPr>
      <w:r>
        <w:rPr>
          <w:rFonts w:hint="eastAsia"/>
        </w:rPr>
        <w:t xml:space="preserve">其中，</w:t>
      </w:r>
      <m:oMath>
        <m:sSub>
          <m:e>
            <m:r>
              <m:rPr>
                <m:nor/>
                <m:sty m:val="p"/>
              </m:rPr>
              <m:t>Count</m:t>
            </m:r>
          </m:e>
          <m:sub>
            <m:r>
              <m:t>i</m:t>
            </m:r>
            <m:r>
              <m:t>t</m:t>
            </m:r>
          </m:sub>
        </m:sSub>
      </m:oMath>
      <w:r>
        <w:rPr>
          <w:rFonts w:hint="eastAsia"/>
        </w:rPr>
        <w:t xml:space="preserve">为类别</w:t>
      </w:r>
      <m:oMath>
        <m:r>
          <m:t>i</m:t>
        </m:r>
      </m:oMath>
      <w:r>
        <w:rPr>
          <w:rFonts w:hint="eastAsia"/>
        </w:rPr>
        <w:t xml:space="preserve">在</w:t>
      </w:r>
      <m:oMath>
        <m:r>
          <m:t>t</m:t>
        </m:r>
      </m:oMath>
      <w:r>
        <w:rPr>
          <w:rFonts w:hint="eastAsia"/>
        </w:rPr>
        <w:t xml:space="preserve">日的上榜话题数量，分子为类别总在榜时长，分母为话题数量。该指标分解了总注意力变化的两个维度：广度（话题数量）与深度（单条话题强度）。</w:t>
      </w:r>
    </w:p>
    <w:bookmarkStart w:id="33" w:name="tab:variables"/>
    <w:p>
      <w:pPr>
        <w:pStyle w:val="TableCaption"/>
      </w:pPr>
      <w:r>
        <w:rPr>
          <w:rFonts w:hint="eastAsia"/>
        </w:rPr>
        <w:t xml:space="preserve">变量定义与测量</w:t>
      </w:r>
    </w:p>
    <w:tbl>
      <w:tblPr>
        <w:tblStyle w:val="Table"/>
        <w:tblW w:type="auto" w:w="0"/>
        <w:tblLook w:firstRow="1" w:lastRow="0" w:firstColumn="0" w:lastColumn="0" w:noHBand="0" w:noVBand="0" w:val="0020"/>
        <w:tblCaption w:val="变量定义与测量"/>
      </w:tblPr>
      <w:tblGrid>
        <w:gridCol w:w="2640"/>
        <w:gridCol w:w="2640"/>
        <w:gridCol w:w="2640"/>
      </w:tblGrid>
      <w:tr>
        <w:trPr>
          <w:tblHeader w:val="on"/>
        </w:trPr>
        <w:tc>
          <w:tcPr/>
          <w:p>
            <w:pPr>
              <w:pStyle w:val="Compact"/>
              <w:jc w:val="left"/>
            </w:pPr>
            <w:r>
              <w:rPr>
                <w:rFonts w:hint="eastAsia"/>
              </w:rPr>
              <w:t xml:space="preserve">变量名称</w:t>
            </w:r>
          </w:p>
        </w:tc>
        <w:tc>
          <w:tcPr/>
          <w:p>
            <w:pPr>
              <w:pStyle w:val="Compact"/>
              <w:jc w:val="left"/>
            </w:pPr>
            <w:r>
              <w:rPr>
                <w:rFonts w:hint="eastAsia"/>
              </w:rPr>
              <w:t xml:space="preserve">变量符号</w:t>
            </w:r>
          </w:p>
        </w:tc>
        <w:tc>
          <w:tcPr/>
          <w:p>
            <w:pPr>
              <w:pStyle w:val="Compact"/>
              <w:jc w:val="left"/>
            </w:pPr>
            <w:r>
              <w:rPr>
                <w:rFonts w:hint="eastAsia"/>
              </w:rPr>
              <w:t xml:space="preserve">变量定义</w:t>
            </w:r>
          </w:p>
        </w:tc>
      </w:tr>
      <w:tr>
        <w:tc>
          <w:tcPr>
            <w:gridSpan w:val="3"/>
          </w:tcPr>
          <w:p>
            <w:pPr>
              <w:pStyle w:val="Compact"/>
              <w:jc w:val="left"/>
            </w:pPr>
            <w:r>
              <w:rPr>
                <w:rFonts w:hint="eastAsia"/>
                <w:i/>
                <w:iCs/>
              </w:rPr>
              <w:t xml:space="preserve">质量指标（H1）</w:t>
            </w:r>
          </w:p>
        </w:tc>
      </w:tr>
      <w:tr>
        <w:tc>
          <w:tcPr/>
          <w:p>
            <w:pPr>
              <w:pStyle w:val="Compact"/>
              <w:jc w:val="left"/>
            </w:pPr>
            <w:r>
              <w:rPr>
                <w:rFonts w:hint="eastAsia"/>
              </w:rPr>
              <w:t xml:space="preserve">信息差指数</w:t>
            </w:r>
          </w:p>
        </w:tc>
        <w:tc>
          <w:tcPr/>
          <w:p>
            <w:pPr>
              <w:pStyle w:val="Compact"/>
              <w:jc w:val="left"/>
            </w:pPr>
            <m:oMath>
              <m:r>
                <m:rPr>
                  <m:nor/>
                  <m:sty m:val="i"/>
                </m:rPr>
                <m:t>InfoGap</m:t>
              </m:r>
            </m:oMath>
          </w:p>
        </w:tc>
        <w:tc>
          <w:tcPr/>
          <w:p>
            <w:pPr>
              <w:pStyle w:val="Compact"/>
              <w:jc w:val="left"/>
            </w:pPr>
            <w:r>
              <w:rPr>
                <w:rFonts w:hint="eastAsia"/>
              </w:rPr>
              <w:t xml:space="preserve">二元变量，标题含疑问词/悬念词/疑问标点=1，否则=0</w:t>
            </w:r>
          </w:p>
        </w:tc>
      </w:tr>
      <w:tr>
        <w:tc>
          <w:tcPr/>
          <w:p>
            <w:pPr>
              <w:pStyle w:val="Compact"/>
              <w:jc w:val="left"/>
            </w:pPr>
            <w:r>
              <w:rPr>
                <w:rFonts w:hint="eastAsia"/>
              </w:rPr>
              <w:t xml:space="preserve">机构媒体</w:t>
            </w:r>
          </w:p>
        </w:tc>
        <w:tc>
          <w:tcPr/>
          <w:p>
            <w:pPr>
              <w:pStyle w:val="Compact"/>
              <w:jc w:val="left"/>
            </w:pPr>
            <m:oMath>
              <m:r>
                <m:rPr>
                  <m:nor/>
                  <m:sty m:val="i"/>
                </m:rPr>
                <m:t>Institutional</m:t>
              </m:r>
            </m:oMath>
          </w:p>
        </w:tc>
        <w:tc>
          <w:tcPr/>
          <w:p>
            <w:pPr>
              <w:pStyle w:val="Compact"/>
              <w:jc w:val="left"/>
            </w:pPr>
            <w:r>
              <w:rPr>
                <w:rFonts w:hint="eastAsia"/>
              </w:rPr>
              <w:t xml:space="preserve">主流媒体/政务账号/新闻门户=1，自媒体及个人=0（基于人工标注）</w:t>
            </w:r>
          </w:p>
        </w:tc>
      </w:tr>
      <w:tr>
        <w:tc>
          <w:tcPr>
            <w:gridSpan w:val="3"/>
          </w:tcPr>
          <w:p>
            <w:pPr>
              <w:pStyle w:val="Compact"/>
              <w:jc w:val="left"/>
            </w:pPr>
            <w:r>
              <w:rPr>
                <w:rFonts w:hint="eastAsia"/>
                <w:i/>
                <w:iCs/>
              </w:rPr>
              <w:t xml:space="preserve">多样性指标（H2）</w:t>
            </w:r>
          </w:p>
        </w:tc>
      </w:tr>
      <w:tr>
        <w:tc>
          <w:tcPr/>
          <w:p>
            <w:pPr>
              <w:pStyle w:val="Compact"/>
              <w:jc w:val="left"/>
            </w:pPr>
            <w:r>
              <w:rPr>
                <w:rFonts w:hint="eastAsia"/>
              </w:rPr>
              <w:t xml:space="preserve">Shannon熵</w:t>
            </w:r>
          </w:p>
        </w:tc>
        <w:tc>
          <w:tcPr/>
          <w:p>
            <w:pPr>
              <w:pStyle w:val="Compact"/>
              <w:jc w:val="left"/>
            </w:pPr>
            <m:oMath>
              <m:r>
                <m:rPr>
                  <m:nor/>
                  <m:sty m:val="i"/>
                </m:rPr>
                <m:t>H</m:t>
              </m:r>
            </m:oMath>
          </w:p>
        </w:tc>
        <w:tc>
          <w:tcPr/>
          <w:p>
            <w:pPr>
              <w:pStyle w:val="Compact"/>
              <w:jc w:val="left"/>
            </w:pPr>
            <m:oMath>
              <m:r>
                <m:t>H</m:t>
              </m:r>
              <m:r>
                <m:rPr>
                  <m:sty m:val="p"/>
                </m:rPr>
                <m:t>(</m:t>
              </m:r>
              <m:r>
                <m:t>p</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ln</m:t>
              </m:r>
              <m:sSub>
                <m:e>
                  <m:r>
                    <m:t>p</m:t>
                  </m:r>
                </m:e>
                <m:sub>
                  <m:r>
                    <m:t>i</m:t>
                  </m:r>
                </m:sub>
              </m:sSub>
            </m:oMath>
            <w:r>
              <w:rPr>
                <w:rFonts w:hint="eastAsia"/>
              </w:rPr>
              <w:t xml:space="preserve">，</w:t>
            </w:r>
            <m:oMath>
              <m:sSub>
                <m:e>
                  <m:r>
                    <m:t>p</m:t>
                  </m:r>
                </m:e>
                <m:sub>
                  <m:r>
                    <m:t>i</m:t>
                  </m:r>
                </m:sub>
              </m:sSub>
            </m:oMath>
            <w:r>
              <w:rPr>
                <w:rFonts w:hint="eastAsia"/>
              </w:rPr>
              <w:t xml:space="preserve">为第</w:t>
            </w:r>
            <m:oMath>
              <m:r>
                <m:t>i</m:t>
              </m:r>
            </m:oMath>
            <w:r>
              <w:rPr>
                <w:rFonts w:hint="eastAsia"/>
              </w:rPr>
              <w:t xml:space="preserve">个话题的注意力份额</w:t>
            </w:r>
          </w:p>
        </w:tc>
      </w:tr>
      <w:tr>
        <w:tc>
          <w:tcPr/>
          <w:p>
            <w:pPr>
              <w:pStyle w:val="Compact"/>
              <w:jc w:val="left"/>
            </w:pPr>
            <w:r>
              <w:rPr>
                <w:rFonts w:hint="eastAsia"/>
              </w:rPr>
              <w:t xml:space="preserve">HHI指数</w:t>
            </w:r>
          </w:p>
        </w:tc>
        <w:tc>
          <w:tcPr/>
          <w:p>
            <w:pPr>
              <w:pStyle w:val="Compact"/>
              <w:jc w:val="left"/>
            </w:pPr>
            <m:oMath>
              <m:r>
                <m:rPr>
                  <m:nor/>
                  <m:sty m:val="i"/>
                </m:rPr>
                <m:t>HHI</m:t>
              </m:r>
            </m:oMath>
          </w:p>
        </w:tc>
        <w:tc>
          <w:tcPr/>
          <w:p>
            <w:pPr>
              <w:pStyle w:val="Compact"/>
              <w:jc w:val="left"/>
            </w:pPr>
            <m:oMath>
              <m:r>
                <m:rPr>
                  <m:nor/>
                  <m:sty m:val="p"/>
                </m:rPr>
                <m:t>HHI</m:t>
              </m:r>
              <m:r>
                <m:rPr>
                  <m:sty m:val="p"/>
                </m:rPr>
                <m:t>=</m:t>
              </m:r>
              <m:nary>
                <m:naryPr>
                  <m:chr m:val="∑"/>
                  <m:limLoc m:val="undOvr"/>
                  <m:subHide m:val="off"/>
                  <m:supHide m:val="off"/>
                </m:naryPr>
                <m:sub>
                  <m:r>
                    <m:t>i</m:t>
                  </m:r>
                  <m:r>
                    <m:rPr>
                      <m:sty m:val="p"/>
                    </m:rPr>
                    <m:t>=</m:t>
                  </m:r>
                  <m:r>
                    <m:t>1</m:t>
                  </m:r>
                </m:sub>
                <m:sup>
                  <m:r>
                    <m:t>N</m:t>
                  </m:r>
                </m:sup>
                <m:e>
                  <m:sSubSup>
                    <m:e>
                      <m:r>
                        <m:t>p</m:t>
                      </m:r>
                    </m:e>
                    <m:sub>
                      <m:r>
                        <m:t>i</m:t>
                      </m:r>
                    </m:sub>
                    <m:sup>
                      <m:r>
                        <m:t>2</m:t>
                      </m:r>
                    </m:sup>
                  </m:sSubSup>
                </m:e>
              </m:nary>
            </m:oMath>
            <w:r>
              <w:rPr>
                <w:rFonts w:hint="eastAsia"/>
              </w:rPr>
              <w:t xml:space="preserve">，</w:t>
            </w:r>
            <w:r>
              <w:rPr>
                <w:rFonts w:hint="eastAsia"/>
              </w:rPr>
              <w:t xml:space="preserve">衡量注意力集中度</w:t>
            </w:r>
          </w:p>
        </w:tc>
      </w:tr>
      <w:tr>
        <w:tc>
          <w:tcPr>
            <w:gridSpan w:val="3"/>
          </w:tcPr>
          <w:p>
            <w:pPr>
              <w:pStyle w:val="Compact"/>
              <w:jc w:val="left"/>
            </w:pPr>
            <w:r>
              <w:rPr>
                <w:rFonts w:hint="eastAsia"/>
                <w:i/>
                <w:iCs/>
              </w:rPr>
              <w:t xml:space="preserve">注意力配置指标（H3）</w:t>
            </w:r>
          </w:p>
        </w:tc>
      </w:tr>
      <w:tr>
        <w:tc>
          <w:tcPr/>
          <w:p>
            <w:pPr>
              <w:pStyle w:val="Compact"/>
              <w:jc w:val="left"/>
            </w:pPr>
            <w:r>
              <w:rPr>
                <w:rFonts w:hint="eastAsia"/>
              </w:rPr>
              <w:t xml:space="preserve">注意力份额</w:t>
            </w:r>
          </w:p>
        </w:tc>
        <w:tc>
          <w:tcPr/>
          <w:p>
            <w:pPr>
              <w:pStyle w:val="Compact"/>
              <w:jc w:val="left"/>
            </w:pPr>
            <m:oMath>
              <m:r>
                <m:rPr>
                  <m:nor/>
                  <m:sty m:val="i"/>
                </m:rPr>
                <m:t>Share</m:t>
              </m:r>
            </m:oMath>
          </w:p>
        </w:tc>
        <w:tc>
          <w:tcPr/>
          <w:p>
            <w:pPr>
              <w:pStyle w:val="Compact"/>
              <w:jc w:val="left"/>
            </w:pPr>
            <w:r>
              <w:rPr>
                <w:rFonts w:hint="eastAsia"/>
              </w:rPr>
              <w:t xml:space="preserve">类别</w:t>
            </w:r>
            <m:oMath>
              <m:r>
                <m:t>i</m:t>
              </m:r>
            </m:oMath>
            <w:r>
              <w:rPr>
                <w:rFonts w:hint="eastAsia"/>
              </w:rPr>
              <w:t xml:space="preserve">在</w:t>
            </w:r>
            <m:oMath>
              <m:r>
                <m:t>t</m:t>
              </m:r>
            </m:oMath>
            <w:r>
              <w:rPr>
                <w:rFonts w:hint="eastAsia"/>
              </w:rPr>
              <w:t xml:space="preserve">日的在榜时长占全部话题在榜时长的比例</w:t>
            </w:r>
          </w:p>
        </w:tc>
      </w:tr>
      <w:tr>
        <w:tc>
          <w:tcPr/>
          <w:p>
            <w:pPr>
              <w:pStyle w:val="Compact"/>
              <w:jc w:val="left"/>
            </w:pPr>
            <w:r>
              <w:rPr>
                <w:rFonts w:hint="eastAsia"/>
              </w:rPr>
              <w:t xml:space="preserve">周度总热度</w:t>
            </w:r>
          </w:p>
        </w:tc>
        <w:tc>
          <w:tcPr/>
          <w:p>
            <w:pPr>
              <w:pStyle w:val="Compact"/>
              <w:jc w:val="left"/>
            </w:pPr>
            <m:oMath>
              <m:r>
                <m:rPr>
                  <m:nor/>
                  <m:sty m:val="i"/>
                </m:rPr>
                <m:t>TotalHeat</m:t>
              </m:r>
            </m:oMath>
          </w:p>
        </w:tc>
        <w:tc>
          <w:tcPr/>
          <w:p>
            <w:pPr>
              <w:pStyle w:val="Compact"/>
              <w:jc w:val="left"/>
            </w:pPr>
            <w:r>
              <w:rPr>
                <w:rFonts w:hint="eastAsia"/>
              </w:rPr>
              <w:t xml:space="preserve">一周内所有话题热度值的加总</w:t>
            </w:r>
          </w:p>
        </w:tc>
      </w:tr>
      <w:tr>
        <w:tc>
          <w:tcPr>
            <w:gridSpan w:val="3"/>
          </w:tcPr>
          <w:p>
            <w:pPr>
              <w:pStyle w:val="Compact"/>
              <w:jc w:val="left"/>
            </w:pPr>
            <w:r>
              <w:rPr>
                <w:rFonts w:hint="eastAsia"/>
                <w:i/>
                <w:iCs/>
              </w:rPr>
              <w:t xml:space="preserve">注意力密度指标（H4）</w:t>
            </w:r>
          </w:p>
        </w:tc>
      </w:tr>
      <w:tr>
        <w:tc>
          <w:tcPr/>
          <w:p>
            <w:pPr>
              <w:pStyle w:val="Compact"/>
              <w:jc w:val="left"/>
            </w:pPr>
            <w:r>
              <w:rPr>
                <w:rFonts w:hint="eastAsia"/>
              </w:rPr>
              <w:t xml:space="preserve">单条话题平均时长</w:t>
            </w:r>
          </w:p>
        </w:tc>
        <w:tc>
          <w:tcPr/>
          <w:p>
            <w:pPr>
              <w:pStyle w:val="Compact"/>
              <w:jc w:val="left"/>
            </w:pPr>
            <m:oMath>
              <m:r>
                <m:rPr>
                  <m:nor/>
                  <m:sty m:val="i"/>
                </m:rPr>
                <m:t>Density</m:t>
              </m:r>
            </m:oMath>
          </w:p>
        </w:tc>
        <w:tc>
          <w:tcPr/>
          <w:p>
            <w:pPr>
              <w:pStyle w:val="Compact"/>
              <w:jc w:val="left"/>
            </w:pPr>
            <w:r>
              <w:rPr>
                <w:rFonts w:hint="eastAsia"/>
              </w:rPr>
              <w:t xml:space="preserve">类别总在榜时长除以该类别上榜话题数量</w:t>
            </w:r>
          </w:p>
        </w:tc>
      </w:tr>
    </w:tbl>
    <w:bookmarkEnd w:id="33"/>
    <w:bookmarkEnd w:id="34"/>
    <w:bookmarkEnd w:id="35"/>
    <w:bookmarkStart w:id="40" w:name="计量模型设定"/>
    <w:p>
      <w:pPr>
        <w:pStyle w:val="Heading2"/>
      </w:pPr>
      <w:r>
        <w:rPr>
          <w:rFonts w:hint="eastAsia"/>
        </w:rPr>
        <w:t xml:space="preserve">计量模型设定</w:t>
      </w:r>
    </w:p>
    <w:p>
      <w:pPr>
        <w:pStyle w:val="FirstParagraph"/>
      </w:pPr>
      <w:r>
        <w:rPr>
          <w:rFonts w:hint="eastAsia"/>
        </w:rPr>
        <w:t xml:space="preserve">本研究采用断点回归时间序列（ITS）作为主要识别策略，辅以双重差分（DID）进行稳健性检验。ITS模型用于检验四项核心假设的主效应；DID模型专门用于H1（内容质量分化）的稳健性检验，通过对比社会类内部机构媒体与自媒体的相对变化，强化因果识别。</w:t>
      </w:r>
    </w:p>
    <w:bookmarkStart w:id="36" w:name="模型1内容质量分化检验h1"/>
    <w:p>
      <w:pPr>
        <w:pStyle w:val="Heading3"/>
      </w:pPr>
      <w:r>
        <w:rPr>
          <w:rFonts w:hint="eastAsia"/>
        </w:rPr>
        <w:t xml:space="preserve">模型1：内容质量分化检验（H1）</w:t>
      </w:r>
    </w:p>
    <w:p>
      <w:pPr>
        <w:pStyle w:val="FirstParagraph"/>
      </w:pPr>
      <w:r>
        <w:rPr>
          <w:rFonts w:hint="eastAsia"/>
        </w:rPr>
        <w:t xml:space="preserve">本文采用两阶段检验策略。</w:t>
      </w:r>
    </w:p>
    <w:p>
      <w:pPr>
        <w:pStyle w:val="BodyText"/>
      </w:pPr>
      <w:r>
        <w:rPr>
          <w:rFonts w:hint="eastAsia"/>
        </w:rPr>
        <w:t xml:space="preserve">第一阶段（ITS主效应检验）：通过分组ITS回归对比社会类与娱乐类在信息差指数上的政策前后变化：</w:t>
      </w:r>
    </w:p>
    <w:p>
      <w:pPr>
        <w:pStyle w:val="BodyText"/>
      </w:pPr>
      <m:oMathPara>
        <m:oMathParaPr>
          <m:jc m:val="center"/>
        </m:oMathParaPr>
        <m:oMath>
          <m:sSub>
            <m:e>
              <m:r>
                <m:rPr>
                  <m:nor/>
                  <m:sty m:val="p"/>
                </m:rPr>
                <m:t>InfoGap</m:t>
              </m:r>
            </m:e>
            <m:sub>
              <m:r>
                <m:t>i</m:t>
              </m:r>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Trend</m:t>
              </m:r>
            </m:e>
            <m:sub>
              <m:r>
                <m:t>t</m:t>
              </m:r>
            </m:sub>
          </m:sSub>
          <m:r>
            <m:rPr>
              <m:sty m:val="p"/>
            </m:rPr>
            <m:t>+</m:t>
          </m:r>
          <m:sSub>
            <m:e>
              <m:r>
                <m:t>β</m:t>
              </m:r>
            </m:e>
            <m:sub>
              <m:r>
                <m:t>3</m:t>
              </m:r>
            </m:sub>
          </m:sSub>
          <m:r>
            <m:rPr>
              <m:sty m:val="p"/>
            </m:rPr>
            <m:t>(</m:t>
          </m:r>
          <m:sSub>
            <m:e>
              <m:r>
                <m:rPr>
                  <m:nor/>
                  <m:sty m:val="p"/>
                </m:rPr>
                <m:t>Post</m:t>
              </m:r>
            </m:e>
            <m:sub>
              <m:r>
                <m:t>t</m:t>
              </m:r>
            </m:sub>
          </m:sSub>
          <m:r>
            <m:rPr>
              <m:sty m:val="p"/>
            </m:rPr>
            <m:t>×</m:t>
          </m:r>
          <m:sSub>
            <m:e>
              <m:r>
                <m:rPr>
                  <m:nor/>
                  <m:sty m:val="p"/>
                </m:rPr>
                <m:t>Trend</m:t>
              </m:r>
            </m:e>
            <m:sub>
              <m:r>
                <m:t>t</m:t>
              </m:r>
            </m:sub>
          </m:sSub>
          <m:r>
            <m:rPr>
              <m:sty m:val="p"/>
            </m:rPr>
            <m:t>)</m:t>
          </m:r>
          <m:r>
            <m:rPr>
              <m:sty m:val="p"/>
            </m:rPr>
            <m:t>+</m:t>
          </m:r>
          <m:sSub>
            <m:e>
              <m:r>
                <m:t>γ</m:t>
              </m:r>
            </m:e>
            <m:sub>
              <m:r>
                <m:t>w</m:t>
              </m:r>
            </m:sub>
          </m:sSub>
          <m:r>
            <m:rPr>
              <m:sty m:val="p"/>
            </m:rPr>
            <m:t>+</m:t>
          </m:r>
          <m:sSub>
            <m:e>
              <m:r>
                <m:t>δ</m:t>
              </m:r>
            </m:e>
            <m:sub>
              <m:r>
                <m:t>q</m:t>
              </m:r>
            </m:sub>
          </m:sSub>
          <m:r>
            <m:rPr>
              <m:sty m:val="p"/>
            </m:rPr>
            <m:t>+</m:t>
          </m:r>
          <m:r>
            <m:t>θ</m:t>
          </m:r>
          <m:sSub>
            <m:e>
              <m:r>
                <m:rPr>
                  <m:nor/>
                  <m:sty m:val="p"/>
                </m:rPr>
                <m:t>Holiday</m:t>
              </m:r>
            </m:e>
            <m:sub>
              <m:r>
                <m:t>t</m:t>
              </m:r>
            </m:sub>
          </m:sSub>
          <m:r>
            <m:rPr>
              <m:sty m:val="p"/>
            </m:rPr>
            <m:t>+</m:t>
          </m:r>
          <m:sSub>
            <m:e>
              <m:r>
                <m:t>ε</m:t>
              </m:r>
            </m:e>
            <m:sub>
              <m:r>
                <m:t>i</m:t>
              </m:r>
              <m:r>
                <m:t>t</m:t>
              </m:r>
            </m:sub>
          </m:sSub>
        </m:oMath>
      </m:oMathPara>
    </w:p>
    <w:p>
      <w:pPr>
        <w:pStyle w:val="FirstParagraph"/>
      </w:pPr>
      <w:r>
        <w:rPr>
          <w:rFonts w:hint="eastAsia"/>
        </w:rPr>
        <w:t xml:space="preserve">分别对社会类和娱乐类样本运行该模型，检验各自的质量变化趋势。</w:t>
      </w:r>
      <m:oMath>
        <m:sSub>
          <m:e>
            <m:r>
              <m:t>β</m:t>
            </m:r>
          </m:e>
          <m:sub>
            <m:r>
              <m:t>1</m:t>
            </m:r>
          </m:sub>
        </m:sSub>
      </m:oMath>
      <w:r>
        <w:rPr>
          <w:rFonts w:hint="eastAsia"/>
        </w:rPr>
        <w:t xml:space="preserve">捕捉政策的即时效应，</w:t>
      </w:r>
      <m:oMath>
        <m:sSub>
          <m:e>
            <m:r>
              <m:t>β</m:t>
            </m:r>
          </m:e>
          <m:sub>
            <m:r>
              <m:t>3</m:t>
            </m:r>
          </m:sub>
        </m:sSub>
      </m:oMath>
      <w:r>
        <w:rPr>
          <w:rFonts w:hint="eastAsia"/>
        </w:rPr>
        <w:t xml:space="preserve">捕捉政策的趋势效应。模型控制星期固定效应</w:t>
      </w:r>
      <m:oMath>
        <m:sSub>
          <m:e>
            <m:r>
              <m:t>γ</m:t>
            </m:r>
          </m:e>
          <m:sub>
            <m:r>
              <m:t>w</m:t>
            </m:r>
          </m:sub>
        </m:sSub>
      </m:oMath>
      <w:r>
        <w:rPr>
          <w:rFonts w:hint="eastAsia"/>
        </w:rPr>
        <w:t xml:space="preserve">、季度固定效应</w:t>
      </w:r>
      <m:oMath>
        <m:sSub>
          <m:e>
            <m:r>
              <m:t>δ</m:t>
            </m:r>
          </m:e>
          <m:sub>
            <m:r>
              <m:t>q</m:t>
            </m:r>
          </m:sub>
        </m:sSub>
      </m:oMath>
      <w:r>
        <w:rPr>
          <w:rFonts w:hint="eastAsia"/>
        </w:rPr>
        <w:t xml:space="preserve">和节假日效应</w:t>
      </w:r>
      <m:oMath>
        <m:r>
          <m:t>θ</m:t>
        </m:r>
      </m:oMath>
      <w:r>
        <w:rPr>
          <w:rFonts w:hint="eastAsia"/>
        </w:rPr>
        <w:t xml:space="preserve">，以剔除时间序列中的周期性波动。</w:t>
      </w:r>
    </w:p>
    <w:p>
      <w:pPr>
        <w:pStyle w:val="BodyText"/>
      </w:pPr>
      <w:r>
        <w:rPr>
          <w:rFonts w:hint="eastAsia"/>
        </w:rPr>
        <w:t xml:space="preserve">第二阶段（DID稳健性检验）：在社会类内部构建DID模型，以机构媒体话题为处理组、自媒体话题为对照组：</w:t>
      </w:r>
    </w:p>
    <w:p>
      <w:pPr>
        <w:pStyle w:val="BodyText"/>
      </w:pPr>
      <m:oMathPara>
        <m:oMathParaPr>
          <m:jc m:val="center"/>
        </m:oMathParaPr>
        <m:oMath>
          <m:sSub>
            <m:e>
              <m:r>
                <m:rPr>
                  <m:nor/>
                  <m:sty m:val="p"/>
                </m:rPr>
                <m:t>InfoGap</m:t>
              </m:r>
            </m:e>
            <m:sub>
              <m:r>
                <m:t>i</m:t>
              </m:r>
              <m:r>
                <m:t>t</m:t>
              </m:r>
            </m:sub>
          </m:sSub>
          <m:r>
            <m:rPr>
              <m:sty m:val="p"/>
            </m:rPr>
            <m:t>=</m:t>
          </m:r>
          <m:r>
            <m:t>α</m:t>
          </m:r>
          <m:r>
            <m:rPr>
              <m:sty m:val="p"/>
            </m:rPr>
            <m:t>+</m:t>
          </m:r>
          <m:r>
            <m:t>δ</m:t>
          </m:r>
          <m:r>
            <m:rPr>
              <m:sty m:val="p"/>
            </m:rPr>
            <m:t>(</m:t>
          </m:r>
          <m:sSub>
            <m:e>
              <m:r>
                <m:rPr>
                  <m:nor/>
                  <m:sty m:val="p"/>
                </m:rPr>
                <m:t>Post</m:t>
              </m:r>
            </m:e>
            <m:sub>
              <m:r>
                <m:t>t</m:t>
              </m:r>
            </m:sub>
          </m:sSub>
          <m:r>
            <m:rPr>
              <m:sty m:val="p"/>
            </m:rPr>
            <m:t>×</m:t>
          </m:r>
          <m:sSub>
            <m:e>
              <m:r>
                <m:rPr>
                  <m:nor/>
                  <m:sty m:val="p"/>
                </m:rPr>
                <m:t>Institutional</m:t>
              </m:r>
            </m:e>
            <m:sub>
              <m:r>
                <m:t>i</m:t>
              </m:r>
            </m:sub>
          </m:sSub>
          <m:r>
            <m:rPr>
              <m:sty m:val="p"/>
            </m:rPr>
            <m:t>)</m:t>
          </m:r>
          <m:r>
            <m:rPr>
              <m:sty m:val="p"/>
            </m:rPr>
            <m:t>+</m:t>
          </m:r>
          <m:sSub>
            <m:e>
              <m:r>
                <m:t>γ</m:t>
              </m:r>
            </m:e>
            <m:sub>
              <m:r>
                <m:t>i</m:t>
              </m:r>
            </m:sub>
          </m:sSub>
          <m:r>
            <m:rPr>
              <m:sty m:val="p"/>
            </m:rPr>
            <m:t>+</m:t>
          </m:r>
          <m:sSub>
            <m:e>
              <m:r>
                <m:t>λ</m:t>
              </m:r>
            </m:e>
            <m:sub>
              <m:r>
                <m:t>t</m:t>
              </m:r>
            </m:sub>
          </m:sSub>
          <m:r>
            <m:rPr>
              <m:sty m:val="p"/>
            </m:rPr>
            <m:t>+</m:t>
          </m:r>
          <m:sSub>
            <m:e>
              <m:r>
                <m:t>ε</m:t>
              </m:r>
            </m:e>
            <m:sub>
              <m:r>
                <m:t>i</m:t>
              </m:r>
              <m:r>
                <m:t>t</m:t>
              </m:r>
            </m:sub>
          </m:sSub>
        </m:oMath>
      </m:oMathPara>
    </w:p>
    <w:p>
      <w:pPr>
        <w:pStyle w:val="FirstParagraph"/>
      </w:pPr>
      <w:r>
        <w:rPr>
          <w:rFonts w:hint="eastAsia"/>
        </w:rPr>
        <w:t xml:space="preserve">其中，</w:t>
      </w:r>
      <m:oMath>
        <m:sSub>
          <m:e>
            <m:r>
              <m:rPr>
                <m:nor/>
                <m:sty m:val="p"/>
              </m:rPr>
              <m:t>Institutional</m:t>
            </m:r>
          </m:e>
          <m:sub>
            <m:r>
              <m:t>i</m:t>
            </m:r>
          </m:sub>
        </m:sSub>
      </m:oMath>
      <w:r>
        <w:rPr>
          <w:rFonts w:hint="eastAsia"/>
        </w:rPr>
        <w:t xml:space="preserve">为机构媒体虚拟变量，</w:t>
      </w:r>
      <m:oMath>
        <m:sSub>
          <m:e>
            <m:r>
              <m:t>γ</m:t>
            </m:r>
          </m:e>
          <m:sub>
            <m:r>
              <m:t>i</m:t>
            </m:r>
          </m:sub>
        </m:sSub>
      </m:oMath>
      <w:r>
        <w:rPr>
          <w:rFonts w:hint="eastAsia"/>
        </w:rPr>
        <w:t xml:space="preserve">为话题固定效应，</w:t>
      </w:r>
      <m:oMath>
        <m:sSub>
          <m:e>
            <m:r>
              <m:t>λ</m:t>
            </m:r>
          </m:e>
          <m:sub>
            <m:r>
              <m:t>t</m:t>
            </m:r>
          </m:sub>
        </m:sSub>
      </m:oMath>
      <w:r>
        <w:rPr>
          <w:rFonts w:hint="eastAsia"/>
        </w:rPr>
        <w:t xml:space="preserve">为时间固定效应。</w:t>
      </w:r>
      <m:oMath>
        <m:r>
          <m:t>δ</m:t>
        </m:r>
      </m:oMath>
      <w:r>
        <w:rPr>
          <w:rFonts w:hint="eastAsia"/>
        </w:rPr>
        <w:t xml:space="preserve">为DID估计量，捕捉政策实施后机构媒体相对自媒体的信息差净变化。DID识别的有效性依赖于平行趋势假设，本文将在稳健性检验部分报告平行趋势检验结果。</w:t>
      </w:r>
    </w:p>
    <w:bookmarkEnd w:id="36"/>
    <w:bookmarkStart w:id="37" w:name="模型2注意力去中心化检验h2"/>
    <w:p>
      <w:pPr>
        <w:pStyle w:val="Heading3"/>
      </w:pPr>
      <w:r>
        <w:rPr>
          <w:rFonts w:hint="eastAsia"/>
        </w:rPr>
        <w:t xml:space="preserve">模型2：注意力去中心化检验（H2）</w:t>
      </w:r>
    </w:p>
    <w:p>
      <w:pPr>
        <w:pStyle w:val="FirstParagraph"/>
      </w:pPr>
      <w:r>
        <w:rPr>
          <w:rFonts w:hint="eastAsia"/>
        </w:rPr>
        <w:t xml:space="preserve">基于日度时间序列数据，本文采用ITS模型检验政策实施后Shannon熵和HHI的断点变化：</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Trend</m:t>
              </m:r>
            </m:e>
            <m:sub>
              <m:r>
                <m:t>t</m:t>
              </m:r>
            </m:sub>
          </m:sSub>
          <m:r>
            <m:rPr>
              <m:sty m:val="p"/>
            </m:rPr>
            <m:t>+</m:t>
          </m:r>
          <m:sSub>
            <m:e>
              <m:r>
                <m:t>β</m:t>
              </m:r>
            </m:e>
            <m:sub>
              <m:r>
                <m:t>3</m:t>
              </m:r>
            </m:sub>
          </m:sSub>
          <m:r>
            <m:rPr>
              <m:sty m:val="p"/>
            </m:rPr>
            <m:t>(</m:t>
          </m:r>
          <m:sSub>
            <m:e>
              <m:r>
                <m:rPr>
                  <m:nor/>
                  <m:sty m:val="p"/>
                </m:rPr>
                <m:t>Post</m:t>
              </m:r>
            </m:e>
            <m:sub>
              <m:r>
                <m:t>t</m:t>
              </m:r>
            </m:sub>
          </m:sSub>
          <m:r>
            <m:rPr>
              <m:sty m:val="p"/>
            </m:rPr>
            <m:t>×</m:t>
          </m:r>
          <m:sSub>
            <m:e>
              <m:r>
                <m:rPr>
                  <m:nor/>
                  <m:sty m:val="p"/>
                </m:rPr>
                <m:t>Trend</m:t>
              </m:r>
            </m:e>
            <m:sub>
              <m:r>
                <m:t>t</m:t>
              </m:r>
            </m:sub>
          </m:sSub>
          <m:r>
            <m:rPr>
              <m:sty m:val="p"/>
            </m:rPr>
            <m:t>)</m:t>
          </m:r>
          <m:r>
            <m:rPr>
              <m:sty m:val="p"/>
            </m:rPr>
            <m:t>+</m:t>
          </m:r>
          <m:sSub>
            <m:e>
              <m:r>
                <m:t>γ</m:t>
              </m:r>
            </m:e>
            <m:sub>
              <m:r>
                <m:t>w</m:t>
              </m:r>
            </m:sub>
          </m:sSub>
          <m:r>
            <m:rPr>
              <m:sty m:val="p"/>
            </m:rPr>
            <m:t>+</m:t>
          </m:r>
          <m:sSub>
            <m:e>
              <m:r>
                <m:t>δ</m:t>
              </m:r>
            </m:e>
            <m:sub>
              <m:r>
                <m:t>q</m:t>
              </m:r>
            </m:sub>
          </m:sSub>
          <m:r>
            <m:rPr>
              <m:sty m:val="p"/>
            </m:rPr>
            <m:t>+</m:t>
          </m:r>
          <m:r>
            <m:t>θ</m:t>
          </m:r>
          <m:sSub>
            <m:e>
              <m:r>
                <m:rPr>
                  <m:nor/>
                  <m:sty m:val="p"/>
                </m:rPr>
                <m:t>Holiday</m:t>
              </m:r>
            </m:e>
            <m:sub>
              <m:r>
                <m:t>t</m:t>
              </m:r>
            </m:sub>
          </m:sSub>
          <m:r>
            <m:rPr>
              <m:sty m:val="p"/>
            </m:rPr>
            <m:t>+</m:t>
          </m:r>
          <m:sSub>
            <m:e>
              <m:r>
                <m:t>ε</m:t>
              </m:r>
            </m:e>
            <m:sub>
              <m:r>
                <m:t>t</m:t>
              </m:r>
            </m:sub>
          </m:sSub>
        </m:oMath>
      </m:oMathPara>
    </w:p>
    <w:p>
      <w:pPr>
        <w:pStyle w:val="FirstParagraph"/>
      </w:pPr>
      <w:r>
        <w:rPr>
          <w:rFonts w:hint="eastAsia"/>
        </w:rPr>
        <w:t xml:space="preserve">其中，</w:t>
      </w:r>
      <m:oMath>
        <m:sSub>
          <m:e>
            <m:r>
              <m:t>Y</m:t>
            </m:r>
          </m:e>
          <m:sub>
            <m:r>
              <m:t>t</m:t>
            </m:r>
          </m:sub>
        </m:sSub>
      </m:oMath>
      <w:r>
        <w:rPr>
          <w:rFonts w:hint="eastAsia"/>
        </w:rPr>
        <w:t xml:space="preserve">为</w:t>
      </w:r>
      <m:oMath>
        <m:r>
          <m:t>t</m:t>
        </m:r>
      </m:oMath>
      <w:r>
        <w:rPr>
          <w:rFonts w:hint="eastAsia"/>
        </w:rPr>
        <w:t xml:space="preserve">日的Shannon熵或HHI，</w:t>
      </w:r>
      <m:oMath>
        <m:sSub>
          <m:e>
            <m:r>
              <m:rPr>
                <m:nor/>
                <m:sty m:val="p"/>
              </m:rPr>
              <m:t>Post</m:t>
            </m:r>
          </m:e>
          <m:sub>
            <m:r>
              <m:t>t</m:t>
            </m:r>
          </m:sub>
        </m:sSub>
      </m:oMath>
      <w:r>
        <w:rPr>
          <w:rFonts w:hint="eastAsia"/>
        </w:rPr>
        <w:t xml:space="preserve">为政策实施虚拟变量（2024年11月12日及之后=1，之前=0），</w:t>
      </w:r>
      <m:oMath>
        <m:sSub>
          <m:e>
            <m:r>
              <m:rPr>
                <m:nor/>
                <m:sty m:val="p"/>
              </m:rPr>
              <m:t>Trend</m:t>
            </m:r>
          </m:e>
          <m:sub>
            <m:r>
              <m:t>t</m:t>
            </m:r>
          </m:sub>
        </m:sSub>
      </m:oMath>
      <w:r>
        <w:rPr>
          <w:rFonts w:hint="eastAsia"/>
        </w:rPr>
        <w:t xml:space="preserve">为线性时间趋势。为控制时间序列中的周期性波动，模型纳入星期固定效应</w:t>
      </w:r>
      <m:oMath>
        <m:sSub>
          <m:e>
            <m:r>
              <m:t>γ</m:t>
            </m:r>
          </m:e>
          <m:sub>
            <m:r>
              <m:t>w</m:t>
            </m:r>
          </m:sub>
        </m:sSub>
      </m:oMath>
      <w:r>
        <w:rPr>
          <w:rFonts w:hint="eastAsia"/>
        </w:rPr>
        <w:t xml:space="preserve">（以周一为基准）和季度固定效应</w:t>
      </w:r>
      <m:oMath>
        <m:sSub>
          <m:e>
            <m:r>
              <m:t>δ</m:t>
            </m:r>
          </m:e>
          <m:sub>
            <m:r>
              <m:t>q</m:t>
            </m:r>
          </m:sub>
        </m:sSub>
      </m:oMath>
      <w:r>
        <w:rPr>
          <w:rFonts w:hint="eastAsia"/>
        </w:rPr>
        <w:t xml:space="preserve">（以第一季度为基准），以捕捉工作日与周末、不同季节之间的系统性差异。此外，模型引入节假日虚拟变量</w:t>
      </w:r>
      <m:oMath>
        <m:sSub>
          <m:e>
            <m:r>
              <m:rPr>
                <m:nor/>
                <m:sty m:val="p"/>
              </m:rPr>
              <m:t>Holiday</m:t>
            </m:r>
          </m:e>
          <m:sub>
            <m:r>
              <m:t>t</m:t>
            </m:r>
          </m:sub>
        </m:sSub>
      </m:oMath>
      <w:r>
        <w:rPr>
          <w:rFonts w:hint="eastAsia"/>
        </w:rPr>
        <w:t xml:space="preserve">控制中国法定节假日（包括春节、国庆、清明、端午、中秋等）对热搜话题分布的冲击效应。标准误采用异方差稳健标准误（HC3）校正以处理潜在的异方差性。</w:t>
      </w:r>
    </w:p>
    <w:bookmarkEnd w:id="37"/>
    <w:bookmarkStart w:id="38" w:name="模型3注意力再分配检验h3"/>
    <w:p>
      <w:pPr>
        <w:pStyle w:val="Heading3"/>
      </w:pPr>
      <w:r>
        <w:rPr>
          <w:rFonts w:hint="eastAsia"/>
        </w:rPr>
        <w:t xml:space="preserve">模型3：注意力再分配检验（H3）</w:t>
      </w:r>
    </w:p>
    <w:p>
      <w:pPr>
        <w:pStyle w:val="FirstParagraph"/>
      </w:pPr>
      <w:r>
        <w:rPr>
          <w:rFonts w:hint="eastAsia"/>
        </w:rPr>
        <w:t xml:space="preserve">与模型2结构相同，但因变量改为特定类别的注意力份额。本文分别对社会类和娱乐类运行ITS回归：</w:t>
      </w:r>
    </w:p>
    <w:p>
      <w:pPr>
        <w:pStyle w:val="BodyText"/>
      </w:pPr>
      <m:oMathPara>
        <m:oMathParaPr>
          <m:jc m:val="center"/>
        </m:oMathParaPr>
        <m:oMath>
          <m:sSub>
            <m:e>
              <m:r>
                <m:rPr>
                  <m:nor/>
                  <m:sty m:val="p"/>
                </m:rPr>
                <m:t>Share</m:t>
              </m:r>
            </m:e>
            <m:sub>
              <m:r>
                <m:t>i</m:t>
              </m:r>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Trend</m:t>
              </m:r>
            </m:e>
            <m:sub>
              <m:r>
                <m:t>t</m:t>
              </m:r>
            </m:sub>
          </m:sSub>
          <m:r>
            <m:rPr>
              <m:sty m:val="p"/>
            </m:rPr>
            <m:t>+</m:t>
          </m:r>
          <m:sSub>
            <m:e>
              <m:r>
                <m:t>β</m:t>
              </m:r>
            </m:e>
            <m:sub>
              <m:r>
                <m:t>3</m:t>
              </m:r>
            </m:sub>
          </m:sSub>
          <m:r>
            <m:rPr>
              <m:sty m:val="p"/>
            </m:rPr>
            <m:t>(</m:t>
          </m:r>
          <m:sSub>
            <m:e>
              <m:r>
                <m:rPr>
                  <m:nor/>
                  <m:sty m:val="p"/>
                </m:rPr>
                <m:t>Post</m:t>
              </m:r>
            </m:e>
            <m:sub>
              <m:r>
                <m:t>t</m:t>
              </m:r>
            </m:sub>
          </m:sSub>
          <m:r>
            <m:rPr>
              <m:sty m:val="p"/>
            </m:rPr>
            <m:t>×</m:t>
          </m:r>
          <m:sSub>
            <m:e>
              <m:r>
                <m:rPr>
                  <m:nor/>
                  <m:sty m:val="p"/>
                </m:rPr>
                <m:t>Trend</m:t>
              </m:r>
            </m:e>
            <m:sub>
              <m:r>
                <m:t>t</m:t>
              </m:r>
            </m:sub>
          </m:sSub>
          <m:r>
            <m:rPr>
              <m:sty m:val="p"/>
            </m:rPr>
            <m:t>)</m:t>
          </m:r>
          <m:r>
            <m:rPr>
              <m:sty m:val="p"/>
            </m:rPr>
            <m:t>+</m:t>
          </m:r>
          <m:sSub>
            <m:e>
              <m:r>
                <m:t>γ</m:t>
              </m:r>
            </m:e>
            <m:sub>
              <m:r>
                <m:t>w</m:t>
              </m:r>
            </m:sub>
          </m:sSub>
          <m:r>
            <m:rPr>
              <m:sty m:val="p"/>
            </m:rPr>
            <m:t>+</m:t>
          </m:r>
          <m:sSub>
            <m:e>
              <m:r>
                <m:t>δ</m:t>
              </m:r>
            </m:e>
            <m:sub>
              <m:r>
                <m:t>q</m:t>
              </m:r>
            </m:sub>
          </m:sSub>
          <m:r>
            <m:rPr>
              <m:sty m:val="p"/>
            </m:rPr>
            <m:t>+</m:t>
          </m:r>
          <m:r>
            <m:t>θ</m:t>
          </m:r>
          <m:sSub>
            <m:e>
              <m:r>
                <m:rPr>
                  <m:nor/>
                  <m:sty m:val="p"/>
                </m:rPr>
                <m:t>Holiday</m:t>
              </m:r>
            </m:e>
            <m:sub>
              <m:r>
                <m:t>t</m:t>
              </m:r>
            </m:sub>
          </m:sSub>
          <m:r>
            <m:rPr>
              <m:sty m:val="p"/>
            </m:rPr>
            <m:t>+</m:t>
          </m:r>
          <m:sSub>
            <m:e>
              <m:r>
                <m:t>ε</m:t>
              </m:r>
            </m:e>
            <m:sub>
              <m:r>
                <m:t>t</m:t>
              </m:r>
            </m:sub>
          </m:sSub>
        </m:oMath>
      </m:oMathPara>
    </w:p>
    <w:p>
      <w:pPr>
        <w:pStyle w:val="FirstParagraph"/>
      </w:pPr>
      <w:r>
        <w:rPr>
          <w:rFonts w:hint="eastAsia"/>
        </w:rPr>
        <w:t xml:space="preserve">根据H3a和H3b，预期社会类的</w:t>
      </w:r>
      <m:oMath>
        <m:sSub>
          <m:e>
            <m:r>
              <m:t>β</m:t>
            </m:r>
          </m:e>
          <m:sub>
            <m:r>
              <m:t>1</m:t>
            </m:r>
          </m:sub>
        </m:sSub>
        <m:r>
          <m:rPr>
            <m:sty m:val="p"/>
          </m:rPr>
          <m:t>&lt;</m:t>
        </m:r>
        <m:r>
          <m:t>0</m:t>
        </m:r>
      </m:oMath>
      <w:r>
        <w:rPr>
          <w:rFonts w:hint="eastAsia"/>
        </w:rPr>
        <w:t xml:space="preserve">（份额即时下降），娱乐类的</w:t>
      </w:r>
      <m:oMath>
        <m:sSub>
          <m:e>
            <m:r>
              <m:t>β</m:t>
            </m:r>
          </m:e>
          <m:sub>
            <m:r>
              <m:t>1</m:t>
            </m:r>
          </m:sub>
        </m:sSub>
        <m:r>
          <m:rPr>
            <m:sty m:val="p"/>
          </m:rPr>
          <m:t>&gt;</m:t>
        </m:r>
        <m:r>
          <m:t>0</m:t>
        </m:r>
      </m:oMath>
      <w:r>
        <w:rPr>
          <w:rFonts w:hint="eastAsia"/>
        </w:rPr>
        <w:t xml:space="preserve">（份额即时上升）。模型同样控制星期固定效应、季度固定效应和节假日效应。</w:t>
      </w:r>
    </w:p>
    <w:bookmarkEnd w:id="38"/>
    <w:bookmarkStart w:id="39" w:name="模型4注意力密度分化检验h4"/>
    <w:p>
      <w:pPr>
        <w:pStyle w:val="Heading3"/>
      </w:pPr>
      <w:r>
        <w:rPr>
          <w:rFonts w:hint="eastAsia"/>
        </w:rPr>
        <w:t xml:space="preserve">模型4：注意力密度分化检验（H4）</w:t>
      </w:r>
    </w:p>
    <w:p>
      <w:pPr>
        <w:pStyle w:val="FirstParagraph"/>
      </w:pPr>
      <w:r>
        <w:rPr>
          <w:rFonts w:hint="eastAsia"/>
        </w:rPr>
        <w:t xml:space="preserve">对社会类和娱乐类分别运行ITS回归，因变量为单条话题平均在榜时长：</w:t>
      </w:r>
    </w:p>
    <w:p>
      <w:pPr>
        <w:pStyle w:val="BodyText"/>
      </w:pPr>
      <m:oMathPara>
        <m:oMathParaPr>
          <m:jc m:val="center"/>
        </m:oMathParaPr>
        <m:oMath>
          <m:sSub>
            <m:e>
              <m:r>
                <m:rPr>
                  <m:nor/>
                  <m:sty m:val="p"/>
                </m:rPr>
                <m:t>Density</m:t>
              </m:r>
            </m:e>
            <m:sub>
              <m:r>
                <m:t>i</m:t>
              </m:r>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Trend</m:t>
              </m:r>
            </m:e>
            <m:sub>
              <m:r>
                <m:t>t</m:t>
              </m:r>
            </m:sub>
          </m:sSub>
          <m:r>
            <m:rPr>
              <m:sty m:val="p"/>
            </m:rPr>
            <m:t>+</m:t>
          </m:r>
          <m:sSub>
            <m:e>
              <m:r>
                <m:t>β</m:t>
              </m:r>
            </m:e>
            <m:sub>
              <m:r>
                <m:t>3</m:t>
              </m:r>
            </m:sub>
          </m:sSub>
          <m:r>
            <m:rPr>
              <m:sty m:val="p"/>
            </m:rPr>
            <m:t>(</m:t>
          </m:r>
          <m:sSub>
            <m:e>
              <m:r>
                <m:rPr>
                  <m:nor/>
                  <m:sty m:val="p"/>
                </m:rPr>
                <m:t>Post</m:t>
              </m:r>
            </m:e>
            <m:sub>
              <m:r>
                <m:t>t</m:t>
              </m:r>
            </m:sub>
          </m:sSub>
          <m:r>
            <m:rPr>
              <m:sty m:val="p"/>
            </m:rPr>
            <m:t>×</m:t>
          </m:r>
          <m:sSub>
            <m:e>
              <m:r>
                <m:rPr>
                  <m:nor/>
                  <m:sty m:val="p"/>
                </m:rPr>
                <m:t>Trend</m:t>
              </m:r>
            </m:e>
            <m:sub>
              <m:r>
                <m:t>t</m:t>
              </m:r>
            </m:sub>
          </m:sSub>
          <m:r>
            <m:rPr>
              <m:sty m:val="p"/>
            </m:rPr>
            <m:t>)</m:t>
          </m:r>
          <m:r>
            <m:rPr>
              <m:sty m:val="p"/>
            </m:rPr>
            <m:t>+</m:t>
          </m:r>
          <m:sSub>
            <m:e>
              <m:r>
                <m:t>γ</m:t>
              </m:r>
            </m:e>
            <m:sub>
              <m:r>
                <m:t>w</m:t>
              </m:r>
            </m:sub>
          </m:sSub>
          <m:r>
            <m:rPr>
              <m:sty m:val="p"/>
            </m:rPr>
            <m:t>+</m:t>
          </m:r>
          <m:sSub>
            <m:e>
              <m:r>
                <m:t>δ</m:t>
              </m:r>
            </m:e>
            <m:sub>
              <m:r>
                <m:t>q</m:t>
              </m:r>
            </m:sub>
          </m:sSub>
          <m:r>
            <m:rPr>
              <m:sty m:val="p"/>
            </m:rPr>
            <m:t>+</m:t>
          </m:r>
          <m:r>
            <m:t>θ</m:t>
          </m:r>
          <m:sSub>
            <m:e>
              <m:r>
                <m:rPr>
                  <m:nor/>
                  <m:sty m:val="p"/>
                </m:rPr>
                <m:t>Holiday</m:t>
              </m:r>
            </m:e>
            <m:sub>
              <m:r>
                <m:t>t</m:t>
              </m:r>
            </m:sub>
          </m:sSub>
          <m:r>
            <m:rPr>
              <m:sty m:val="p"/>
            </m:rPr>
            <m:t>+</m:t>
          </m:r>
          <m:sSub>
            <m:e>
              <m:r>
                <m:t>ε</m:t>
              </m:r>
            </m:e>
            <m:sub>
              <m:r>
                <m:t>t</m:t>
              </m:r>
            </m:sub>
          </m:sSub>
        </m:oMath>
      </m:oMathPara>
    </w:p>
    <w:p>
      <w:pPr>
        <w:pStyle w:val="FirstParagraph"/>
      </w:pPr>
      <w:r>
        <w:rPr>
          <w:rFonts w:hint="eastAsia"/>
        </w:rPr>
        <w:t xml:space="preserve">根据H4a和H4b，预期社会类的</w:t>
      </w:r>
      <m:oMath>
        <m:sSub>
          <m:e>
            <m:r>
              <m:t>β</m:t>
            </m:r>
          </m:e>
          <m:sub>
            <m:r>
              <m:t>1</m:t>
            </m:r>
          </m:sub>
        </m:sSub>
        <m:r>
          <m:rPr>
            <m:sty m:val="p"/>
          </m:rPr>
          <m:t>≥</m:t>
        </m:r>
        <m:r>
          <m:t>0</m:t>
        </m:r>
      </m:oMath>
      <w:r>
        <w:rPr>
          <w:rFonts w:hint="eastAsia"/>
        </w:rPr>
        <w:t xml:space="preserve">（</w:t>
      </w:r>
      <w:r>
        <w:rPr>
          <w:rFonts w:hint="eastAsia"/>
        </w:rPr>
        <w:t xml:space="preserve">“少而精”</w:t>
      </w:r>
      <w:r>
        <w:rPr>
          <w:rFonts w:hint="eastAsia"/>
        </w:rPr>
        <w:t xml:space="preserve">），娱乐类的</w:t>
      </w:r>
      <m:oMath>
        <m:sSub>
          <m:e>
            <m:r>
              <m:t>β</m:t>
            </m:r>
          </m:e>
          <m:sub>
            <m:r>
              <m:t>1</m:t>
            </m:r>
          </m:sub>
        </m:sSub>
        <m:r>
          <m:rPr>
            <m:sty m:val="p"/>
          </m:rPr>
          <m:t>&gt;</m:t>
        </m:r>
        <m:r>
          <m:t>0</m:t>
        </m:r>
      </m:oMath>
      <w:r>
        <w:rPr>
          <w:rFonts w:hint="eastAsia"/>
        </w:rPr>
        <w:t xml:space="preserve">（</w:t>
      </w:r>
      <w:r>
        <w:rPr>
          <w:rFonts w:hint="eastAsia"/>
        </w:rPr>
        <w:t xml:space="preserve">“多且长”</w:t>
      </w:r>
      <w:r>
        <w:rPr>
          <w:rFonts w:hint="eastAsia"/>
        </w:rPr>
        <w:t xml:space="preserve">）。各模型均控制星期固定效应、季度固定效应和节假日效应，以提高估计精度并排除时间趋势中的周期性干扰。</w:t>
      </w:r>
    </w:p>
    <w:p>
      <w:pPr>
        <w:pStyle w:val="BodyText"/>
      </w:pPr>
      <w:r>
        <w:rPr>
          <w:rFonts w:hint="eastAsia"/>
        </w:rPr>
        <w:t xml:space="preserve">以上模型设定充分利用了政策冲击的准自然实验特征，通过ITS主效应检验和DID稳健性检验的结合使用，从整体层面和类别内部两个维度识别算法治理的因果效应，为后续实证分析提供了严谨的计量框架。</w:t>
      </w:r>
    </w:p>
    <w:bookmarkEnd w:id="39"/>
    <w:bookmarkEnd w:id="40"/>
    <w:bookmarkEnd w:id="41"/>
    <w:bookmarkStart w:id="63" w:name="实证分析"/>
    <w:p>
      <w:pPr>
        <w:pStyle w:val="Heading1"/>
      </w:pPr>
      <w:r>
        <w:rPr>
          <w:rFonts w:hint="eastAsia"/>
        </w:rPr>
        <w:t xml:space="preserve">实证分析</w:t>
      </w:r>
    </w:p>
    <w:bookmarkStart w:id="43" w:name="描述性统计"/>
    <w:p>
      <w:pPr>
        <w:pStyle w:val="Heading2"/>
      </w:pPr>
      <w:r>
        <w:rPr>
          <w:rFonts w:hint="eastAsia"/>
        </w:rPr>
        <w:t xml:space="preserve">描述性统计</w:t>
      </w:r>
    </w:p>
    <w:p>
      <w:pPr>
        <w:pStyle w:val="FirstParagraph"/>
      </w:pPr>
      <w:r>
        <w:rPr>
          <w:rFonts w:hint="eastAsia"/>
        </w:rPr>
        <w:t xml:space="preserve">表</w:t>
      </w:r>
      <w:hyperlink w:anchor="tab:descriptive">
        <w:r>
          <w:rPr>
            <w:rStyle w:val="Hyperlink"/>
          </w:rPr>
          <w:t xml:space="preserve">3</w:t>
        </w:r>
      </w:hyperlink>
      <w:r>
        <w:rPr>
          <w:rFonts w:hint="eastAsia"/>
        </w:rPr>
        <w:t xml:space="preserve">报告了核心变量的描述性统计结果。样本涵盖2024年2月至2025年10月共608天的日度数据，对应253,227条话题观测值。就内容质量而言，社会类话题信息差指数均值达0.423，即超过四成的社会类话题标题呈现信息诱导特征；娱乐类话题该指标均值为0.318，相对较低。多样性指标方面，Shannon熵均值为0.782（标准差0.145），HHI均值为0.248（标准差0.062），表明热搜榜注意力分布存在较为明显的集中态势。注意力配置方面，社会类占据34.82%的份额，娱乐核心类（含明星、游戏、综艺）占16.47%，其中明星类占11.86%。注意力密度方面，社会类单条话题平均在榜时长为8.45小时，娱乐核心类为7.23小时。</w:t>
      </w:r>
    </w:p>
    <w:bookmarkStart w:id="42" w:name="tab:descriptive"/>
    <w:p>
      <w:pPr>
        <w:pStyle w:val="TableCaption"/>
      </w:pPr>
      <w:r>
        <w:rPr>
          <w:rFonts w:hint="eastAsia"/>
        </w:rPr>
        <w:t xml:space="preserve">核心变量描述性统计</w:t>
      </w:r>
    </w:p>
    <w:tbl>
      <w:tblPr>
        <w:tblStyle w:val="Table"/>
        <w:tblW w:type="auto" w:w="0"/>
        <w:tblLook w:firstRow="1" w:lastRow="0" w:firstColumn="0" w:lastColumn="0" w:noHBand="0" w:noVBand="0" w:val="0020"/>
        <w:tblCaption w:val="核心变量描述性统计"/>
      </w:tblPr>
      <w:tblGrid>
        <w:gridCol w:w="1320"/>
        <w:gridCol w:w="1320"/>
        <w:gridCol w:w="1320"/>
        <w:gridCol w:w="1320"/>
        <w:gridCol w:w="1320"/>
        <w:gridCol w:w="1320"/>
      </w:tblGrid>
      <w:tr>
        <w:trPr>
          <w:tblHeader w:val="on"/>
        </w:trPr>
        <w:tc>
          <w:tcPr/>
          <w:p>
            <w:pPr>
              <w:pStyle w:val="Compact"/>
              <w:jc w:val="left"/>
            </w:pPr>
            <w:r>
              <w:rPr>
                <w:rFonts w:hint="eastAsia"/>
              </w:rPr>
              <w:t xml:space="preserve">变量</w:t>
            </w:r>
          </w:p>
        </w:tc>
        <w:tc>
          <w:tcPr/>
          <w:p>
            <w:pPr>
              <w:pStyle w:val="Compact"/>
              <w:jc w:val="center"/>
            </w:pPr>
            <w:r>
              <w:rPr>
                <w:rFonts w:hint="eastAsia"/>
              </w:rPr>
              <w:t xml:space="preserve">观测数</w:t>
            </w:r>
          </w:p>
        </w:tc>
        <w:tc>
          <w:tcPr/>
          <w:p>
            <w:pPr>
              <w:pStyle w:val="Compact"/>
              <w:jc w:val="center"/>
            </w:pPr>
            <w:r>
              <w:rPr>
                <w:rFonts w:hint="eastAsia"/>
              </w:rPr>
              <w:t xml:space="preserve">均值</w:t>
            </w:r>
          </w:p>
        </w:tc>
        <w:tc>
          <w:tcPr/>
          <w:p>
            <w:pPr>
              <w:pStyle w:val="Compact"/>
              <w:jc w:val="center"/>
            </w:pPr>
            <w:r>
              <w:rPr>
                <w:rFonts w:hint="eastAsia"/>
              </w:rPr>
              <w:t xml:space="preserve">标准差</w:t>
            </w:r>
          </w:p>
        </w:tc>
        <w:tc>
          <w:tcPr/>
          <w:p>
            <w:pPr>
              <w:pStyle w:val="Compact"/>
              <w:jc w:val="center"/>
            </w:pPr>
            <w:r>
              <w:rPr>
                <w:rFonts w:hint="eastAsia"/>
              </w:rPr>
              <w:t xml:space="preserve">最小值</w:t>
            </w:r>
          </w:p>
        </w:tc>
        <w:tc>
          <w:tcPr/>
          <w:p>
            <w:pPr>
              <w:pStyle w:val="Compact"/>
              <w:jc w:val="center"/>
            </w:pPr>
            <w:r>
              <w:rPr>
                <w:rFonts w:hint="eastAsia"/>
              </w:rPr>
              <w:t xml:space="preserve">最大值</w:t>
            </w:r>
          </w:p>
        </w:tc>
      </w:tr>
      <w:tr>
        <w:tc>
          <w:tcPr>
            <w:gridSpan w:val="6"/>
          </w:tcPr>
          <w:p>
            <w:pPr>
              <w:pStyle w:val="Compact"/>
              <w:jc w:val="left"/>
            </w:pPr>
            <w:r>
              <w:rPr>
                <w:rFonts w:hint="eastAsia"/>
                <w:i/>
                <w:iCs/>
              </w:rPr>
              <w:t xml:space="preserve">质量指标（H1）</w:t>
            </w:r>
          </w:p>
        </w:tc>
      </w:tr>
      <w:tr>
        <w:tc>
          <w:tcPr/>
          <w:p>
            <w:pPr>
              <w:pStyle w:val="Compact"/>
              <w:jc w:val="left"/>
            </w:pPr>
            <m:oMath>
              <m:r>
                <m:rPr>
                  <m:nor/>
                  <m:sty m:val="i"/>
                </m:rPr>
                <m:t>InfoGap</m:t>
              </m:r>
            </m:oMath>
            <w:r>
              <w:rPr>
                <w:rFonts w:hint="eastAsia"/>
              </w:rPr>
              <w:t xml:space="preserve">（社会类）</w:t>
            </w:r>
          </w:p>
        </w:tc>
        <w:tc>
          <w:tcPr/>
          <w:p>
            <w:pPr>
              <w:pStyle w:val="Compact"/>
              <w:jc w:val="center"/>
            </w:pPr>
            <w:r>
              <w:t xml:space="preserve">211,842</w:t>
            </w:r>
          </w:p>
        </w:tc>
        <w:tc>
          <w:tcPr/>
          <w:p>
            <w:pPr>
              <w:pStyle w:val="Compact"/>
              <w:jc w:val="center"/>
            </w:pPr>
            <w:r>
              <w:t xml:space="preserve">0.423</w:t>
            </w:r>
          </w:p>
        </w:tc>
        <w:tc>
          <w:tcPr/>
          <w:p>
            <w:pPr>
              <w:pStyle w:val="Compact"/>
              <w:jc w:val="center"/>
            </w:pPr>
            <w:r>
              <w:t xml:space="preserve">0.494</w:t>
            </w:r>
          </w:p>
        </w:tc>
        <w:tc>
          <w:tcPr/>
          <w:p>
            <w:pPr>
              <w:pStyle w:val="Compact"/>
              <w:jc w:val="center"/>
            </w:pPr>
            <w:r>
              <w:t xml:space="preserve">0</w:t>
            </w:r>
          </w:p>
        </w:tc>
        <w:tc>
          <w:tcPr/>
          <w:p>
            <w:pPr>
              <w:pStyle w:val="Compact"/>
              <w:jc w:val="center"/>
            </w:pPr>
            <w:r>
              <w:t xml:space="preserve">1</w:t>
            </w:r>
          </w:p>
        </w:tc>
      </w:tr>
      <w:tr>
        <w:tc>
          <w:tcPr/>
          <w:p>
            <w:pPr>
              <w:pStyle w:val="Compact"/>
              <w:jc w:val="left"/>
            </w:pPr>
            <m:oMath>
              <m:r>
                <m:rPr>
                  <m:nor/>
                  <m:sty m:val="i"/>
                </m:rPr>
                <m:t>InfoGap</m:t>
              </m:r>
            </m:oMath>
            <w:r>
              <w:rPr>
                <w:rFonts w:hint="eastAsia"/>
              </w:rPr>
              <w:t xml:space="preserve">（娱乐类）</w:t>
            </w:r>
          </w:p>
        </w:tc>
        <w:tc>
          <w:tcPr/>
          <w:p>
            <w:pPr>
              <w:pStyle w:val="Compact"/>
              <w:jc w:val="center"/>
            </w:pPr>
            <w:r>
              <w:t xml:space="preserve">41,667</w:t>
            </w:r>
          </w:p>
        </w:tc>
        <w:tc>
          <w:tcPr/>
          <w:p>
            <w:pPr>
              <w:pStyle w:val="Compact"/>
              <w:jc w:val="center"/>
            </w:pPr>
            <w:r>
              <w:t xml:space="preserve">0.318</w:t>
            </w:r>
          </w:p>
        </w:tc>
        <w:tc>
          <w:tcPr/>
          <w:p>
            <w:pPr>
              <w:pStyle w:val="Compact"/>
              <w:jc w:val="center"/>
            </w:pPr>
            <w:r>
              <w:t xml:space="preserve">0.466</w:t>
            </w:r>
          </w:p>
        </w:tc>
        <w:tc>
          <w:tcPr/>
          <w:p>
            <w:pPr>
              <w:pStyle w:val="Compact"/>
              <w:jc w:val="center"/>
            </w:pPr>
            <w:r>
              <w:t xml:space="preserve">0</w:t>
            </w:r>
          </w:p>
        </w:tc>
        <w:tc>
          <w:tcPr/>
          <w:p>
            <w:pPr>
              <w:pStyle w:val="Compact"/>
              <w:jc w:val="center"/>
            </w:pPr>
            <w:r>
              <w:t xml:space="preserve">1</w:t>
            </w:r>
          </w:p>
        </w:tc>
      </w:tr>
      <w:tr>
        <w:tc>
          <w:tcPr/>
          <w:p>
            <w:pPr>
              <w:pStyle w:val="Compact"/>
              <w:jc w:val="left"/>
            </w:pPr>
            <m:oMath>
              <m:r>
                <m:rPr>
                  <m:nor/>
                  <m:sty m:val="i"/>
                </m:rPr>
                <m:t>Institutional</m:t>
              </m:r>
            </m:oMath>
            <w:r>
              <w:rPr>
                <w:rFonts w:hint="eastAsia"/>
              </w:rPr>
              <w:t xml:space="preserve">占比（社会类）</w:t>
            </w:r>
          </w:p>
        </w:tc>
        <w:tc>
          <w:tcPr/>
          <w:p>
            <w:pPr>
              <w:pStyle w:val="Compact"/>
              <w:jc w:val="center"/>
            </w:pPr>
            <w:r>
              <w:t xml:space="preserve">608</w:t>
            </w:r>
          </w:p>
        </w:tc>
        <w:tc>
          <w:tcPr/>
          <w:p>
            <w:pPr>
              <w:pStyle w:val="Compact"/>
              <w:jc w:val="center"/>
            </w:pPr>
            <w:r>
              <w:t xml:space="preserve">0.267</w:t>
            </w:r>
          </w:p>
        </w:tc>
        <w:tc>
          <w:tcPr/>
          <w:p>
            <w:pPr>
              <w:pStyle w:val="Compact"/>
              <w:jc w:val="center"/>
            </w:pPr>
            <w:r>
              <w:t xml:space="preserve">0.089</w:t>
            </w:r>
          </w:p>
        </w:tc>
        <w:tc>
          <w:tcPr/>
          <w:p>
            <w:pPr>
              <w:pStyle w:val="Compact"/>
              <w:jc w:val="center"/>
            </w:pPr>
            <w:r>
              <w:t xml:space="preserve">0.103</w:t>
            </w:r>
          </w:p>
        </w:tc>
        <w:tc>
          <w:tcPr/>
          <w:p>
            <w:pPr>
              <w:pStyle w:val="Compact"/>
              <w:jc w:val="center"/>
            </w:pPr>
            <w:r>
              <w:t xml:space="preserve">0.512</w:t>
            </w:r>
          </w:p>
        </w:tc>
      </w:tr>
      <w:tr>
        <w:tc>
          <w:tcPr>
            <w:gridSpan w:val="6"/>
          </w:tcPr>
          <w:p>
            <w:pPr>
              <w:pStyle w:val="Compact"/>
              <w:jc w:val="left"/>
            </w:pPr>
            <w:r>
              <w:rPr>
                <w:rFonts w:hint="eastAsia"/>
                <w:i/>
                <w:iCs/>
              </w:rPr>
              <w:t xml:space="preserve">多样性指标（H2）</w:t>
            </w:r>
          </w:p>
        </w:tc>
      </w:tr>
      <w:tr>
        <w:tc>
          <w:tcPr/>
          <w:p>
            <w:pPr>
              <w:pStyle w:val="Compact"/>
              <w:jc w:val="left"/>
            </w:pPr>
            <w:r>
              <w:rPr>
                <w:rFonts w:hint="eastAsia"/>
              </w:rPr>
              <w:t xml:space="preserve">Shannon熵</w:t>
            </w:r>
          </w:p>
        </w:tc>
        <w:tc>
          <w:tcPr/>
          <w:p>
            <w:pPr>
              <w:pStyle w:val="Compact"/>
              <w:jc w:val="center"/>
            </w:pPr>
            <w:r>
              <w:t xml:space="preserve">608</w:t>
            </w:r>
          </w:p>
        </w:tc>
        <w:tc>
          <w:tcPr/>
          <w:p>
            <w:pPr>
              <w:pStyle w:val="Compact"/>
              <w:jc w:val="center"/>
            </w:pPr>
            <w:r>
              <w:t xml:space="preserve">0.782</w:t>
            </w:r>
          </w:p>
        </w:tc>
        <w:tc>
          <w:tcPr/>
          <w:p>
            <w:pPr>
              <w:pStyle w:val="Compact"/>
              <w:jc w:val="center"/>
            </w:pPr>
            <w:r>
              <w:t xml:space="preserve">0.145</w:t>
            </w:r>
          </w:p>
        </w:tc>
        <w:tc>
          <w:tcPr/>
          <w:p>
            <w:pPr>
              <w:pStyle w:val="Compact"/>
              <w:jc w:val="center"/>
            </w:pPr>
            <w:r>
              <w:t xml:space="preserve">0.412</w:t>
            </w:r>
          </w:p>
        </w:tc>
        <w:tc>
          <w:tcPr/>
          <w:p>
            <w:pPr>
              <w:pStyle w:val="Compact"/>
              <w:jc w:val="center"/>
            </w:pPr>
            <w:r>
              <w:t xml:space="preserve">1.134</w:t>
            </w:r>
          </w:p>
        </w:tc>
      </w:tr>
      <w:tr>
        <w:tc>
          <w:tcPr/>
          <w:p>
            <w:pPr>
              <w:pStyle w:val="Compact"/>
              <w:jc w:val="left"/>
            </w:pPr>
            <m:oMath>
              <m:r>
                <m:rPr>
                  <m:nor/>
                  <m:sty m:val="i"/>
                </m:rPr>
                <m:t>HHI</m:t>
              </m:r>
            </m:oMath>
          </w:p>
        </w:tc>
        <w:tc>
          <w:tcPr/>
          <w:p>
            <w:pPr>
              <w:pStyle w:val="Compact"/>
              <w:jc w:val="center"/>
            </w:pPr>
            <w:r>
              <w:t xml:space="preserve">608</w:t>
            </w:r>
          </w:p>
        </w:tc>
        <w:tc>
          <w:tcPr/>
          <w:p>
            <w:pPr>
              <w:pStyle w:val="Compact"/>
              <w:jc w:val="center"/>
            </w:pPr>
            <w:r>
              <w:t xml:space="preserve">0.248</w:t>
            </w:r>
          </w:p>
        </w:tc>
        <w:tc>
          <w:tcPr/>
          <w:p>
            <w:pPr>
              <w:pStyle w:val="Compact"/>
              <w:jc w:val="center"/>
            </w:pPr>
            <w:r>
              <w:t xml:space="preserve">0.062</w:t>
            </w:r>
          </w:p>
        </w:tc>
        <w:tc>
          <w:tcPr/>
          <w:p>
            <w:pPr>
              <w:pStyle w:val="Compact"/>
              <w:jc w:val="center"/>
            </w:pPr>
            <w:r>
              <w:t xml:space="preserve">0.156</w:t>
            </w:r>
          </w:p>
        </w:tc>
        <w:tc>
          <w:tcPr/>
          <w:p>
            <w:pPr>
              <w:pStyle w:val="Compact"/>
              <w:jc w:val="center"/>
            </w:pPr>
            <w:r>
              <w:t xml:space="preserve">0.487</w:t>
            </w:r>
          </w:p>
        </w:tc>
      </w:tr>
      <w:tr>
        <w:tc>
          <w:tcPr/>
          <w:p>
            <w:pPr>
              <w:pStyle w:val="Compact"/>
              <w:jc w:val="left"/>
            </w:pPr>
            <w:r>
              <w:rPr>
                <w:rFonts w:hint="eastAsia"/>
              </w:rPr>
              <w:t xml:space="preserve">单条话题重复上榜次数</w:t>
            </w:r>
          </w:p>
        </w:tc>
        <w:tc>
          <w:tcPr/>
          <w:p>
            <w:pPr>
              <w:pStyle w:val="Compact"/>
              <w:jc w:val="center"/>
            </w:pPr>
            <w:r>
              <w:t xml:space="preserve">608</w:t>
            </w:r>
          </w:p>
        </w:tc>
        <w:tc>
          <w:tcPr/>
          <w:p>
            <w:pPr>
              <w:pStyle w:val="Compact"/>
              <w:jc w:val="center"/>
            </w:pPr>
            <w:r>
              <w:t xml:space="preserve">2.34</w:t>
            </w:r>
          </w:p>
        </w:tc>
        <w:tc>
          <w:tcPr/>
          <w:p>
            <w:pPr>
              <w:pStyle w:val="Compact"/>
              <w:jc w:val="center"/>
            </w:pPr>
            <w:r>
              <w:t xml:space="preserve">0.67</w:t>
            </w:r>
          </w:p>
        </w:tc>
        <w:tc>
          <w:tcPr/>
          <w:p>
            <w:pPr>
              <w:pStyle w:val="Compact"/>
              <w:jc w:val="center"/>
            </w:pPr>
            <w:r>
              <w:t xml:space="preserve">1.12</w:t>
            </w:r>
          </w:p>
        </w:tc>
        <w:tc>
          <w:tcPr/>
          <w:p>
            <w:pPr>
              <w:pStyle w:val="Compact"/>
              <w:jc w:val="center"/>
            </w:pPr>
            <w:r>
              <w:t xml:space="preserve">4.56</w:t>
            </w:r>
          </w:p>
        </w:tc>
      </w:tr>
      <w:tr>
        <w:tc>
          <w:tcPr/>
          <w:p>
            <w:pPr>
              <w:pStyle w:val="Compact"/>
              <w:jc w:val="left"/>
            </w:pPr>
            <w:r>
              <w:rPr>
                <w:rFonts w:hint="eastAsia"/>
              </w:rPr>
              <w:t xml:space="preserve">连续在榜时长（小时）</w:t>
            </w:r>
          </w:p>
        </w:tc>
        <w:tc>
          <w:tcPr/>
          <w:p>
            <w:pPr>
              <w:pStyle w:val="Compact"/>
              <w:jc w:val="center"/>
            </w:pPr>
            <w:r>
              <w:t xml:space="preserve">608</w:t>
            </w:r>
          </w:p>
        </w:tc>
        <w:tc>
          <w:tcPr/>
          <w:p>
            <w:pPr>
              <w:pStyle w:val="Compact"/>
              <w:jc w:val="center"/>
            </w:pPr>
            <w:r>
              <w:t xml:space="preserve">6.78</w:t>
            </w:r>
          </w:p>
        </w:tc>
        <w:tc>
          <w:tcPr/>
          <w:p>
            <w:pPr>
              <w:pStyle w:val="Compact"/>
              <w:jc w:val="center"/>
            </w:pPr>
            <w:r>
              <w:t xml:space="preserve">2.13</w:t>
            </w:r>
          </w:p>
        </w:tc>
        <w:tc>
          <w:tcPr/>
          <w:p>
            <w:pPr>
              <w:pStyle w:val="Compact"/>
              <w:jc w:val="center"/>
            </w:pPr>
            <w:r>
              <w:t xml:space="preserve">3.21</w:t>
            </w:r>
          </w:p>
        </w:tc>
        <w:tc>
          <w:tcPr/>
          <w:p>
            <w:pPr>
              <w:pStyle w:val="Compact"/>
              <w:jc w:val="center"/>
            </w:pPr>
            <w:r>
              <w:t xml:space="preserve">14.23</w:t>
            </w:r>
          </w:p>
        </w:tc>
      </w:tr>
      <w:tr>
        <w:tc>
          <w:tcPr>
            <w:gridSpan w:val="6"/>
          </w:tcPr>
          <w:p>
            <w:pPr>
              <w:pStyle w:val="Compact"/>
              <w:jc w:val="left"/>
            </w:pPr>
            <w:r>
              <w:rPr>
                <w:rFonts w:hint="eastAsia"/>
                <w:i/>
                <w:iCs/>
              </w:rPr>
              <w:t xml:space="preserve">注意力配置指标（H3）</w:t>
            </w:r>
          </w:p>
        </w:tc>
      </w:tr>
      <w:tr>
        <w:tc>
          <w:tcPr/>
          <w:p>
            <w:pPr>
              <w:pStyle w:val="Compact"/>
              <w:jc w:val="left"/>
            </w:pPr>
            <m:oMath>
              <m:r>
                <m:rPr>
                  <m:nor/>
                  <m:sty m:val="i"/>
                </m:rPr>
                <m:t>Share</m:t>
              </m:r>
            </m:oMath>
            <w:r>
              <w:rPr>
                <w:rFonts w:hint="eastAsia"/>
              </w:rPr>
              <w:t xml:space="preserve">（社会类）</w:t>
            </w:r>
          </w:p>
        </w:tc>
        <w:tc>
          <w:tcPr/>
          <w:p>
            <w:pPr>
              <w:pStyle w:val="Compact"/>
              <w:jc w:val="center"/>
            </w:pPr>
            <w:r>
              <w:t xml:space="preserve">608</w:t>
            </w:r>
          </w:p>
        </w:tc>
        <w:tc>
          <w:tcPr/>
          <w:p>
            <w:pPr>
              <w:pStyle w:val="Compact"/>
              <w:jc w:val="center"/>
            </w:pPr>
            <w:r>
              <w:t xml:space="preserve">0.3482</w:t>
            </w:r>
          </w:p>
        </w:tc>
        <w:tc>
          <w:tcPr/>
          <w:p>
            <w:pPr>
              <w:pStyle w:val="Compact"/>
              <w:jc w:val="center"/>
            </w:pPr>
            <w:r>
              <w:t xml:space="preserve">0.0734</w:t>
            </w:r>
          </w:p>
        </w:tc>
        <w:tc>
          <w:tcPr/>
          <w:p>
            <w:pPr>
              <w:pStyle w:val="Compact"/>
              <w:jc w:val="center"/>
            </w:pPr>
            <w:r>
              <w:t xml:space="preserve">0.189</w:t>
            </w:r>
          </w:p>
        </w:tc>
        <w:tc>
          <w:tcPr/>
          <w:p>
            <w:pPr>
              <w:pStyle w:val="Compact"/>
              <w:jc w:val="center"/>
            </w:pPr>
            <w:r>
              <w:t xml:space="preserve">0.523</w:t>
            </w:r>
          </w:p>
        </w:tc>
      </w:tr>
      <w:tr>
        <w:tc>
          <w:tcPr/>
          <w:p>
            <w:pPr>
              <w:pStyle w:val="Compact"/>
              <w:jc w:val="left"/>
            </w:pPr>
            <m:oMath>
              <m:r>
                <m:rPr>
                  <m:nor/>
                  <m:sty m:val="i"/>
                </m:rPr>
                <m:t>Share</m:t>
              </m:r>
            </m:oMath>
            <w:r>
              <w:rPr>
                <w:rFonts w:hint="eastAsia"/>
              </w:rPr>
              <w:t xml:space="preserve">（娱乐核心类）</w:t>
            </w:r>
          </w:p>
        </w:tc>
        <w:tc>
          <w:tcPr/>
          <w:p>
            <w:pPr>
              <w:pStyle w:val="Compact"/>
              <w:jc w:val="center"/>
            </w:pPr>
            <w:r>
              <w:t xml:space="preserve">608</w:t>
            </w:r>
          </w:p>
        </w:tc>
        <w:tc>
          <w:tcPr/>
          <w:p>
            <w:pPr>
              <w:pStyle w:val="Compact"/>
              <w:jc w:val="center"/>
            </w:pPr>
            <w:r>
              <w:t xml:space="preserve">0.1647</w:t>
            </w:r>
          </w:p>
        </w:tc>
        <w:tc>
          <w:tcPr/>
          <w:p>
            <w:pPr>
              <w:pStyle w:val="Compact"/>
              <w:jc w:val="center"/>
            </w:pPr>
            <w:r>
              <w:t xml:space="preserve">0.0456</w:t>
            </w:r>
          </w:p>
        </w:tc>
        <w:tc>
          <w:tcPr/>
          <w:p>
            <w:pPr>
              <w:pStyle w:val="Compact"/>
              <w:jc w:val="center"/>
            </w:pPr>
            <w:r>
              <w:t xml:space="preserve">0.078</w:t>
            </w:r>
          </w:p>
        </w:tc>
        <w:tc>
          <w:tcPr/>
          <w:p>
            <w:pPr>
              <w:pStyle w:val="Compact"/>
              <w:jc w:val="center"/>
            </w:pPr>
            <w:r>
              <w:t xml:space="preserve">0.289</w:t>
            </w:r>
          </w:p>
        </w:tc>
      </w:tr>
      <w:tr>
        <w:tc>
          <w:tcPr/>
          <w:p>
            <w:pPr>
              <w:pStyle w:val="Compact"/>
              <w:jc w:val="left"/>
            </w:pPr>
            <m:oMath>
              <m:r>
                <m:rPr>
                  <m:nor/>
                  <m:sty m:val="i"/>
                </m:rPr>
                <m:t>Share</m:t>
              </m:r>
            </m:oMath>
            <w:r>
              <w:rPr>
                <w:rFonts w:hint="eastAsia"/>
              </w:rPr>
              <w:t xml:space="preserve">（明星类）</w:t>
            </w:r>
          </w:p>
        </w:tc>
        <w:tc>
          <w:tcPr/>
          <w:p>
            <w:pPr>
              <w:pStyle w:val="Compact"/>
              <w:jc w:val="center"/>
            </w:pPr>
            <w:r>
              <w:t xml:space="preserve">608</w:t>
            </w:r>
          </w:p>
        </w:tc>
        <w:tc>
          <w:tcPr/>
          <w:p>
            <w:pPr>
              <w:pStyle w:val="Compact"/>
              <w:jc w:val="center"/>
            </w:pPr>
            <w:r>
              <w:t xml:space="preserve">0.1186</w:t>
            </w:r>
          </w:p>
        </w:tc>
        <w:tc>
          <w:tcPr/>
          <w:p>
            <w:pPr>
              <w:pStyle w:val="Compact"/>
              <w:jc w:val="center"/>
            </w:pPr>
            <w:r>
              <w:t xml:space="preserve">0.0389</w:t>
            </w:r>
          </w:p>
        </w:tc>
        <w:tc>
          <w:tcPr/>
          <w:p>
            <w:pPr>
              <w:pStyle w:val="Compact"/>
              <w:jc w:val="center"/>
            </w:pPr>
            <w:r>
              <w:t xml:space="preserve">0.052</w:t>
            </w:r>
          </w:p>
        </w:tc>
        <w:tc>
          <w:tcPr/>
          <w:p>
            <w:pPr>
              <w:pStyle w:val="Compact"/>
              <w:jc w:val="center"/>
            </w:pPr>
            <w:r>
              <w:t xml:space="preserve">0.234</w:t>
            </w:r>
          </w:p>
        </w:tc>
      </w:tr>
      <w:tr>
        <w:tc>
          <w:tcPr/>
          <w:p>
            <w:pPr>
              <w:pStyle w:val="Compact"/>
              <w:jc w:val="left"/>
            </w:pPr>
            <m:oMath>
              <m:r>
                <m:rPr>
                  <m:nor/>
                  <m:sty m:val="i"/>
                </m:rPr>
                <m:t>Share</m:t>
              </m:r>
            </m:oMath>
            <w:r>
              <w:rPr>
                <w:rFonts w:hint="eastAsia"/>
              </w:rPr>
              <w:t xml:space="preserve">（游戏类）</w:t>
            </w:r>
          </w:p>
        </w:tc>
        <w:tc>
          <w:tcPr/>
          <w:p>
            <w:pPr>
              <w:pStyle w:val="Compact"/>
              <w:jc w:val="center"/>
            </w:pPr>
            <w:r>
              <w:t xml:space="preserve">608</w:t>
            </w:r>
          </w:p>
        </w:tc>
        <w:tc>
          <w:tcPr/>
          <w:p>
            <w:pPr>
              <w:pStyle w:val="Compact"/>
              <w:jc w:val="center"/>
            </w:pPr>
            <w:r>
              <w:t xml:space="preserve">0.0312</w:t>
            </w:r>
          </w:p>
        </w:tc>
        <w:tc>
          <w:tcPr/>
          <w:p>
            <w:pPr>
              <w:pStyle w:val="Compact"/>
              <w:jc w:val="center"/>
            </w:pPr>
            <w:r>
              <w:t xml:space="preserve">0.0145</w:t>
            </w:r>
          </w:p>
        </w:tc>
        <w:tc>
          <w:tcPr/>
          <w:p>
            <w:pPr>
              <w:pStyle w:val="Compact"/>
              <w:jc w:val="center"/>
            </w:pPr>
            <w:r>
              <w:t xml:space="preserve">0.011</w:t>
            </w:r>
          </w:p>
        </w:tc>
        <w:tc>
          <w:tcPr/>
          <w:p>
            <w:pPr>
              <w:pStyle w:val="Compact"/>
              <w:jc w:val="center"/>
            </w:pPr>
            <w:r>
              <w:t xml:space="preserve">0.078</w:t>
            </w:r>
          </w:p>
        </w:tc>
      </w:tr>
      <w:tr>
        <w:tc>
          <w:tcPr/>
          <w:p>
            <w:pPr>
              <w:pStyle w:val="Compact"/>
              <w:jc w:val="left"/>
            </w:pPr>
            <m:oMath>
              <m:r>
                <m:rPr>
                  <m:nor/>
                  <m:sty m:val="i"/>
                </m:rPr>
                <m:t>TotalHeat</m:t>
              </m:r>
            </m:oMath>
            <w:r>
              <w:rPr>
                <w:rFonts w:hint="eastAsia"/>
              </w:rPr>
              <w:t xml:space="preserve">（百万）</w:t>
            </w:r>
          </w:p>
        </w:tc>
        <w:tc>
          <w:tcPr/>
          <w:p>
            <w:pPr>
              <w:pStyle w:val="Compact"/>
              <w:jc w:val="center"/>
            </w:pPr>
            <w:r>
              <w:t xml:space="preserve">87</w:t>
            </w:r>
          </w:p>
        </w:tc>
        <w:tc>
          <w:tcPr/>
          <w:p>
            <w:pPr>
              <w:pStyle w:val="Compact"/>
              <w:jc w:val="center"/>
            </w:pPr>
            <w:r>
              <w:t xml:space="preserve">12.45</w:t>
            </w:r>
          </w:p>
        </w:tc>
        <w:tc>
          <w:tcPr/>
          <w:p>
            <w:pPr>
              <w:pStyle w:val="Compact"/>
              <w:jc w:val="center"/>
            </w:pPr>
            <w:r>
              <w:t xml:space="preserve">2.34</w:t>
            </w:r>
          </w:p>
        </w:tc>
        <w:tc>
          <w:tcPr/>
          <w:p>
            <w:pPr>
              <w:pStyle w:val="Compact"/>
              <w:jc w:val="center"/>
            </w:pPr>
            <w:r>
              <w:t xml:space="preserve">7.89</w:t>
            </w:r>
          </w:p>
        </w:tc>
        <w:tc>
          <w:tcPr/>
          <w:p>
            <w:pPr>
              <w:pStyle w:val="Compact"/>
              <w:jc w:val="center"/>
            </w:pPr>
            <w:r>
              <w:t xml:space="preserve">18.67</w:t>
            </w:r>
          </w:p>
        </w:tc>
      </w:tr>
      <w:tr>
        <w:tc>
          <w:tcPr>
            <w:gridSpan w:val="6"/>
          </w:tcPr>
          <w:p>
            <w:pPr>
              <w:pStyle w:val="Compact"/>
              <w:jc w:val="left"/>
            </w:pPr>
            <w:r>
              <w:rPr>
                <w:rFonts w:hint="eastAsia"/>
                <w:i/>
                <w:iCs/>
              </w:rPr>
              <w:t xml:space="preserve">注意力密度指标（H4）</w:t>
            </w:r>
          </w:p>
        </w:tc>
      </w:tr>
      <w:tr>
        <w:tc>
          <w:tcPr/>
          <w:p>
            <w:pPr>
              <w:pStyle w:val="Compact"/>
              <w:jc w:val="left"/>
            </w:pPr>
            <w:r>
              <w:rPr>
                <w:rFonts w:hint="eastAsia"/>
              </w:rPr>
              <w:t xml:space="preserve">社会类总在榜时长（小时/日）</w:t>
            </w:r>
          </w:p>
        </w:tc>
        <w:tc>
          <w:tcPr/>
          <w:p>
            <w:pPr>
              <w:pStyle w:val="Compact"/>
              <w:jc w:val="center"/>
            </w:pPr>
            <w:r>
              <w:t xml:space="preserve">608</w:t>
            </w:r>
          </w:p>
        </w:tc>
        <w:tc>
          <w:tcPr/>
          <w:p>
            <w:pPr>
              <w:pStyle w:val="Compact"/>
              <w:jc w:val="center"/>
            </w:pPr>
            <w:r>
              <w:t xml:space="preserve">82.3</w:t>
            </w:r>
          </w:p>
        </w:tc>
        <w:tc>
          <w:tcPr/>
          <w:p>
            <w:pPr>
              <w:pStyle w:val="Compact"/>
              <w:jc w:val="center"/>
            </w:pPr>
            <w:r>
              <w:t xml:space="preserve">18.7</w:t>
            </w:r>
          </w:p>
        </w:tc>
        <w:tc>
          <w:tcPr/>
          <w:p>
            <w:pPr>
              <w:pStyle w:val="Compact"/>
              <w:jc w:val="center"/>
            </w:pPr>
            <w:r>
              <w:t xml:space="preserve">42.1</w:t>
            </w:r>
          </w:p>
        </w:tc>
        <w:tc>
          <w:tcPr/>
          <w:p>
            <w:pPr>
              <w:pStyle w:val="Compact"/>
              <w:jc w:val="center"/>
            </w:pPr>
            <w:r>
              <w:t xml:space="preserve">134.5</w:t>
            </w:r>
          </w:p>
        </w:tc>
      </w:tr>
      <w:tr>
        <w:tc>
          <w:tcPr/>
          <w:p>
            <w:pPr>
              <w:pStyle w:val="Compact"/>
              <w:jc w:val="left"/>
            </w:pPr>
            <m:oMath>
              <m:r>
                <m:rPr>
                  <m:nor/>
                  <m:sty m:val="i"/>
                </m:rPr>
                <m:t>Density</m:t>
              </m:r>
            </m:oMath>
            <w:r>
              <w:rPr>
                <w:rFonts w:hint="eastAsia"/>
              </w:rPr>
              <w:t xml:space="preserve">（社会类，小时）</w:t>
            </w:r>
          </w:p>
        </w:tc>
        <w:tc>
          <w:tcPr/>
          <w:p>
            <w:pPr>
              <w:pStyle w:val="Compact"/>
              <w:jc w:val="center"/>
            </w:pPr>
            <w:r>
              <w:t xml:space="preserve">608</w:t>
            </w:r>
          </w:p>
        </w:tc>
        <w:tc>
          <w:tcPr/>
          <w:p>
            <w:pPr>
              <w:pStyle w:val="Compact"/>
              <w:jc w:val="center"/>
            </w:pPr>
            <w:r>
              <w:t xml:space="preserve">8.45</w:t>
            </w:r>
          </w:p>
        </w:tc>
        <w:tc>
          <w:tcPr/>
          <w:p>
            <w:pPr>
              <w:pStyle w:val="Compact"/>
              <w:jc w:val="center"/>
            </w:pPr>
            <w:r>
              <w:t xml:space="preserve">2.13</w:t>
            </w:r>
          </w:p>
        </w:tc>
        <w:tc>
          <w:tcPr/>
          <w:p>
            <w:pPr>
              <w:pStyle w:val="Compact"/>
              <w:jc w:val="center"/>
            </w:pPr>
            <w:r>
              <w:t xml:space="preserve">4.56</w:t>
            </w:r>
          </w:p>
        </w:tc>
        <w:tc>
          <w:tcPr/>
          <w:p>
            <w:pPr>
              <w:pStyle w:val="Compact"/>
              <w:jc w:val="center"/>
            </w:pPr>
            <w:r>
              <w:t xml:space="preserve">15.23</w:t>
            </w:r>
          </w:p>
        </w:tc>
      </w:tr>
      <w:tr>
        <w:tc>
          <w:tcPr/>
          <w:p>
            <w:pPr>
              <w:pStyle w:val="Compact"/>
              <w:jc w:val="left"/>
            </w:pPr>
            <w:r>
              <w:rPr>
                <w:rFonts w:hint="eastAsia"/>
              </w:rPr>
              <w:t xml:space="preserve">娱乐核心类总在榜时长（小时/日）</w:t>
            </w:r>
          </w:p>
        </w:tc>
        <w:tc>
          <w:tcPr/>
          <w:p>
            <w:pPr>
              <w:pStyle w:val="Compact"/>
              <w:jc w:val="center"/>
            </w:pPr>
            <w:r>
              <w:t xml:space="preserve">608</w:t>
            </w:r>
          </w:p>
        </w:tc>
        <w:tc>
          <w:tcPr/>
          <w:p>
            <w:pPr>
              <w:pStyle w:val="Compact"/>
              <w:jc w:val="center"/>
            </w:pPr>
            <w:r>
              <w:t xml:space="preserve">38.6</w:t>
            </w:r>
          </w:p>
        </w:tc>
        <w:tc>
          <w:tcPr/>
          <w:p>
            <w:pPr>
              <w:pStyle w:val="Compact"/>
              <w:jc w:val="center"/>
            </w:pPr>
            <w:r>
              <w:t xml:space="preserve">12.4</w:t>
            </w:r>
          </w:p>
        </w:tc>
        <w:tc>
          <w:tcPr/>
          <w:p>
            <w:pPr>
              <w:pStyle w:val="Compact"/>
              <w:jc w:val="center"/>
            </w:pPr>
            <w:r>
              <w:t xml:space="preserve">16.8</w:t>
            </w:r>
          </w:p>
        </w:tc>
        <w:tc>
          <w:tcPr/>
          <w:p>
            <w:pPr>
              <w:pStyle w:val="Compact"/>
              <w:jc w:val="center"/>
            </w:pPr>
            <w:r>
              <w:t xml:space="preserve">72.3</w:t>
            </w:r>
          </w:p>
        </w:tc>
      </w:tr>
      <w:tr>
        <w:tc>
          <w:tcPr/>
          <w:p>
            <w:pPr>
              <w:pStyle w:val="Compact"/>
              <w:jc w:val="left"/>
            </w:pPr>
            <m:oMath>
              <m:r>
                <m:rPr>
                  <m:nor/>
                  <m:sty m:val="i"/>
                </m:rPr>
                <m:t>Density</m:t>
              </m:r>
            </m:oMath>
            <w:r>
              <w:rPr>
                <w:rFonts w:hint="eastAsia"/>
              </w:rPr>
              <w:t xml:space="preserve">（娱乐核心类，小时）</w:t>
            </w:r>
          </w:p>
        </w:tc>
        <w:tc>
          <w:tcPr/>
          <w:p>
            <w:pPr>
              <w:pStyle w:val="Compact"/>
              <w:jc w:val="center"/>
            </w:pPr>
            <w:r>
              <w:t xml:space="preserve">608</w:t>
            </w:r>
          </w:p>
        </w:tc>
        <w:tc>
          <w:tcPr/>
          <w:p>
            <w:pPr>
              <w:pStyle w:val="Compact"/>
              <w:jc w:val="center"/>
            </w:pPr>
            <w:r>
              <w:t xml:space="preserve">7.23</w:t>
            </w:r>
          </w:p>
        </w:tc>
        <w:tc>
          <w:tcPr/>
          <w:p>
            <w:pPr>
              <w:pStyle w:val="Compact"/>
              <w:jc w:val="center"/>
            </w:pPr>
            <w:r>
              <w:t xml:space="preserve">1.89</w:t>
            </w:r>
          </w:p>
        </w:tc>
        <w:tc>
          <w:tcPr/>
          <w:p>
            <w:pPr>
              <w:pStyle w:val="Compact"/>
              <w:jc w:val="center"/>
            </w:pPr>
            <w:r>
              <w:t xml:space="preserve">3.78</w:t>
            </w:r>
          </w:p>
        </w:tc>
        <w:tc>
          <w:tcPr/>
          <w:p>
            <w:pPr>
              <w:pStyle w:val="Compact"/>
              <w:jc w:val="center"/>
            </w:pPr>
            <w:r>
              <w:t xml:space="preserve">13.45</w:t>
            </w:r>
          </w:p>
        </w:tc>
      </w:tr>
    </w:tbl>
    <w:bookmarkEnd w:id="42"/>
    <w:p>
      <w:pPr>
        <w:pStyle w:val="BodyText"/>
      </w:pPr>
      <w:r>
        <w:rPr>
          <w:rFonts w:hint="eastAsia"/>
        </w:rPr>
        <w:t xml:space="preserve">注：观测数608对应日度数据，253,227对应话题级观测值，87对应周度数据；信息差指数为二元变量，均值代表信息诱导比例。</w:t>
      </w:r>
    </w:p>
    <w:bookmarkEnd w:id="43"/>
    <w:bookmarkStart w:id="45" w:name="内容质量分化效应检验h1"/>
    <w:p>
      <w:pPr>
        <w:pStyle w:val="Heading2"/>
      </w:pPr>
      <w:r>
        <w:rPr>
          <w:rFonts w:hint="eastAsia"/>
        </w:rPr>
        <w:t xml:space="preserve">内容质量分化效应检验（H1）</w:t>
      </w:r>
    </w:p>
    <w:p>
      <w:pPr>
        <w:pStyle w:val="FirstParagraph"/>
      </w:pPr>
      <w:r>
        <w:rPr>
          <w:rFonts w:hint="eastAsia"/>
        </w:rPr>
        <w:t xml:space="preserve">假设H1预测分级分类治理将导致社会类内容质量提升而娱乐类保持稳定。本文首先采用ITS方法检验社会类信息差指数的整体变化（H1a），继而检验娱乐类质量指标的稳定性（H1c）。</w:t>
      </w:r>
    </w:p>
    <w:p>
      <w:pPr>
        <w:pStyle w:val="BodyText"/>
      </w:pPr>
      <w:r>
        <w:rPr>
          <w:rFonts w:hint="eastAsia"/>
        </w:rPr>
        <w:t xml:space="preserve">表</w:t>
      </w:r>
      <w:hyperlink w:anchor="tab:h1">
        <w:r>
          <w:rPr>
            <w:rStyle w:val="Hyperlink"/>
          </w:rPr>
          <w:t xml:space="preserve">4</w:t>
        </w:r>
      </w:hyperlink>
      <w:r>
        <w:t xml:space="preserve"> </w:t>
      </w:r>
      <w:r>
        <w:t xml:space="preserve">Panel </w:t>
      </w:r>
      <w:r>
        <w:rPr>
          <w:rFonts w:hint="eastAsia"/>
        </w:rPr>
        <w:t xml:space="preserve">A报告了社会类信息差指数的ITS回归结果。列（1）显示，信息差指数在政策后即时下降0.0847（</w:t>
      </w:r>
      <m:oMath>
        <m:r>
          <m:t>p</m:t>
        </m:r>
        <m:r>
          <m:rPr>
            <m:sty m:val="p"/>
          </m:rPr>
          <m:t>&lt;</m:t>
        </m:r>
        <m:r>
          <m:t>0.001</m:t>
        </m:r>
      </m:oMath>
      <w:r>
        <w:rPr>
          <w:rFonts w:hint="eastAsia"/>
        </w:rPr>
        <w:t xml:space="preserve">），降幅达20.0%；趋势项系数为-0.0008（</w:t>
      </w:r>
      <m:oMath>
        <m:r>
          <m:t>p</m:t>
        </m:r>
        <m:r>
          <m:rPr>
            <m:sty m:val="p"/>
          </m:rPr>
          <m:t>=</m:t>
        </m:r>
        <m:r>
          <m:t>0.015</m:t>
        </m:r>
      </m:oMath>
      <w:r>
        <w:rPr>
          <w:rFonts w:hint="eastAsia"/>
        </w:rPr>
        <w:t xml:space="preserve">），信息诱导现象呈持续改善态势。列（2）显示，机构媒体占比即时上升0.0672（</w:t>
      </w:r>
      <m:oMath>
        <m:r>
          <m:t>p</m:t>
        </m:r>
        <m:r>
          <m:rPr>
            <m:sty m:val="p"/>
          </m:rPr>
          <m:t>&lt;</m:t>
        </m:r>
        <m:r>
          <m:t>0.001</m:t>
        </m:r>
      </m:oMath>
      <w:r>
        <w:rPr>
          <w:rFonts w:hint="eastAsia"/>
        </w:rPr>
        <w:t xml:space="preserve">），增幅为25.2%。Panel</w:t>
      </w:r>
      <w:r>
        <w:t xml:space="preserve"> </w:t>
      </w:r>
      <w:r>
        <w:rPr>
          <w:rFonts w:hint="eastAsia"/>
        </w:rPr>
        <w:t xml:space="preserve">B显示，娱乐类信息差指数的即时效应为-0.0123（</w:t>
      </w:r>
      <m:oMath>
        <m:r>
          <m:t>p</m:t>
        </m:r>
        <m:r>
          <m:rPr>
            <m:sty m:val="p"/>
          </m:rPr>
          <m:t>=</m:t>
        </m:r>
        <m:r>
          <m:t>0.187</m:t>
        </m:r>
      </m:oMath>
      <w:r>
        <w:rPr>
          <w:rFonts w:hint="eastAsia"/>
        </w:rPr>
        <w:t xml:space="preserve">），趋势效应为-0.0002（</w:t>
      </w:r>
      <m:oMath>
        <m:r>
          <m:t>p</m:t>
        </m:r>
        <m:r>
          <m:rPr>
            <m:sty m:val="p"/>
          </m:rPr>
          <m:t>=</m:t>
        </m:r>
        <m:r>
          <m:t>0.624</m:t>
        </m:r>
      </m:oMath>
      <w:r>
        <w:rPr>
          <w:rFonts w:hint="eastAsia"/>
        </w:rPr>
        <w:t xml:space="preserve">），均不显著，表明娱乐类内容质量在监管前后未发生实质性变化，支持H1c。</w:t>
      </w:r>
    </w:p>
    <w:bookmarkStart w:id="44" w:name="tab:h1"/>
    <w:p>
      <w:pPr>
        <w:pStyle w:val="TableCaption"/>
      </w:pPr>
      <w:r>
        <w:rPr>
          <w:rFonts w:hint="eastAsia"/>
        </w:rPr>
        <w:t xml:space="preserve">内容质量分化效应（ITS回归）</w:t>
      </w:r>
    </w:p>
    <w:tbl>
      <w:tblPr>
        <w:tblStyle w:val="Table"/>
        <w:tblW w:type="auto" w:w="0"/>
        <w:tblLook w:firstRow="1" w:lastRow="0" w:firstColumn="0" w:lastColumn="0" w:noHBand="0" w:noVBand="0" w:val="0020"/>
        <w:tblCaption w:val="内容质量分化效应（ITS回归）"/>
      </w:tblPr>
      <w:tblGrid>
        <w:gridCol w:w="2640"/>
        <w:gridCol w:w="2640"/>
        <w:gridCol w:w="2640"/>
      </w:tblGrid>
      <w:tr>
        <w:trPr>
          <w:tblHeader w:val="on"/>
        </w:trPr>
        <w:tc>
          <w:tcPr>
            <w:gridSpan w:val="3"/>
          </w:tcPr>
          <w:p>
            <w:pPr>
              <w:pStyle w:val="Compact"/>
              <w:jc w:val="left"/>
            </w:pPr>
            <w:r>
              <w:rPr>
                <w:i/>
                <w:iCs/>
              </w:rPr>
              <w:t xml:space="preserve">Panel </w:t>
            </w:r>
            <w:r>
              <w:rPr>
                <w:rFonts w:hint="eastAsia"/>
                <w:i/>
                <w:iCs/>
              </w:rPr>
              <w:t xml:space="preserve">A：社会类质量提升（H1a）</w:t>
            </w:r>
          </w:p>
        </w:tc>
      </w:tr>
      <w:tr>
        <w:tc>
          <w:tcPr/>
          <w:p>
            <w:pPr>
              <w:pStyle w:val="Compact"/>
              <w:jc w:val="left"/>
            </w:pPr>
            <w:r>
              <w:rPr>
                <w:rFonts w:hint="eastAsia"/>
              </w:rPr>
              <w:t xml:space="preserve">因变量</w:t>
            </w:r>
          </w:p>
        </w:tc>
        <w:tc>
          <w:tcPr/>
          <w:p>
            <w:pPr>
              <w:pStyle w:val="Compact"/>
              <w:jc w:val="center"/>
            </w:pPr>
            <w:r>
              <w:t xml:space="preserve">(1)</w:t>
            </w:r>
            <w:r>
              <w:t xml:space="preserve"> </w:t>
            </w:r>
            <m:oMath>
              <m:r>
                <m:rPr>
                  <m:nor/>
                  <m:sty m:val="i"/>
                </m:rPr>
                <m:t>InfoGap</m:t>
              </m:r>
            </m:oMath>
          </w:p>
        </w:tc>
        <w:tc>
          <w:tcPr/>
          <w:p>
            <w:pPr>
              <w:pStyle w:val="Compact"/>
              <w:jc w:val="center"/>
            </w:pPr>
            <w:r>
              <w:t xml:space="preserve">(2)</w:t>
            </w:r>
            <w:r>
              <w:t xml:space="preserve"> </w:t>
            </w:r>
            <m:oMath>
              <m:r>
                <m:rPr>
                  <m:nor/>
                  <m:sty m:val="i"/>
                </m:rPr>
                <m:t>Institutional</m:t>
              </m:r>
            </m:oMath>
            <w:r>
              <w:rPr>
                <w:rFonts w:hint="eastAsia"/>
              </w:rPr>
              <w:t xml:space="preserve">占比</w:t>
            </w:r>
          </w:p>
        </w:tc>
      </w:tr>
      <w:tr>
        <w:tc>
          <w:tcPr/>
          <w:p>
            <w:pPr>
              <w:pStyle w:val="Compact"/>
              <w:jc w:val="left"/>
            </w:pPr>
            <m:oMath>
              <m:r>
                <m:rPr>
                  <m:nor/>
                  <m:sty m:val="i"/>
                </m:rPr>
                <m:t>Post</m:t>
              </m:r>
            </m:oMath>
            <w:r>
              <w:rPr>
                <w:rFonts w:hint="eastAsia"/>
              </w:rPr>
              <w:t xml:space="preserve">（即时效应）</w:t>
            </w:r>
          </w:p>
        </w:tc>
        <w:tc>
          <w:tcPr/>
          <w:p>
            <w:pPr>
              <w:pStyle w:val="Compact"/>
              <w:jc w:val="center"/>
            </w:pPr>
            <m:oMath>
              <m:r>
                <m:rPr>
                  <m:sty m:val="p"/>
                </m:rPr>
                <m:t>−</m:t>
              </m:r>
            </m:oMath>
            <w:r>
              <w:t xml:space="preserve">0.0847</w:t>
            </w:r>
            <m:oMath>
              <m:sSup>
                <m:e>
                  <m:r>
                    <m:t>​</m:t>
                  </m:r>
                </m:e>
                <m:sup>
                  <m:r>
                    <m:rPr>
                      <m:sty m:val="p"/>
                    </m:rPr>
                    <m:t>*</m:t>
                  </m:r>
                  <m:r>
                    <m:rPr>
                      <m:sty m:val="p"/>
                    </m:rPr>
                    <m:t>*</m:t>
                  </m:r>
                  <m:r>
                    <m:rPr>
                      <m:sty m:val="p"/>
                    </m:rPr>
                    <m:t>*</m:t>
                  </m:r>
                </m:sup>
              </m:sSup>
            </m:oMath>
          </w:p>
        </w:tc>
        <w:tc>
          <w:tcPr/>
          <w:p>
            <w:pPr>
              <w:pStyle w:val="Compact"/>
              <w:jc w:val="center"/>
            </w:pPr>
            <w:r>
              <w:t xml:space="preserve">0.0672</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(0.0156)</w:t>
            </w:r>
          </w:p>
        </w:tc>
        <w:tc>
          <w:tcPr/>
          <w:p>
            <w:pPr>
              <w:pStyle w:val="Compact"/>
              <w:jc w:val="center"/>
            </w:pPr>
            <w:r>
              <w:t xml:space="preserve">(0.0089)</w:t>
            </w:r>
          </w:p>
        </w:tc>
      </w:tr>
      <w:tr>
        <w:tc>
          <w:tcPr/>
          <w:p>
            <w:pPr>
              <w:pStyle w:val="Compact"/>
              <w:jc w:val="left"/>
            </w:pPr>
            <m:oMath>
              <m:r>
                <m:rPr>
                  <m:nor/>
                  <m:sty m:val="i"/>
                </m:rPr>
                <m:t>Trend</m:t>
              </m:r>
            </m:oMath>
            <w:r>
              <w:rPr>
                <w:rFonts w:hint="eastAsia"/>
              </w:rPr>
              <w:t xml:space="preserve">（趋势）</w:t>
            </w:r>
          </w:p>
        </w:tc>
        <w:tc>
          <w:tcPr/>
          <w:p>
            <w:pPr>
              <w:pStyle w:val="Compact"/>
              <w:jc w:val="center"/>
            </w:pPr>
            <w:r>
              <w:t xml:space="preserve">0.0003</w:t>
            </w:r>
          </w:p>
        </w:tc>
        <w:tc>
          <w:tcPr/>
          <w:p>
            <w:pPr>
              <w:pStyle w:val="Compact"/>
              <w:jc w:val="center"/>
            </w:pPr>
            <m:oMath>
              <m:r>
                <m:rPr>
                  <m:sty m:val="p"/>
                </m:rPr>
                <m:t>−</m:t>
              </m:r>
            </m:oMath>
            <w:r>
              <w:t xml:space="preserve">0.0004</w:t>
            </w:r>
          </w:p>
        </w:tc>
      </w:tr>
      <w:tr>
        <w:tc>
          <w:tcPr/>
          <w:p>
            <w:pPr>
              <w:pStyle w:val="Compact"/>
            </w:pPr>
          </w:p>
        </w:tc>
        <w:tc>
          <w:tcPr/>
          <w:p>
            <w:pPr>
              <w:pStyle w:val="Compact"/>
              <w:jc w:val="center"/>
            </w:pPr>
            <w:r>
              <w:t xml:space="preserve">(0.0003)</w:t>
            </w:r>
          </w:p>
        </w:tc>
        <w:tc>
          <w:tcPr/>
          <w:p>
            <w:pPr>
              <w:pStyle w:val="Compact"/>
              <w:jc w:val="center"/>
            </w:pPr>
            <w:r>
              <w:t xml:space="preserve">(0.0002)</w:t>
            </w:r>
          </w:p>
        </w:tc>
      </w:tr>
      <w:tr>
        <w:tc>
          <w:tcPr/>
          <w:p>
            <w:pPr>
              <w:pStyle w:val="Compact"/>
              <w:jc w:val="left"/>
            </w:pPr>
            <m:oMath>
              <m:r>
                <m:rPr>
                  <m:nor/>
                  <m:sty m:val="i"/>
                </m:rPr>
                <m:t>Post</m:t>
              </m:r>
              <m:r>
                <m:rPr>
                  <m:sty m:val="p"/>
                </m:rPr>
                <m:t>×</m:t>
              </m:r>
              <m:r>
                <m:rPr>
                  <m:nor/>
                  <m:sty m:val="i"/>
                </m:rPr>
                <m:t>Trend</m:t>
              </m:r>
            </m:oMath>
            <w:r>
              <w:rPr>
                <w:rFonts w:hint="eastAsia"/>
              </w:rPr>
              <w:t xml:space="preserve">（趋势效应）</w:t>
            </w:r>
          </w:p>
        </w:tc>
        <w:tc>
          <w:tcPr/>
          <w:p>
            <w:pPr>
              <w:pStyle w:val="Compact"/>
              <w:jc w:val="center"/>
            </w:pPr>
            <m:oMath>
              <m:r>
                <m:rPr>
                  <m:sty m:val="p"/>
                </m:rPr>
                <m:t>−</m:t>
              </m:r>
            </m:oMath>
            <w:r>
              <w:t xml:space="preserve">0.0008</w:t>
            </w:r>
            <m:oMath>
              <m:sSup>
                <m:e>
                  <m:r>
                    <m:t>​</m:t>
                  </m:r>
                </m:e>
                <m:sup>
                  <m:r>
                    <m:rPr>
                      <m:sty m:val="p"/>
                    </m:rPr>
                    <m:t>*</m:t>
                  </m:r>
                </m:sup>
              </m:sSup>
            </m:oMath>
          </w:p>
        </w:tc>
        <w:tc>
          <w:tcPr/>
          <w:p>
            <w:pPr>
              <w:pStyle w:val="Compact"/>
              <w:jc w:val="center"/>
            </w:pPr>
            <w:r>
              <w:t xml:space="preserve">0.0006</w:t>
            </w:r>
            <m:oMath>
              <m:sSup>
                <m:e>
                  <m:r>
                    <m:t>​</m:t>
                  </m:r>
                </m:e>
                <m:sup>
                  <m:r>
                    <m:rPr>
                      <m:sty m:val="p"/>
                    </m:rPr>
                    <m:t>*</m:t>
                  </m:r>
                  <m:r>
                    <m:rPr>
                      <m:sty m:val="p"/>
                    </m:rPr>
                    <m:t>*</m:t>
                  </m:r>
                </m:sup>
              </m:sSup>
            </m:oMath>
          </w:p>
        </w:tc>
      </w:tr>
      <w:tr>
        <w:tc>
          <w:tcPr/>
          <w:p>
            <w:pPr>
              <w:pStyle w:val="Compact"/>
            </w:pPr>
          </w:p>
        </w:tc>
        <w:tc>
          <w:tcPr/>
          <w:p>
            <w:pPr>
              <w:pStyle w:val="Compact"/>
              <w:jc w:val="center"/>
            </w:pPr>
            <w:r>
              <w:t xml:space="preserve">(0.0003)</w:t>
            </w:r>
          </w:p>
        </w:tc>
        <w:tc>
          <w:tcPr/>
          <w:p>
            <w:pPr>
              <w:pStyle w:val="Compact"/>
              <w:jc w:val="center"/>
            </w:pPr>
            <w:r>
              <w:t xml:space="preserve">(0.0002)</w:t>
            </w:r>
          </w:p>
        </w:tc>
      </w:tr>
      <w:tr>
        <w:tc>
          <w:tcPr/>
          <w:p>
            <w:pPr>
              <w:pStyle w:val="Compact"/>
              <w:jc w:val="left"/>
            </w:pPr>
            <w:r>
              <w:rPr>
                <w:rFonts w:hint="eastAsia"/>
              </w:rPr>
              <w:t xml:space="preserve">常数项</w:t>
            </w:r>
          </w:p>
        </w:tc>
        <w:tc>
          <w:tcPr/>
          <w:p>
            <w:pPr>
              <w:pStyle w:val="Compact"/>
              <w:jc w:val="center"/>
            </w:pPr>
            <w:r>
              <w:t xml:space="preserve">0.423</w:t>
            </w:r>
            <m:oMath>
              <m:sSup>
                <m:e>
                  <m:r>
                    <m:t>​</m:t>
                  </m:r>
                </m:e>
                <m:sup>
                  <m:r>
                    <m:rPr>
                      <m:sty m:val="p"/>
                    </m:rPr>
                    <m:t>*</m:t>
                  </m:r>
                  <m:r>
                    <m:rPr>
                      <m:sty m:val="p"/>
                    </m:rPr>
                    <m:t>*</m:t>
                  </m:r>
                  <m:r>
                    <m:rPr>
                      <m:sty m:val="p"/>
                    </m:rPr>
                    <m:t>*</m:t>
                  </m:r>
                </m:sup>
              </m:sSup>
            </m:oMath>
          </w:p>
        </w:tc>
        <w:tc>
          <w:tcPr/>
          <w:p>
            <w:pPr>
              <w:pStyle w:val="Compact"/>
              <w:jc w:val="center"/>
            </w:pPr>
            <w:r>
              <w:t xml:space="preserve">0.267</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(0.0104)</w:t>
            </w:r>
          </w:p>
        </w:tc>
        <w:tc>
          <w:tcPr/>
          <w:p>
            <w:pPr>
              <w:pStyle w:val="Compact"/>
              <w:jc w:val="center"/>
            </w:pPr>
            <w:r>
              <w:t xml:space="preserve">(0.0059)</w:t>
            </w:r>
          </w:p>
        </w:tc>
      </w:tr>
      <w:tr>
        <w:tc>
          <w:tcPr/>
          <w:p>
            <w:pPr>
              <w:pStyle w:val="Compact"/>
              <w:jc w:val="left"/>
            </w:pPr>
            <m:oMath>
              <m:r>
                <m:t>N</m:t>
              </m:r>
            </m:oMath>
          </w:p>
        </w:tc>
        <w:tc>
          <w:tcPr/>
          <w:p>
            <w:pPr>
              <w:pStyle w:val="Compact"/>
              <w:jc w:val="center"/>
            </w:pPr>
            <w:r>
              <w:t xml:space="preserve">608</w:t>
            </w:r>
          </w:p>
        </w:tc>
        <w:tc>
          <w:tcPr/>
          <w:p>
            <w:pPr>
              <w:pStyle w:val="Compact"/>
              <w:jc w:val="center"/>
            </w:pPr>
            <w:r>
              <w:t xml:space="preserve">608</w:t>
            </w:r>
          </w:p>
        </w:tc>
      </w:tr>
      <w:tr>
        <w:tc>
          <w:tcPr/>
          <w:p>
            <w:pPr>
              <w:pStyle w:val="Compact"/>
              <w:jc w:val="left"/>
            </w:pPr>
            <m:oMath>
              <m:sSup>
                <m:e>
                  <m:r>
                    <m:t>R</m:t>
                  </m:r>
                </m:e>
                <m:sup>
                  <m:r>
                    <m:t>2</m:t>
                  </m:r>
                </m:sup>
              </m:sSup>
            </m:oMath>
          </w:p>
        </w:tc>
        <w:tc>
          <w:tcPr/>
          <w:p>
            <w:pPr>
              <w:pStyle w:val="Compact"/>
              <w:jc w:val="center"/>
            </w:pPr>
            <w:r>
              <w:t xml:space="preserve">0.524</w:t>
            </w:r>
          </w:p>
        </w:tc>
        <w:tc>
          <w:tcPr/>
          <w:p>
            <w:pPr>
              <w:pStyle w:val="Compact"/>
              <w:jc w:val="center"/>
            </w:pPr>
            <w:r>
              <w:t xml:space="preserve">0.618</w:t>
            </w:r>
          </w:p>
        </w:tc>
      </w:tr>
      <w:tr>
        <w:tc>
          <w:tcPr>
            <w:gridSpan w:val="3"/>
          </w:tcPr>
          <w:p>
            <w:pPr>
              <w:pStyle w:val="Compact"/>
              <w:jc w:val="left"/>
            </w:pPr>
            <w:r>
              <w:rPr>
                <w:i/>
                <w:iCs/>
              </w:rPr>
              <w:t xml:space="preserve">Panel </w:t>
            </w:r>
            <w:r>
              <w:rPr>
                <w:rFonts w:hint="eastAsia"/>
                <w:i/>
                <w:iCs/>
              </w:rPr>
              <w:t xml:space="preserve">B：娱乐类质量稳定（H1c）</w:t>
            </w:r>
          </w:p>
        </w:tc>
      </w:tr>
      <w:tr>
        <w:tc>
          <w:tcPr/>
          <w:p>
            <w:pPr>
              <w:pStyle w:val="Compact"/>
              <w:jc w:val="left"/>
            </w:pPr>
            <w:r>
              <w:rPr>
                <w:rFonts w:hint="eastAsia"/>
              </w:rPr>
              <w:t xml:space="preserve">因变量</w:t>
            </w:r>
          </w:p>
        </w:tc>
        <w:tc>
          <w:tcPr>
            <w:gridSpan w:val="2"/>
          </w:tcPr>
          <w:p>
            <w:pPr>
              <w:pStyle w:val="Compact"/>
              <w:jc w:val="center"/>
            </w:pPr>
            <w:r>
              <w:t xml:space="preserve">(3)</w:t>
            </w:r>
            <w:r>
              <w:t xml:space="preserve"> </w:t>
            </w:r>
            <m:oMath>
              <m:r>
                <m:rPr>
                  <m:nor/>
                  <m:sty m:val="i"/>
                </m:rPr>
                <m:t>InfoGap</m:t>
              </m:r>
            </m:oMath>
          </w:p>
        </w:tc>
      </w:tr>
      <w:tr>
        <w:tc>
          <w:tcPr/>
          <w:p>
            <w:pPr>
              <w:pStyle w:val="Compact"/>
              <w:jc w:val="left"/>
            </w:pPr>
            <m:oMath>
              <m:r>
                <m:rPr>
                  <m:nor/>
                  <m:sty m:val="i"/>
                </m:rPr>
                <m:t>Post</m:t>
              </m:r>
            </m:oMath>
            <w:r>
              <w:rPr>
                <w:rFonts w:hint="eastAsia"/>
              </w:rPr>
              <w:t xml:space="preserve">（即时效应）</w:t>
            </w:r>
          </w:p>
        </w:tc>
        <w:tc>
          <w:tcPr>
            <w:gridSpan w:val="2"/>
          </w:tcPr>
          <w:p>
            <w:pPr>
              <w:pStyle w:val="Compact"/>
              <w:jc w:val="center"/>
            </w:pPr>
            <m:oMath>
              <m:r>
                <m:rPr>
                  <m:sty m:val="p"/>
                </m:rPr>
                <m:t>−</m:t>
              </m:r>
            </m:oMath>
            <w:r>
              <w:t xml:space="preserve">0.0123</w:t>
            </w:r>
          </w:p>
        </w:tc>
      </w:tr>
      <w:tr>
        <w:tc>
          <w:tcPr/>
          <w:p>
            <w:pPr>
              <w:pStyle w:val="Compact"/>
            </w:pPr>
          </w:p>
        </w:tc>
        <w:tc>
          <w:tcPr>
            <w:gridSpan w:val="2"/>
          </w:tcPr>
          <w:p>
            <w:pPr>
              <w:pStyle w:val="Compact"/>
              <w:jc w:val="center"/>
            </w:pPr>
            <w:r>
              <w:t xml:space="preserve">(0.0093)</w:t>
            </w:r>
          </w:p>
        </w:tc>
      </w:tr>
      <w:tr>
        <w:tc>
          <w:tcPr/>
          <w:p>
            <w:pPr>
              <w:pStyle w:val="Compact"/>
              <w:jc w:val="left"/>
            </w:pPr>
            <m:oMath>
              <m:r>
                <m:rPr>
                  <m:nor/>
                  <m:sty m:val="i"/>
                </m:rPr>
                <m:t>Post</m:t>
              </m:r>
              <m:r>
                <m:rPr>
                  <m:sty m:val="p"/>
                </m:rPr>
                <m:t>×</m:t>
              </m:r>
              <m:r>
                <m:rPr>
                  <m:nor/>
                  <m:sty m:val="i"/>
                </m:rPr>
                <m:t>Trend</m:t>
              </m:r>
            </m:oMath>
            <w:r>
              <w:rPr>
                <w:rFonts w:hint="eastAsia"/>
              </w:rPr>
              <w:t xml:space="preserve">（趋势效应）</w:t>
            </w:r>
          </w:p>
        </w:tc>
        <w:tc>
          <w:tcPr>
            <w:gridSpan w:val="2"/>
          </w:tcPr>
          <w:p>
            <w:pPr>
              <w:pStyle w:val="Compact"/>
              <w:jc w:val="center"/>
            </w:pPr>
            <m:oMath>
              <m:r>
                <m:rPr>
                  <m:sty m:val="p"/>
                </m:rPr>
                <m:t>−</m:t>
              </m:r>
            </m:oMath>
            <w:r>
              <w:t xml:space="preserve">0.0002</w:t>
            </w:r>
          </w:p>
        </w:tc>
      </w:tr>
      <w:tr>
        <w:tc>
          <w:tcPr/>
          <w:p>
            <w:pPr>
              <w:pStyle w:val="Compact"/>
            </w:pPr>
          </w:p>
        </w:tc>
        <w:tc>
          <w:tcPr>
            <w:gridSpan w:val="2"/>
          </w:tcPr>
          <w:p>
            <w:pPr>
              <w:pStyle w:val="Compact"/>
              <w:jc w:val="center"/>
            </w:pPr>
            <w:r>
              <w:t xml:space="preserve">(0.0004)</w:t>
            </w:r>
          </w:p>
        </w:tc>
      </w:tr>
      <w:tr>
        <w:tc>
          <w:tcPr/>
          <w:p>
            <w:pPr>
              <w:pStyle w:val="Compact"/>
              <w:jc w:val="left"/>
            </w:pPr>
            <m:oMath>
              <m:r>
                <m:t>N</m:t>
              </m:r>
            </m:oMath>
          </w:p>
        </w:tc>
        <w:tc>
          <w:tcPr>
            <w:gridSpan w:val="2"/>
          </w:tcPr>
          <w:p>
            <w:pPr>
              <w:pStyle w:val="Compact"/>
              <w:jc w:val="center"/>
            </w:pPr>
            <w:r>
              <w:t xml:space="preserve">608</w:t>
            </w:r>
          </w:p>
        </w:tc>
      </w:tr>
      <w:tr>
        <w:tc>
          <w:tcPr/>
          <w:p>
            <w:pPr>
              <w:pStyle w:val="Compact"/>
              <w:jc w:val="left"/>
            </w:pPr>
            <m:oMath>
              <m:sSup>
                <m:e>
                  <m:r>
                    <m:t>R</m:t>
                  </m:r>
                </m:e>
                <m:sup>
                  <m:r>
                    <m:t>2</m:t>
                  </m:r>
                </m:sup>
              </m:sSup>
            </m:oMath>
          </w:p>
        </w:tc>
        <w:tc>
          <w:tcPr>
            <w:gridSpan w:val="2"/>
          </w:tcPr>
          <w:p>
            <w:pPr>
              <w:pStyle w:val="Compact"/>
              <w:jc w:val="center"/>
            </w:pPr>
            <w:r>
              <w:t xml:space="preserve">0.312</w:t>
            </w:r>
          </w:p>
        </w:tc>
      </w:tr>
    </w:tbl>
    <w:bookmarkEnd w:id="44"/>
    <w:p>
      <w:pPr>
        <w:pStyle w:val="BodyText"/>
      </w:pPr>
      <w:r>
        <w:rPr>
          <w:rFonts w:hint="eastAsia"/>
        </w:rPr>
        <w:t xml:space="preserve">注：</w:t>
      </w:r>
      <m:oMath>
        <m:sSup>
          <m:e>
            <m:r>
              <m:t>​</m:t>
            </m:r>
          </m:e>
          <m:sup>
            <m:r>
              <m:rPr>
                <m:sty m:val="p"/>
              </m:rPr>
              <m:t>*</m:t>
            </m:r>
            <m:r>
              <m:rPr>
                <m:sty m:val="p"/>
              </m:rPr>
              <m:t>*</m:t>
            </m:r>
            <m:r>
              <m:rPr>
                <m:sty m:val="p"/>
              </m:rPr>
              <m:t>*</m:t>
            </m:r>
          </m:sup>
        </m:sSup>
        <m:r>
          <m:t>p</m:t>
        </m:r>
        <m:r>
          <m:rPr>
            <m:sty m:val="p"/>
          </m:rPr>
          <m:t>&lt;</m:t>
        </m:r>
        <m:r>
          <m:t>0.001</m:t>
        </m:r>
      </m:oMath>
      <w:r>
        <w:rPr>
          <w:rFonts w:hint="eastAsia"/>
        </w:rPr>
        <w:t xml:space="preserve">，</w:t>
      </w:r>
      <m:oMath>
        <m:sSup>
          <m:e>
            <m:r>
              <m:t>​</m:t>
            </m:r>
          </m:e>
          <m:sup>
            <m:r>
              <m:rPr>
                <m:sty m:val="p"/>
              </m:rPr>
              <m:t>*</m:t>
            </m:r>
            <m:r>
              <m:rPr>
                <m:sty m:val="p"/>
              </m:rPr>
              <m:t>*</m:t>
            </m:r>
          </m:sup>
        </m:sSup>
        <m:r>
          <m:t>p</m:t>
        </m:r>
        <m:r>
          <m:rPr>
            <m:sty m:val="p"/>
          </m:rPr>
          <m:t>&lt;</m:t>
        </m:r>
        <m:r>
          <m:t>0.01</m:t>
        </m:r>
      </m:oMath>
      <w:r>
        <w:rPr>
          <w:rFonts w:hint="eastAsia"/>
        </w:rPr>
        <w:t xml:space="preserve">，</w:t>
      </w:r>
      <m:oMath>
        <m:sSup>
          <m:e>
            <m:r>
              <m:t>​</m:t>
            </m:r>
          </m:e>
          <m:sup>
            <m:r>
              <m:rPr>
                <m:sty m:val="p"/>
              </m:rPr>
              <m:t>*</m:t>
            </m:r>
          </m:sup>
        </m:sSup>
        <m:r>
          <m:t>p</m:t>
        </m:r>
        <m:r>
          <m:rPr>
            <m:sty m:val="p"/>
          </m:rPr>
          <m:t>&lt;</m:t>
        </m:r>
        <m:r>
          <m:t>0.05</m:t>
        </m:r>
      </m:oMath>
      <w:r>
        <w:rPr>
          <w:rFonts w:hint="eastAsia"/>
        </w:rPr>
        <w:t xml:space="preserve">；括号内为Newey-West标准误。</w:t>
      </w:r>
    </w:p>
    <w:p>
      <w:pPr>
        <w:pStyle w:val="BodyText"/>
      </w:pPr>
      <w:r>
        <w:rPr>
          <w:rFonts w:hint="eastAsia"/>
        </w:rPr>
        <w:t xml:space="preserve">质量分化效应的形成可从资源依赖视角加以理解。第一，差异化合规成本：社会类内容因其公共属性与舆情风险被纳入更严格的治理序列，平台为规避监管红线而大幅强化审核力度，合规成本显著上升。第二，资源依赖与挤出效应：高风险领域成为平台须优先满足的核心依赖，治理资源向社会类倾斜，对娱乐类形成挤出。第三，信号显示与合法性获取：平台借助社会类质量提升向监管者传递合规信号，而娱乐类因监管压力较小而维持既有质量水平。</w:t>
      </w:r>
    </w:p>
    <w:bookmarkEnd w:id="45"/>
    <w:bookmarkStart w:id="47" w:name="注意力去中心化效应检验h2"/>
    <w:p>
      <w:pPr>
        <w:pStyle w:val="Heading2"/>
      </w:pPr>
      <w:r>
        <w:rPr>
          <w:rFonts w:hint="eastAsia"/>
        </w:rPr>
        <w:t xml:space="preserve">注意力去中心化效应检验（H2）</w:t>
      </w:r>
    </w:p>
    <w:p>
      <w:pPr>
        <w:pStyle w:val="FirstParagraph"/>
      </w:pPr>
      <w:r>
        <w:rPr>
          <w:rFonts w:hint="eastAsia"/>
        </w:rPr>
        <w:t xml:space="preserve">假设H2预测算法治理将削弱头部话题的注意力垄断，提升热搜榜的多样性水平。本文以2024年11月12日为政策断点，采用ITS方法对Shannon熵、HHI、单条话题重复上榜次数及连续在榜时长四项指标进行检验，结果见表</w:t>
      </w:r>
      <w:hyperlink w:anchor="tab:h2">
        <w:r>
          <w:rPr>
            <w:rStyle w:val="Hyperlink"/>
          </w:rPr>
          <w:t xml:space="preserve">5</w:t>
        </w:r>
      </w:hyperlink>
      <w:r>
        <w:t xml:space="preserve">。</w:t>
      </w:r>
    </w:p>
    <w:p>
      <w:pPr>
        <w:pStyle w:val="BodyText"/>
      </w:pPr>
      <w:r>
        <w:rPr>
          <w:rFonts w:hint="eastAsia"/>
        </w:rPr>
        <w:t xml:space="preserve">列（1）显示，Shannon熵在政策实施后即时上升0.146（</w:t>
      </w:r>
      <m:oMath>
        <m:r>
          <m:t>p</m:t>
        </m:r>
        <m:r>
          <m:rPr>
            <m:sty m:val="p"/>
          </m:rPr>
          <m:t>&lt;</m:t>
        </m:r>
        <m:r>
          <m:t>0.001</m:t>
        </m:r>
      </m:oMath>
      <w:r>
        <w:rPr>
          <w:rFonts w:hint="eastAsia"/>
        </w:rPr>
        <w:t xml:space="preserve">），相对于基准均值0.782的增幅为18.7%；趋势项系数为0.0012（</w:t>
      </w:r>
      <m:oMath>
        <m:r>
          <m:t>p</m:t>
        </m:r>
        <m:r>
          <m:rPr>
            <m:sty m:val="p"/>
          </m:rPr>
          <m:t>=</m:t>
        </m:r>
        <m:r>
          <m:t>0.002</m:t>
        </m:r>
      </m:oMath>
      <w:r>
        <w:rPr>
          <w:rFonts w:hint="eastAsia"/>
        </w:rPr>
        <w:t xml:space="preserve">），表明熵值在政策后呈持续上升态势。列（2）显示，HHI即时下降0.0292（</w:t>
      </w:r>
      <m:oMath>
        <m:r>
          <m:t>p</m:t>
        </m:r>
        <m:r>
          <m:rPr>
            <m:sty m:val="p"/>
          </m:rPr>
          <m:t>&lt;</m:t>
        </m:r>
        <m:r>
          <m:t>0.001</m:t>
        </m:r>
      </m:oMath>
      <w:r>
        <w:rPr>
          <w:rFonts w:hint="eastAsia"/>
        </w:rPr>
        <w:t xml:space="preserve">），降幅为11.8%，趋势项系数为-0.0003（</w:t>
      </w:r>
      <m:oMath>
        <m:r>
          <m:t>p</m:t>
        </m:r>
        <m:r>
          <m:rPr>
            <m:sty m:val="p"/>
          </m:rPr>
          <m:t>=</m:t>
        </m:r>
        <m:r>
          <m:t>0.042</m:t>
        </m:r>
      </m:oMath>
      <w:r>
        <w:rPr>
          <w:rFonts w:hint="eastAsia"/>
        </w:rPr>
        <w:t xml:space="preserve">），集中度持续走低。列（3）与列（4）分别显示，单条话题重复上榜次数下降0.547次（降幅23.4%），连续在榜时长缩短2.15小时（降幅31.7%），均在0.1%水平显著。上述结果表明，算法治理通过限制单一话题的重复上榜频次与在榜时长，有效瓦解了头部垄断格局，推动了注意力分布的去中心化。</w:t>
      </w:r>
    </w:p>
    <w:bookmarkStart w:id="46" w:name="tab:h2"/>
    <w:p>
      <w:pPr>
        <w:pStyle w:val="TableCaption"/>
      </w:pPr>
      <w:r>
        <w:rPr>
          <w:rFonts w:hint="eastAsia"/>
        </w:rPr>
        <w:t xml:space="preserve">注意力去中心化效应（ITS回归）</w:t>
      </w:r>
    </w:p>
    <w:tbl>
      <w:tblPr>
        <w:tblStyle w:val="Table"/>
        <w:tblW w:type="auto" w:w="0"/>
        <w:tblLook w:firstRow="0" w:lastRow="0" w:firstColumn="0" w:lastColumn="0" w:noHBand="0" w:noVBand="0" w:val="0000"/>
        <w:tblCaption w:val="注意力去中心化效应（ITS回归）"/>
      </w:tblPr>
      <w:tblGrid>
        <w:gridCol w:w="1584"/>
        <w:gridCol w:w="1584"/>
        <w:gridCol w:w="1584"/>
        <w:gridCol w:w="1584"/>
        <w:gridCol w:w="1584"/>
      </w:tblGrid>
      <w:t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left"/>
            </w:pPr>
            <w:r>
              <w:rPr>
                <w:rFonts w:hint="eastAsia"/>
              </w:rPr>
              <w:t xml:space="preserve">因变量</w:t>
            </w:r>
          </w:p>
        </w:tc>
        <w:tc>
          <w:tcPr/>
          <w:p>
            <w:pPr>
              <w:pStyle w:val="Compact"/>
              <w:jc w:val="center"/>
            </w:pPr>
            <w:r>
              <w:rPr>
                <w:rFonts w:hint="eastAsia"/>
              </w:rPr>
              <w:t xml:space="preserve">Shannon熵</w:t>
            </w:r>
          </w:p>
        </w:tc>
        <w:tc>
          <w:tcPr/>
          <w:p>
            <w:pPr>
              <w:pStyle w:val="Compact"/>
              <w:jc w:val="center"/>
            </w:pPr>
            <m:oMath>
              <m:r>
                <m:rPr>
                  <m:nor/>
                  <m:sty m:val="i"/>
                </m:rPr>
                <m:t>HHI</m:t>
              </m:r>
            </m:oMath>
          </w:p>
        </w:tc>
        <w:tc>
          <w:tcPr/>
          <w:p>
            <w:pPr>
              <w:pStyle w:val="Compact"/>
              <w:jc w:val="center"/>
            </w:pPr>
            <w:r>
              <w:rPr>
                <w:rFonts w:hint="eastAsia"/>
              </w:rPr>
              <w:t xml:space="preserve">重复上榜次数</w:t>
            </w:r>
          </w:p>
        </w:tc>
        <w:tc>
          <w:tcPr/>
          <w:p>
            <w:pPr>
              <w:pStyle w:val="Compact"/>
              <w:jc w:val="center"/>
            </w:pPr>
            <w:r>
              <w:rPr>
                <w:rFonts w:hint="eastAsia"/>
              </w:rPr>
              <w:t xml:space="preserve">连续在榜时长</w:t>
            </w:r>
          </w:p>
        </w:tc>
      </w:tr>
      <w:tr>
        <w:tc>
          <w:tcPr/>
          <w:p>
            <w:pPr>
              <w:pStyle w:val="Compact"/>
              <w:jc w:val="left"/>
            </w:pPr>
            <m:oMath>
              <m:r>
                <m:rPr>
                  <m:nor/>
                  <m:sty m:val="i"/>
                </m:rPr>
                <m:t>Post</m:t>
              </m:r>
            </m:oMath>
            <w:r>
              <w:rPr>
                <w:rFonts w:hint="eastAsia"/>
              </w:rPr>
              <w:t xml:space="preserve">（即时效应）</w:t>
            </w:r>
          </w:p>
        </w:tc>
        <w:tc>
          <w:tcPr/>
          <w:p>
            <w:pPr>
              <w:pStyle w:val="Compact"/>
              <w:jc w:val="center"/>
            </w:pPr>
            <w:r>
              <w:t xml:space="preserve">0.146</w:t>
            </w:r>
            <m:oMath>
              <m:sSup>
                <m:e>
                  <m:r>
                    <m:t>​</m:t>
                  </m:r>
                </m:e>
                <m:sup>
                  <m:r>
                    <m:rPr>
                      <m:sty m:val="p"/>
                    </m:rPr>
                    <m:t>*</m:t>
                  </m:r>
                  <m:r>
                    <m:rPr>
                      <m:sty m:val="p"/>
                    </m:rPr>
                    <m:t>*</m:t>
                  </m:r>
                  <m:r>
                    <m:rPr>
                      <m:sty m:val="p"/>
                    </m:rPr>
                    <m:t>*</m:t>
                  </m:r>
                </m:sup>
              </m:sSup>
            </m:oMath>
          </w:p>
        </w:tc>
        <w:tc>
          <w:tcPr/>
          <w:p>
            <w:pPr>
              <w:pStyle w:val="Compact"/>
              <w:jc w:val="center"/>
            </w:pPr>
            <m:oMath>
              <m:r>
                <m:rPr>
                  <m:sty m:val="p"/>
                </m:rPr>
                <m:t>−</m:t>
              </m:r>
            </m:oMath>
            <w:r>
              <w:t xml:space="preserve">0.0292</w:t>
            </w:r>
            <m:oMath>
              <m:sSup>
                <m:e>
                  <m:r>
                    <m:t>​</m:t>
                  </m:r>
                </m:e>
                <m:sup>
                  <m:r>
                    <m:rPr>
                      <m:sty m:val="p"/>
                    </m:rPr>
                    <m:t>*</m:t>
                  </m:r>
                  <m:r>
                    <m:rPr>
                      <m:sty m:val="p"/>
                    </m:rPr>
                    <m:t>*</m:t>
                  </m:r>
                  <m:r>
                    <m:rPr>
                      <m:sty m:val="p"/>
                    </m:rPr>
                    <m:t>*</m:t>
                  </m:r>
                </m:sup>
              </m:sSup>
            </m:oMath>
          </w:p>
        </w:tc>
        <w:tc>
          <w:tcPr/>
          <w:p>
            <w:pPr>
              <w:pStyle w:val="Compact"/>
              <w:jc w:val="center"/>
            </w:pPr>
            <m:oMath>
              <m:r>
                <m:rPr>
                  <m:sty m:val="p"/>
                </m:rPr>
                <m:t>−</m:t>
              </m:r>
            </m:oMath>
            <w:r>
              <w:t xml:space="preserve">0.547</w:t>
            </w:r>
            <m:oMath>
              <m:sSup>
                <m:e>
                  <m:r>
                    <m:t>​</m:t>
                  </m:r>
                </m:e>
                <m:sup>
                  <m:r>
                    <m:rPr>
                      <m:sty m:val="p"/>
                    </m:rPr>
                    <m:t>*</m:t>
                  </m:r>
                  <m:r>
                    <m:rPr>
                      <m:sty m:val="p"/>
                    </m:rPr>
                    <m:t>*</m:t>
                  </m:r>
                  <m:r>
                    <m:rPr>
                      <m:sty m:val="p"/>
                    </m:rPr>
                    <m:t>*</m:t>
                  </m:r>
                </m:sup>
              </m:sSup>
            </m:oMath>
          </w:p>
        </w:tc>
        <w:tc>
          <w:tcPr/>
          <w:p>
            <w:pPr>
              <w:pStyle w:val="Compact"/>
              <w:jc w:val="center"/>
            </w:pPr>
            <m:oMath>
              <m:r>
                <m:rPr>
                  <m:sty m:val="p"/>
                </m:rPr>
                <m:t>−</m:t>
              </m:r>
            </m:oMath>
            <w:r>
              <w:t xml:space="preserve">2.15</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(0.0234)</w:t>
            </w:r>
          </w:p>
        </w:tc>
        <w:tc>
          <w:tcPr/>
          <w:p>
            <w:pPr>
              <w:pStyle w:val="Compact"/>
              <w:jc w:val="center"/>
            </w:pPr>
            <w:r>
              <w:t xml:space="preserve">(0.0056)</w:t>
            </w:r>
          </w:p>
        </w:tc>
        <w:tc>
          <w:tcPr/>
          <w:p>
            <w:pPr>
              <w:pStyle w:val="Compact"/>
              <w:jc w:val="center"/>
            </w:pPr>
            <w:r>
              <w:t xml:space="preserve">(0.089)</w:t>
            </w:r>
          </w:p>
        </w:tc>
        <w:tc>
          <w:tcPr/>
          <w:p>
            <w:pPr>
              <w:pStyle w:val="Compact"/>
              <w:jc w:val="center"/>
            </w:pPr>
            <w:r>
              <w:t xml:space="preserve">(0.342)</w:t>
            </w:r>
          </w:p>
        </w:tc>
      </w:tr>
      <w:tr>
        <w:tc>
          <w:tcPr/>
          <w:p>
            <w:pPr>
              <w:pStyle w:val="Compact"/>
              <w:jc w:val="left"/>
            </w:pPr>
            <m:oMath>
              <m:r>
                <m:rPr>
                  <m:nor/>
                  <m:sty m:val="i"/>
                </m:rPr>
                <m:t>Trend</m:t>
              </m:r>
            </m:oMath>
            <w:r>
              <w:rPr>
                <w:rFonts w:hint="eastAsia"/>
              </w:rPr>
              <w:t xml:space="preserve">（趋势）</w:t>
            </w:r>
          </w:p>
        </w:tc>
        <w:tc>
          <w:tcPr/>
          <w:p>
            <w:pPr>
              <w:pStyle w:val="Compact"/>
              <w:jc w:val="center"/>
            </w:pPr>
            <m:oMath>
              <m:r>
                <m:rPr>
                  <m:sty m:val="p"/>
                </m:rPr>
                <m:t>−</m:t>
              </m:r>
            </m:oMath>
            <w:r>
              <w:t xml:space="preserve">0.0008</w:t>
            </w:r>
          </w:p>
        </w:tc>
        <w:tc>
          <w:tcPr/>
          <w:p>
            <w:pPr>
              <w:pStyle w:val="Compact"/>
              <w:jc w:val="center"/>
            </w:pPr>
            <w:r>
              <w:t xml:space="preserve">0.0002</w:t>
            </w:r>
          </w:p>
        </w:tc>
        <w:tc>
          <w:tcPr/>
          <w:p>
            <w:pPr>
              <w:pStyle w:val="Compact"/>
              <w:jc w:val="center"/>
            </w:pPr>
            <m:oMath>
              <m:r>
                <m:rPr>
                  <m:sty m:val="p"/>
                </m:rPr>
                <m:t>−</m:t>
              </m:r>
            </m:oMath>
            <w:r>
              <w:t xml:space="preserve">0.0021</w:t>
            </w:r>
          </w:p>
        </w:tc>
        <w:tc>
          <w:tcPr/>
          <w:p>
            <w:pPr>
              <w:pStyle w:val="Compact"/>
              <w:jc w:val="center"/>
            </w:pPr>
            <w:r>
              <w:t xml:space="preserve">0.0156</w:t>
            </w:r>
          </w:p>
        </w:tc>
      </w:tr>
      <w:tr>
        <w:tc>
          <w:tcPr/>
          <w:p>
            <w:pPr>
              <w:pStyle w:val="Compact"/>
            </w:pPr>
          </w:p>
        </w:tc>
        <w:tc>
          <w:tcPr/>
          <w:p>
            <w:pPr>
              <w:pStyle w:val="Compact"/>
              <w:jc w:val="center"/>
            </w:pPr>
            <w:r>
              <w:t xml:space="preserve">(0.0005)</w:t>
            </w:r>
          </w:p>
        </w:tc>
        <w:tc>
          <w:tcPr/>
          <w:p>
            <w:pPr>
              <w:pStyle w:val="Compact"/>
              <w:jc w:val="center"/>
            </w:pPr>
            <w:r>
              <w:t xml:space="preserve">(0.0001)</w:t>
            </w:r>
          </w:p>
        </w:tc>
        <w:tc>
          <w:tcPr/>
          <w:p>
            <w:pPr>
              <w:pStyle w:val="Compact"/>
              <w:jc w:val="center"/>
            </w:pPr>
            <w:r>
              <w:t xml:space="preserve">(0.0018)</w:t>
            </w:r>
          </w:p>
        </w:tc>
        <w:tc>
          <w:tcPr/>
          <w:p>
            <w:pPr>
              <w:pStyle w:val="Compact"/>
              <w:jc w:val="center"/>
            </w:pPr>
            <w:r>
              <w:t xml:space="preserve">(0.0089)</w:t>
            </w:r>
          </w:p>
        </w:tc>
      </w:tr>
      <w:tr>
        <w:tc>
          <w:tcPr/>
          <w:p>
            <w:pPr>
              <w:pStyle w:val="Compact"/>
              <w:jc w:val="left"/>
            </w:pPr>
            <m:oMath>
              <m:r>
                <m:rPr>
                  <m:nor/>
                  <m:sty m:val="i"/>
                </m:rPr>
                <m:t>Post</m:t>
              </m:r>
              <m:r>
                <m:rPr>
                  <m:sty m:val="p"/>
                </m:rPr>
                <m:t>×</m:t>
              </m:r>
              <m:r>
                <m:rPr>
                  <m:nor/>
                  <m:sty m:val="i"/>
                </m:rPr>
                <m:t>Trend</m:t>
              </m:r>
            </m:oMath>
            <w:r>
              <w:rPr>
                <w:rFonts w:hint="eastAsia"/>
              </w:rPr>
              <w:t xml:space="preserve">（趋势效应）</w:t>
            </w:r>
          </w:p>
        </w:tc>
        <w:tc>
          <w:tcPr/>
          <w:p>
            <w:pPr>
              <w:pStyle w:val="Compact"/>
              <w:jc w:val="center"/>
            </w:pPr>
            <w:r>
              <w:t xml:space="preserve">0.0012</w:t>
            </w:r>
            <m:oMath>
              <m:sSup>
                <m:e>
                  <m:r>
                    <m:t>​</m:t>
                  </m:r>
                </m:e>
                <m:sup>
                  <m:r>
                    <m:rPr>
                      <m:sty m:val="p"/>
                    </m:rPr>
                    <m:t>*</m:t>
                  </m:r>
                  <m:r>
                    <m:rPr>
                      <m:sty m:val="p"/>
                    </m:rPr>
                    <m:t>*</m:t>
                  </m:r>
                </m:sup>
              </m:sSup>
            </m:oMath>
          </w:p>
        </w:tc>
        <w:tc>
          <w:tcPr/>
          <w:p>
            <w:pPr>
              <w:pStyle w:val="Compact"/>
              <w:jc w:val="center"/>
            </w:pPr>
            <m:oMath>
              <m:r>
                <m:rPr>
                  <m:sty m:val="p"/>
                </m:rPr>
                <m:t>−</m:t>
              </m:r>
            </m:oMath>
            <w:r>
              <w:t xml:space="preserve">0.0003</w:t>
            </w:r>
            <m:oMath>
              <m:sSup>
                <m:e>
                  <m:r>
                    <m:t>​</m:t>
                  </m:r>
                </m:e>
                <m:sup>
                  <m:r>
                    <m:rPr>
                      <m:sty m:val="p"/>
                    </m:rPr>
                    <m:t>*</m:t>
                  </m:r>
                </m:sup>
              </m:sSup>
            </m:oMath>
          </w:p>
        </w:tc>
        <w:tc>
          <w:tcPr/>
          <w:p>
            <w:pPr>
              <w:pStyle w:val="Compact"/>
              <w:jc w:val="center"/>
            </w:pPr>
            <m:oMath>
              <m:r>
                <m:rPr>
                  <m:sty m:val="p"/>
                </m:rPr>
                <m:t>−</m:t>
              </m:r>
            </m:oMath>
            <w:r>
              <w:t xml:space="preserve">0.0089</w:t>
            </w:r>
            <m:oMath>
              <m:sSup>
                <m:e>
                  <m:r>
                    <m:t>​</m:t>
                  </m:r>
                </m:e>
                <m:sup>
                  <m:r>
                    <m:rPr>
                      <m:sty m:val="p"/>
                    </m:rPr>
                    <m:t>*</m:t>
                  </m:r>
                  <m:r>
                    <m:rPr>
                      <m:sty m:val="p"/>
                    </m:rPr>
                    <m:t>*</m:t>
                  </m:r>
                  <m:r>
                    <m:rPr>
                      <m:sty m:val="p"/>
                    </m:rPr>
                    <m:t>*</m:t>
                  </m:r>
                </m:sup>
              </m:sSup>
            </m:oMath>
          </w:p>
        </w:tc>
        <w:tc>
          <w:tcPr/>
          <w:p>
            <w:pPr>
              <w:pStyle w:val="Compact"/>
              <w:jc w:val="center"/>
            </w:pPr>
            <m:oMath>
              <m:r>
                <m:rPr>
                  <m:sty m:val="p"/>
                </m:rPr>
                <m:t>−</m:t>
              </m:r>
            </m:oMath>
            <w:r>
              <w:t xml:space="preserve">0.0234</w:t>
            </w:r>
            <m:oMath>
              <m:sSup>
                <m:e>
                  <m:r>
                    <m:t>​</m:t>
                  </m:r>
                </m:e>
                <m:sup>
                  <m:r>
                    <m:rPr>
                      <m:sty m:val="p"/>
                    </m:rPr>
                    <m:t>*</m:t>
                  </m:r>
                  <m:r>
                    <m:rPr>
                      <m:sty m:val="p"/>
                    </m:rPr>
                    <m:t>*</m:t>
                  </m:r>
                </m:sup>
              </m:sSup>
            </m:oMath>
          </w:p>
        </w:tc>
      </w:tr>
      <w:tr>
        <w:tc>
          <w:tcPr/>
          <w:p>
            <w:pPr>
              <w:pStyle w:val="Compact"/>
            </w:pPr>
          </w:p>
        </w:tc>
        <w:tc>
          <w:tcPr/>
          <w:p>
            <w:pPr>
              <w:pStyle w:val="Compact"/>
              <w:jc w:val="center"/>
            </w:pPr>
            <w:r>
              <w:t xml:space="preserve">(0.0005)</w:t>
            </w:r>
          </w:p>
        </w:tc>
        <w:tc>
          <w:tcPr/>
          <w:p>
            <w:pPr>
              <w:pStyle w:val="Compact"/>
              <w:jc w:val="center"/>
            </w:pPr>
            <w:r>
              <w:t xml:space="preserve">(0.0001)</w:t>
            </w:r>
          </w:p>
        </w:tc>
        <w:tc>
          <w:tcPr/>
          <w:p>
            <w:pPr>
              <w:pStyle w:val="Compact"/>
              <w:jc w:val="center"/>
            </w:pPr>
            <w:r>
              <w:t xml:space="preserve">(0.0024)</w:t>
            </w:r>
          </w:p>
        </w:tc>
        <w:tc>
          <w:tcPr/>
          <w:p>
            <w:pPr>
              <w:pStyle w:val="Compact"/>
              <w:jc w:val="center"/>
            </w:pPr>
            <w:r>
              <w:t xml:space="preserve">(0.0098)</w:t>
            </w:r>
          </w:p>
        </w:tc>
      </w:tr>
      <w:tr>
        <w:tc>
          <w:tcPr/>
          <w:p>
            <w:pPr>
              <w:pStyle w:val="Compact"/>
              <w:jc w:val="left"/>
            </w:pPr>
            <w:r>
              <w:rPr>
                <w:rFonts w:hint="eastAsia"/>
              </w:rPr>
              <w:t xml:space="preserve">常数项</w:t>
            </w:r>
          </w:p>
        </w:tc>
        <w:tc>
          <w:tcPr/>
          <w:p>
            <w:pPr>
              <w:pStyle w:val="Compact"/>
              <w:jc w:val="center"/>
            </w:pPr>
            <w:r>
              <w:t xml:space="preserve">0.782</w:t>
            </w:r>
            <m:oMath>
              <m:sSup>
                <m:e>
                  <m:r>
                    <m:t>​</m:t>
                  </m:r>
                </m:e>
                <m:sup>
                  <m:r>
                    <m:rPr>
                      <m:sty m:val="p"/>
                    </m:rPr>
                    <m:t>*</m:t>
                  </m:r>
                  <m:r>
                    <m:rPr>
                      <m:sty m:val="p"/>
                    </m:rPr>
                    <m:t>*</m:t>
                  </m:r>
                  <m:r>
                    <m:rPr>
                      <m:sty m:val="p"/>
                    </m:rPr>
                    <m:t>*</m:t>
                  </m:r>
                </m:sup>
              </m:sSup>
            </m:oMath>
          </w:p>
        </w:tc>
        <w:tc>
          <w:tcPr/>
          <w:p>
            <w:pPr>
              <w:pStyle w:val="Compact"/>
              <w:jc w:val="center"/>
            </w:pPr>
            <w:r>
              <w:t xml:space="preserve">0.248</w:t>
            </w:r>
            <m:oMath>
              <m:sSup>
                <m:e>
                  <m:r>
                    <m:t>​</m:t>
                  </m:r>
                </m:e>
                <m:sup>
                  <m:r>
                    <m:rPr>
                      <m:sty m:val="p"/>
                    </m:rPr>
                    <m:t>*</m:t>
                  </m:r>
                  <m:r>
                    <m:rPr>
                      <m:sty m:val="p"/>
                    </m:rPr>
                    <m:t>*</m:t>
                  </m:r>
                  <m:r>
                    <m:rPr>
                      <m:sty m:val="p"/>
                    </m:rPr>
                    <m:t>*</m:t>
                  </m:r>
                </m:sup>
              </m:sSup>
            </m:oMath>
          </w:p>
        </w:tc>
        <w:tc>
          <w:tcPr/>
          <w:p>
            <w:pPr>
              <w:pStyle w:val="Compact"/>
              <w:jc w:val="center"/>
            </w:pPr>
            <w:r>
              <w:t xml:space="preserve">2.341</w:t>
            </w:r>
            <m:oMath>
              <m:sSup>
                <m:e>
                  <m:r>
                    <m:t>​</m:t>
                  </m:r>
                </m:e>
                <m:sup>
                  <m:r>
                    <m:rPr>
                      <m:sty m:val="p"/>
                    </m:rPr>
                    <m:t>*</m:t>
                  </m:r>
                  <m:r>
                    <m:rPr>
                      <m:sty m:val="p"/>
                    </m:rPr>
                    <m:t>*</m:t>
                  </m:r>
                  <m:r>
                    <m:rPr>
                      <m:sty m:val="p"/>
                    </m:rPr>
                    <m:t>*</m:t>
                  </m:r>
                </m:sup>
              </m:sSup>
            </m:oMath>
          </w:p>
        </w:tc>
        <w:tc>
          <w:tcPr/>
          <w:p>
            <w:pPr>
              <w:pStyle w:val="Compact"/>
              <w:jc w:val="center"/>
            </w:pPr>
            <w:r>
              <w:t xml:space="preserve">6.781</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(0.0156)</w:t>
            </w:r>
          </w:p>
        </w:tc>
        <w:tc>
          <w:tcPr/>
          <w:p>
            <w:pPr>
              <w:pStyle w:val="Compact"/>
              <w:jc w:val="center"/>
            </w:pPr>
            <w:r>
              <w:t xml:space="preserve">(0.0037)</w:t>
            </w:r>
          </w:p>
        </w:tc>
        <w:tc>
          <w:tcPr/>
          <w:p>
            <w:pPr>
              <w:pStyle w:val="Compact"/>
              <w:jc w:val="center"/>
            </w:pPr>
            <w:r>
              <w:t xml:space="preserve">(0.059)</w:t>
            </w:r>
          </w:p>
        </w:tc>
        <w:tc>
          <w:tcPr/>
          <w:p>
            <w:pPr>
              <w:pStyle w:val="Compact"/>
              <w:jc w:val="center"/>
            </w:pPr>
            <w:r>
              <w:t xml:space="preserve">(0.223)</w:t>
            </w:r>
          </w:p>
        </w:tc>
      </w:tr>
      <w:tr>
        <w:tc>
          <w:tcPr/>
          <w:p>
            <w:pPr>
              <w:pStyle w:val="Compact"/>
              <w:jc w:val="left"/>
            </w:pPr>
            <m:oMath>
              <m:r>
                <m:t>N</m:t>
              </m:r>
            </m:oMath>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r>
      <w:tr>
        <w:tc>
          <w:tcPr/>
          <w:p>
            <w:pPr>
              <w:pStyle w:val="Compact"/>
              <w:jc w:val="left"/>
            </w:pPr>
            <m:oMath>
              <m:sSup>
                <m:e>
                  <m:r>
                    <m:t>R</m:t>
                  </m:r>
                </m:e>
                <m:sup>
                  <m:r>
                    <m:t>2</m:t>
                  </m:r>
                </m:sup>
              </m:sSup>
            </m:oMath>
          </w:p>
        </w:tc>
        <w:tc>
          <w:tcPr/>
          <w:p>
            <w:pPr>
              <w:pStyle w:val="Compact"/>
              <w:jc w:val="center"/>
            </w:pPr>
            <w:r>
              <w:t xml:space="preserve">0.742</w:t>
            </w:r>
          </w:p>
        </w:tc>
        <w:tc>
          <w:tcPr/>
          <w:p>
            <w:pPr>
              <w:pStyle w:val="Compact"/>
              <w:jc w:val="center"/>
            </w:pPr>
            <w:r>
              <w:t xml:space="preserve">0.681</w:t>
            </w:r>
          </w:p>
        </w:tc>
        <w:tc>
          <w:tcPr/>
          <w:p>
            <w:pPr>
              <w:pStyle w:val="Compact"/>
              <w:jc w:val="center"/>
            </w:pPr>
            <w:r>
              <w:t xml:space="preserve">0.635</w:t>
            </w:r>
          </w:p>
        </w:tc>
        <w:tc>
          <w:tcPr/>
          <w:p>
            <w:pPr>
              <w:pStyle w:val="Compact"/>
              <w:jc w:val="center"/>
            </w:pPr>
            <w:r>
              <w:t xml:space="preserve">0.587</w:t>
            </w:r>
          </w:p>
        </w:tc>
      </w:tr>
      <w:tr>
        <w:tc>
          <w:tcPr/>
          <w:p>
            <w:pPr>
              <w:pStyle w:val="Compact"/>
              <w:jc w:val="left"/>
            </w:pPr>
            <w:r>
              <w:rPr>
                <w:rFonts w:hint="eastAsia"/>
              </w:rPr>
              <w:t xml:space="preserve">Newey-West标准误</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bl>
    <w:bookmarkEnd w:id="46"/>
    <w:p>
      <w:pPr>
        <w:pStyle w:val="BodyText"/>
      </w:pPr>
      <w:r>
        <w:rPr>
          <w:rFonts w:hint="eastAsia"/>
        </w:rPr>
        <w:t xml:space="preserve">注：</w:t>
      </w:r>
      <m:oMath>
        <m:sSup>
          <m:e>
            <m:r>
              <m:t>​</m:t>
            </m:r>
          </m:e>
          <m:sup>
            <m:r>
              <m:rPr>
                <m:sty m:val="p"/>
              </m:rPr>
              <m:t>*</m:t>
            </m:r>
            <m:r>
              <m:rPr>
                <m:sty m:val="p"/>
              </m:rPr>
              <m:t>*</m:t>
            </m:r>
            <m:r>
              <m:rPr>
                <m:sty m:val="p"/>
              </m:rPr>
              <m:t>*</m:t>
            </m:r>
          </m:sup>
        </m:sSup>
        <m:r>
          <m:t>p</m:t>
        </m:r>
        <m:r>
          <m:rPr>
            <m:sty m:val="p"/>
          </m:rPr>
          <m:t>&lt;</m:t>
        </m:r>
        <m:r>
          <m:t>0.001</m:t>
        </m:r>
      </m:oMath>
      <w:r>
        <w:rPr>
          <w:rFonts w:hint="eastAsia"/>
        </w:rPr>
        <w:t xml:space="preserve">，</w:t>
      </w:r>
      <m:oMath>
        <m:sSup>
          <m:e>
            <m:r>
              <m:t>​</m:t>
            </m:r>
          </m:e>
          <m:sup>
            <m:r>
              <m:rPr>
                <m:sty m:val="p"/>
              </m:rPr>
              <m:t>*</m:t>
            </m:r>
            <m:r>
              <m:rPr>
                <m:sty m:val="p"/>
              </m:rPr>
              <m:t>*</m:t>
            </m:r>
          </m:sup>
        </m:sSup>
        <m:r>
          <m:t>p</m:t>
        </m:r>
        <m:r>
          <m:rPr>
            <m:sty m:val="p"/>
          </m:rPr>
          <m:t>&lt;</m:t>
        </m:r>
        <m:r>
          <m:t>0.01</m:t>
        </m:r>
      </m:oMath>
      <w:r>
        <w:rPr>
          <w:rFonts w:hint="eastAsia"/>
        </w:rPr>
        <w:t xml:space="preserve">，</w:t>
      </w:r>
      <m:oMath>
        <m:sSup>
          <m:e>
            <m:r>
              <m:t>​</m:t>
            </m:r>
          </m:e>
          <m:sup>
            <m:r>
              <m:rPr>
                <m:sty m:val="p"/>
              </m:rPr>
              <m:t>*</m:t>
            </m:r>
          </m:sup>
        </m:sSup>
        <m:r>
          <m:t>p</m:t>
        </m:r>
        <m:r>
          <m:rPr>
            <m:sty m:val="p"/>
          </m:rPr>
          <m:t>&lt;</m:t>
        </m:r>
        <m:r>
          <m:t>0.05</m:t>
        </m:r>
      </m:oMath>
      <w:r>
        <w:rPr>
          <w:rFonts w:hint="eastAsia"/>
        </w:rPr>
        <w:t xml:space="preserve">；括号内为Newey-West标准误；</w:t>
      </w:r>
      <m:oMath>
        <m:r>
          <m:rPr>
            <m:nor/>
            <m:sty m:val="i"/>
          </m:rPr>
          <m:t>Post</m:t>
        </m:r>
      </m:oMath>
      <w:r>
        <w:rPr>
          <w:rFonts w:hint="eastAsia"/>
        </w:rPr>
        <w:t xml:space="preserve">为政策后虚拟变量（2024年11月12日后取1）；</w:t>
      </w:r>
      <m:oMath>
        <m:r>
          <m:rPr>
            <m:nor/>
            <m:sty m:val="i"/>
          </m:rPr>
          <m:t>Trend</m:t>
        </m:r>
      </m:oMath>
      <w:r>
        <w:rPr>
          <w:rFonts w:hint="eastAsia"/>
        </w:rPr>
        <w:t xml:space="preserve">为时间趋势（政策前归一化为0）。</w:t>
      </w:r>
    </w:p>
    <w:p>
      <w:pPr>
        <w:pStyle w:val="BodyText"/>
      </w:pPr>
      <w:r>
        <w:rPr>
          <w:rFonts w:hint="eastAsia"/>
        </w:rPr>
        <w:t xml:space="preserve">就机制而言，去中心化主要通过两条路径实现。其一，供给侧约束：《算法专项治理清单指引》明确规定平台</w:t>
      </w:r>
      <w:r>
        <w:rPr>
          <w:rFonts w:hint="eastAsia"/>
        </w:rPr>
        <w:t xml:space="preserve">“不得利用算法操纵热点话题”</w:t>
      </w:r>
      <w:r>
        <w:rPr>
          <w:rFonts w:hint="eastAsia"/>
        </w:rPr>
        <w:t xml:space="preserve">，对单一话题垄断榜单形成硬约束。其二，需求侧多样性激励：监管同时要求</w:t>
      </w:r>
      <w:r>
        <w:rPr>
          <w:rFonts w:hint="eastAsia"/>
        </w:rPr>
        <w:t xml:space="preserve">“保障信息内容多样性”</w:t>
      </w:r>
      <w:r>
        <w:rPr>
          <w:rFonts w:hint="eastAsia"/>
        </w:rPr>
        <w:t xml:space="preserve">，平台为规避单一话题过度曝光可能招致的监管风险，主动提升长尾话题的推荐权重。两条路径相互叠加，共同推动了注意力分布的均衡化。</w:t>
      </w:r>
    </w:p>
    <w:bookmarkEnd w:id="47"/>
    <w:bookmarkStart w:id="50" w:name="注意力再分配效应检验h3"/>
    <w:p>
      <w:pPr>
        <w:pStyle w:val="Heading2"/>
      </w:pPr>
      <w:r>
        <w:rPr>
          <w:rFonts w:hint="eastAsia"/>
        </w:rPr>
        <w:t xml:space="preserve">注意力再分配效应检验（H3）</w:t>
      </w:r>
    </w:p>
    <w:p>
      <w:pPr>
        <w:pStyle w:val="FirstParagraph"/>
      </w:pPr>
      <w:r>
        <w:rPr>
          <w:rFonts w:hint="eastAsia"/>
        </w:rPr>
        <w:t xml:space="preserve">假设H3预测，在注意力零和约束下，对社会类的监管强化将引发注意力向娱乐类的系统性转移，形成</w:t>
      </w:r>
      <w:r>
        <w:rPr>
          <w:rFonts w:hint="eastAsia"/>
        </w:rPr>
        <w:t xml:space="preserve">“水床效应”</w:t>
      </w:r>
      <w:r>
        <w:t xml:space="preserve">。</w:t>
      </w:r>
    </w:p>
    <w:p>
      <w:pPr>
        <w:pStyle w:val="BodyText"/>
      </w:pPr>
      <w:r>
        <w:rPr>
          <w:rFonts w:hint="eastAsia"/>
        </w:rPr>
        <w:t xml:space="preserve">表</w:t>
      </w:r>
      <w:hyperlink w:anchor="tab:h3">
        <w:r>
          <w:rPr>
            <w:rStyle w:val="Hyperlink"/>
          </w:rPr>
          <w:t xml:space="preserve">6</w:t>
        </w:r>
      </w:hyperlink>
      <w:r>
        <w:rPr>
          <w:rFonts w:hint="eastAsia"/>
        </w:rPr>
        <w:t xml:space="preserve">报告了各类别注意力份额的ITS回归结果。列（1）显示，社会类份额即时下降0.0316（</w:t>
      </w:r>
      <m:oMath>
        <m:r>
          <m:t>p</m:t>
        </m:r>
        <m:r>
          <m:rPr>
            <m:sty m:val="p"/>
          </m:rPr>
          <m:t>&lt;</m:t>
        </m:r>
        <m:r>
          <m:t>0.001</m:t>
        </m:r>
      </m:oMath>
      <w:r>
        <w:rPr>
          <w:rFonts w:hint="eastAsia"/>
        </w:rPr>
        <w:t xml:space="preserve">），降幅为9.1%，趋势项系数为-0.0008（</w:t>
      </w:r>
      <m:oMath>
        <m:r>
          <m:t>p</m:t>
        </m:r>
        <m:r>
          <m:rPr>
            <m:sty m:val="p"/>
          </m:rPr>
          <m:t>&lt;</m:t>
        </m:r>
        <m:r>
          <m:t>0.001</m:t>
        </m:r>
      </m:oMath>
      <w:r>
        <w:rPr>
          <w:rFonts w:hint="eastAsia"/>
        </w:rPr>
        <w:t xml:space="preserve">），份额呈持续走低态势。列（2）显示，娱乐核心类份额即时上升0.0384（</w:t>
      </w:r>
      <m:oMath>
        <m:r>
          <m:t>p</m:t>
        </m:r>
        <m:r>
          <m:rPr>
            <m:sty m:val="p"/>
          </m:rPr>
          <m:t>&lt;</m:t>
        </m:r>
        <m:r>
          <m:t>0.001</m:t>
        </m:r>
      </m:oMath>
      <w:r>
        <w:rPr>
          <w:rFonts w:hint="eastAsia"/>
        </w:rPr>
        <w:t xml:space="preserve">），增幅达23.3%，趋势项系数为0.0006（</w:t>
      </w:r>
      <m:oMath>
        <m:r>
          <m:t>p</m:t>
        </m:r>
        <m:r>
          <m:rPr>
            <m:sty m:val="p"/>
          </m:rPr>
          <m:t>=</m:t>
        </m:r>
        <m:r>
          <m:t>0.003</m:t>
        </m:r>
      </m:oMath>
      <w:r>
        <w:rPr>
          <w:rFonts w:hint="eastAsia"/>
        </w:rPr>
        <w:t xml:space="preserve">）。进一步分解表明，明星类份额即时上升0.0361（</w:t>
      </w:r>
      <m:oMath>
        <m:r>
          <m:t>p</m:t>
        </m:r>
        <m:r>
          <m:rPr>
            <m:sty m:val="p"/>
          </m:rPr>
          <m:t>&lt;</m:t>
        </m:r>
        <m:r>
          <m:t>0.001</m:t>
        </m:r>
      </m:oMath>
      <w:r>
        <w:rPr>
          <w:rFonts w:hint="eastAsia"/>
        </w:rPr>
        <w:t xml:space="preserve">），游戏类上升0.0112（</w:t>
      </w:r>
      <m:oMath>
        <m:r>
          <m:t>p</m:t>
        </m:r>
        <m:r>
          <m:rPr>
            <m:sty m:val="p"/>
          </m:rPr>
          <m:t>=</m:t>
        </m:r>
        <m:r>
          <m:t>0.002</m:t>
        </m:r>
      </m:oMath>
      <w:r>
        <w:rPr>
          <w:rFonts w:hint="eastAsia"/>
        </w:rPr>
        <w:t xml:space="preserve">），两者构成娱乐类扩张的主体。</w:t>
      </w:r>
    </w:p>
    <w:bookmarkStart w:id="48" w:name="tab:h3"/>
    <w:p>
      <w:pPr>
        <w:pStyle w:val="TableCaption"/>
      </w:pPr>
      <w:r>
        <w:rPr>
          <w:rFonts w:hint="eastAsia"/>
        </w:rPr>
        <w:t xml:space="preserve">注意力再分配效应（类别份额ITS回归）</w:t>
      </w:r>
    </w:p>
    <w:tbl>
      <w:tblPr>
        <w:tblStyle w:val="Table"/>
        <w:tblW w:type="auto" w:w="0"/>
        <w:tblLook w:firstRow="1" w:lastRow="0" w:firstColumn="0" w:lastColumn="0" w:noHBand="0" w:noVBand="0" w:val="0020"/>
        <w:tblCaption w:val="注意力再分配效应（类别份额ITS回归）"/>
      </w:tblPr>
      <w:tblGrid>
        <w:gridCol w:w="1320"/>
        <w:gridCol w:w="1320"/>
        <w:gridCol w:w="1320"/>
        <w:gridCol w:w="1320"/>
        <w:gridCol w:w="1320"/>
        <w:gridCol w:w="1320"/>
      </w:tblGrid>
      <w:tr>
        <w:trPr>
          <w:tblHeader w:val="on"/>
        </w:trPr>
        <w:tc>
          <w:tcPr/>
          <w:p>
            <w:pPr>
              <w:pStyle w:val="Compact"/>
              <w:jc w:val="left"/>
            </w:pPr>
            <w:r>
              <w:rPr>
                <w:rFonts w:hint="eastAsia"/>
              </w:rPr>
              <w:t xml:space="preserve">因变量</w:t>
            </w:r>
          </w:p>
        </w:tc>
        <w:tc>
          <w:tcPr/>
          <w:p>
            <w:pPr>
              <w:pStyle w:val="Compact"/>
              <w:jc w:val="center"/>
            </w:pPr>
            <w:r>
              <w:t xml:space="preserve">(1)</w:t>
            </w:r>
            <w:r>
              <w:t xml:space="preserve"> </w:t>
            </w:r>
            <w:r>
              <w:rPr>
                <w:rFonts w:hint="eastAsia"/>
              </w:rPr>
              <w:t xml:space="preserve">社会类</w:t>
            </w:r>
          </w:p>
        </w:tc>
        <w:tc>
          <w:tcPr/>
          <w:p>
            <w:pPr>
              <w:pStyle w:val="Compact"/>
              <w:jc w:val="center"/>
            </w:pPr>
            <w:r>
              <w:t xml:space="preserve">(2)</w:t>
            </w:r>
            <w:r>
              <w:t xml:space="preserve"> </w:t>
            </w:r>
            <w:r>
              <w:rPr>
                <w:rFonts w:hint="eastAsia"/>
              </w:rPr>
              <w:t xml:space="preserve">娱乐核心类</w:t>
            </w:r>
          </w:p>
        </w:tc>
        <w:tc>
          <w:tcPr/>
          <w:p>
            <w:pPr>
              <w:pStyle w:val="Compact"/>
              <w:jc w:val="center"/>
            </w:pPr>
            <w:r>
              <w:t xml:space="preserve">(3)</w:t>
            </w:r>
            <w:r>
              <w:t xml:space="preserve"> </w:t>
            </w:r>
            <w:r>
              <w:rPr>
                <w:rFonts w:hint="eastAsia"/>
              </w:rPr>
              <w:t xml:space="preserve">明星类</w:t>
            </w:r>
          </w:p>
        </w:tc>
        <w:tc>
          <w:tcPr/>
          <w:p>
            <w:pPr>
              <w:pStyle w:val="Compact"/>
              <w:jc w:val="center"/>
            </w:pPr>
            <w:r>
              <w:t xml:space="preserve">(4)</w:t>
            </w:r>
            <w:r>
              <w:t xml:space="preserve"> </w:t>
            </w:r>
            <w:r>
              <w:rPr>
                <w:rFonts w:hint="eastAsia"/>
              </w:rPr>
              <w:t xml:space="preserve">游戏类</w:t>
            </w:r>
          </w:p>
        </w:tc>
        <w:tc>
          <w:tcPr/>
          <w:p>
            <w:pPr>
              <w:pStyle w:val="Compact"/>
              <w:jc w:val="center"/>
            </w:pPr>
            <w:r>
              <w:t xml:space="preserve">(5)</w:t>
            </w:r>
            <w:r>
              <w:t xml:space="preserve"> </w:t>
            </w:r>
            <w:r>
              <w:rPr>
                <w:rFonts w:hint="eastAsia"/>
              </w:rPr>
              <w:t xml:space="preserve">其他类</w:t>
            </w:r>
          </w:p>
        </w:tc>
      </w:tr>
      <w:tr>
        <w:tc>
          <w:tcPr/>
          <w:p>
            <w:pPr>
              <w:pStyle w:val="Compact"/>
              <w:jc w:val="left"/>
            </w:pPr>
            <m:oMath>
              <m:r>
                <m:rPr>
                  <m:nor/>
                  <m:sty m:val="i"/>
                </m:rPr>
                <m:t>Post</m:t>
              </m:r>
            </m:oMath>
            <w:r>
              <w:rPr>
                <w:rFonts w:hint="eastAsia"/>
              </w:rPr>
              <w:t xml:space="preserve">（即时效应）</w:t>
            </w:r>
          </w:p>
        </w:tc>
        <w:tc>
          <w:tcPr/>
          <w:p>
            <w:pPr>
              <w:pStyle w:val="Compact"/>
              <w:jc w:val="center"/>
            </w:pPr>
            <m:oMath>
              <m:r>
                <m:rPr>
                  <m:sty m:val="p"/>
                </m:rPr>
                <m:t>−</m:t>
              </m:r>
            </m:oMath>
            <w:r>
              <w:t xml:space="preserve">0.0316</w:t>
            </w:r>
            <m:oMath>
              <m:sSup>
                <m:e>
                  <m:r>
                    <m:t>​</m:t>
                  </m:r>
                </m:e>
                <m:sup>
                  <m:r>
                    <m:rPr>
                      <m:sty m:val="p"/>
                    </m:rPr>
                    <m:t>*</m:t>
                  </m:r>
                  <m:r>
                    <m:rPr>
                      <m:sty m:val="p"/>
                    </m:rPr>
                    <m:t>*</m:t>
                  </m:r>
                  <m:r>
                    <m:rPr>
                      <m:sty m:val="p"/>
                    </m:rPr>
                    <m:t>*</m:t>
                  </m:r>
                </m:sup>
              </m:sSup>
            </m:oMath>
          </w:p>
        </w:tc>
        <w:tc>
          <w:tcPr/>
          <w:p>
            <w:pPr>
              <w:pStyle w:val="Compact"/>
              <w:jc w:val="center"/>
            </w:pPr>
            <w:r>
              <w:t xml:space="preserve">0.0384</w:t>
            </w:r>
            <m:oMath>
              <m:sSup>
                <m:e>
                  <m:r>
                    <m:t>​</m:t>
                  </m:r>
                </m:e>
                <m:sup>
                  <m:r>
                    <m:rPr>
                      <m:sty m:val="p"/>
                    </m:rPr>
                    <m:t>*</m:t>
                  </m:r>
                  <m:r>
                    <m:rPr>
                      <m:sty m:val="p"/>
                    </m:rPr>
                    <m:t>*</m:t>
                  </m:r>
                  <m:r>
                    <m:rPr>
                      <m:sty m:val="p"/>
                    </m:rPr>
                    <m:t>*</m:t>
                  </m:r>
                </m:sup>
              </m:sSup>
            </m:oMath>
          </w:p>
        </w:tc>
        <w:tc>
          <w:tcPr/>
          <w:p>
            <w:pPr>
              <w:pStyle w:val="Compact"/>
              <w:jc w:val="center"/>
            </w:pPr>
            <w:r>
              <w:t xml:space="preserve">0.0361</w:t>
            </w:r>
            <m:oMath>
              <m:sSup>
                <m:e>
                  <m:r>
                    <m:t>​</m:t>
                  </m:r>
                </m:e>
                <m:sup>
                  <m:r>
                    <m:rPr>
                      <m:sty m:val="p"/>
                    </m:rPr>
                    <m:t>*</m:t>
                  </m:r>
                  <m:r>
                    <m:rPr>
                      <m:sty m:val="p"/>
                    </m:rPr>
                    <m:t>*</m:t>
                  </m:r>
                  <m:r>
                    <m:rPr>
                      <m:sty m:val="p"/>
                    </m:rPr>
                    <m:t>*</m:t>
                  </m:r>
                </m:sup>
              </m:sSup>
            </m:oMath>
          </w:p>
        </w:tc>
        <w:tc>
          <w:tcPr/>
          <w:p>
            <w:pPr>
              <w:pStyle w:val="Compact"/>
              <w:jc w:val="center"/>
            </w:pPr>
            <w:r>
              <w:t xml:space="preserve">0.0112</w:t>
            </w:r>
            <m:oMath>
              <m:sSup>
                <m:e>
                  <m:r>
                    <m:t>​</m:t>
                  </m:r>
                </m:e>
                <m:sup>
                  <m:r>
                    <m:rPr>
                      <m:sty m:val="p"/>
                    </m:rPr>
                    <m:t>*</m:t>
                  </m:r>
                  <m:r>
                    <m:rPr>
                      <m:sty m:val="p"/>
                    </m:rPr>
                    <m:t>*</m:t>
                  </m:r>
                </m:sup>
              </m:sSup>
            </m:oMath>
          </w:p>
        </w:tc>
        <w:tc>
          <w:tcPr/>
          <w:p>
            <w:pPr>
              <w:pStyle w:val="Compact"/>
              <w:jc w:val="center"/>
            </w:pPr>
            <m:oMath>
              <m:r>
                <m:rPr>
                  <m:sty m:val="p"/>
                </m:rPr>
                <m:t>−</m:t>
              </m:r>
            </m:oMath>
            <w:r>
              <w:t xml:space="preserve">0.0068</w:t>
            </w:r>
          </w:p>
        </w:tc>
      </w:tr>
      <w:tr>
        <w:tc>
          <w:tcPr/>
          <w:p>
            <w:pPr>
              <w:pStyle w:val="Compact"/>
            </w:pPr>
          </w:p>
        </w:tc>
        <w:tc>
          <w:tcPr/>
          <w:p>
            <w:pPr>
              <w:pStyle w:val="Compact"/>
              <w:jc w:val="center"/>
            </w:pPr>
            <w:r>
              <w:t xml:space="preserve">(0.0045)</w:t>
            </w:r>
          </w:p>
        </w:tc>
        <w:tc>
          <w:tcPr/>
          <w:p>
            <w:pPr>
              <w:pStyle w:val="Compact"/>
              <w:jc w:val="center"/>
            </w:pPr>
            <w:r>
              <w:t xml:space="preserve">(0.0038)</w:t>
            </w:r>
          </w:p>
        </w:tc>
        <w:tc>
          <w:tcPr/>
          <w:p>
            <w:pPr>
              <w:pStyle w:val="Compact"/>
              <w:jc w:val="center"/>
            </w:pPr>
            <w:r>
              <w:t xml:space="preserve">(0.0042)</w:t>
            </w:r>
          </w:p>
        </w:tc>
        <w:tc>
          <w:tcPr/>
          <w:p>
            <w:pPr>
              <w:pStyle w:val="Compact"/>
              <w:jc w:val="center"/>
            </w:pPr>
            <w:r>
              <w:t xml:space="preserve">(0.0035)</w:t>
            </w:r>
          </w:p>
        </w:tc>
        <w:tc>
          <w:tcPr/>
          <w:p>
            <w:pPr>
              <w:pStyle w:val="Compact"/>
              <w:jc w:val="center"/>
            </w:pPr>
            <w:r>
              <w:t xml:space="preserve">(0.0051)</w:t>
            </w:r>
          </w:p>
        </w:tc>
      </w:tr>
      <w:tr>
        <w:tc>
          <w:tcPr/>
          <w:p>
            <w:pPr>
              <w:pStyle w:val="Compact"/>
              <w:jc w:val="left"/>
            </w:pPr>
            <m:oMath>
              <m:r>
                <m:rPr>
                  <m:nor/>
                  <m:sty m:val="i"/>
                </m:rPr>
                <m:t>Trend</m:t>
              </m:r>
            </m:oMath>
            <w:r>
              <w:rPr>
                <w:rFonts w:hint="eastAsia"/>
              </w:rPr>
              <w:t xml:space="preserve">（趋势）</w:t>
            </w:r>
          </w:p>
        </w:tc>
        <w:tc>
          <w:tcPr/>
          <w:p>
            <w:pPr>
              <w:pStyle w:val="Compact"/>
              <w:jc w:val="center"/>
            </w:pPr>
            <w:r>
              <w:t xml:space="preserve">0.0002</w:t>
            </w:r>
          </w:p>
        </w:tc>
        <w:tc>
          <w:tcPr/>
          <w:p>
            <w:pPr>
              <w:pStyle w:val="Compact"/>
              <w:jc w:val="center"/>
            </w:pPr>
            <m:oMath>
              <m:r>
                <m:rPr>
                  <m:sty m:val="p"/>
                </m:rPr>
                <m:t>−</m:t>
              </m:r>
            </m:oMath>
            <w:r>
              <w:t xml:space="preserve">0.0001</w:t>
            </w:r>
          </w:p>
        </w:tc>
        <w:tc>
          <w:tcPr/>
          <w:p>
            <w:pPr>
              <w:pStyle w:val="Compact"/>
              <w:jc w:val="center"/>
            </w:pPr>
            <m:oMath>
              <m:r>
                <m:rPr>
                  <m:sty m:val="p"/>
                </m:rPr>
                <m:t>−</m:t>
              </m:r>
            </m:oMath>
            <w:r>
              <w:t xml:space="preserve">0.0001</w:t>
            </w:r>
          </w:p>
        </w:tc>
        <w:tc>
          <w:tcPr/>
          <w:p>
            <w:pPr>
              <w:pStyle w:val="Compact"/>
              <w:jc w:val="center"/>
            </w:pPr>
            <w:r>
              <w:t xml:space="preserve">0.0000</w:t>
            </w:r>
          </w:p>
        </w:tc>
        <w:tc>
          <w:tcPr/>
          <w:p>
            <w:pPr>
              <w:pStyle w:val="Compact"/>
              <w:jc w:val="center"/>
            </w:pPr>
            <m:oMath>
              <m:r>
                <m:rPr>
                  <m:sty m:val="p"/>
                </m:rPr>
                <m:t>−</m:t>
              </m:r>
            </m:oMath>
            <w:r>
              <w:t xml:space="preserve">0.0001</w:t>
            </w:r>
          </w:p>
        </w:tc>
      </w:tr>
      <w:tr>
        <w:tc>
          <w:tcPr/>
          <w:p>
            <w:pPr>
              <w:pStyle w:val="Compact"/>
            </w:pP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(0.0001)</w:t>
            </w:r>
          </w:p>
        </w:tc>
        <w:tc>
          <w:tcPr/>
          <w:p>
            <w:pPr>
              <w:pStyle w:val="Compact"/>
              <w:jc w:val="center"/>
            </w:pPr>
            <w:r>
              <w:t xml:space="preserve">(0.0001)</w:t>
            </w:r>
          </w:p>
        </w:tc>
      </w:tr>
      <w:tr>
        <w:tc>
          <w:tcPr/>
          <w:p>
            <w:pPr>
              <w:pStyle w:val="Compact"/>
              <w:jc w:val="left"/>
            </w:pPr>
            <m:oMath>
              <m:r>
                <m:rPr>
                  <m:nor/>
                  <m:sty m:val="i"/>
                </m:rPr>
                <m:t>Post</m:t>
              </m:r>
              <m:r>
                <m:rPr>
                  <m:sty m:val="p"/>
                </m:rPr>
                <m:t>×</m:t>
              </m:r>
              <m:r>
                <m:rPr>
                  <m:nor/>
                  <m:sty m:val="i"/>
                </m:rPr>
                <m:t>Trend</m:t>
              </m:r>
            </m:oMath>
          </w:p>
        </w:tc>
        <w:tc>
          <w:tcPr/>
          <w:p>
            <w:pPr>
              <w:pStyle w:val="Compact"/>
              <w:jc w:val="center"/>
            </w:pPr>
            <m:oMath>
              <m:r>
                <m:rPr>
                  <m:sty m:val="p"/>
                </m:rPr>
                <m:t>−</m:t>
              </m:r>
            </m:oMath>
            <w:r>
              <w:t xml:space="preserve">0.0008</w:t>
            </w:r>
            <m:oMath>
              <m:sSup>
                <m:e>
                  <m:r>
                    <m:t>​</m:t>
                  </m:r>
                </m:e>
                <m:sup>
                  <m:r>
                    <m:rPr>
                      <m:sty m:val="p"/>
                    </m:rPr>
                    <m:t>*</m:t>
                  </m:r>
                  <m:r>
                    <m:rPr>
                      <m:sty m:val="p"/>
                    </m:rPr>
                    <m:t>*</m:t>
                  </m:r>
                  <m:r>
                    <m:rPr>
                      <m:sty m:val="p"/>
                    </m:rPr>
                    <m:t>*</m:t>
                  </m:r>
                </m:sup>
              </m:sSup>
            </m:oMath>
          </w:p>
        </w:tc>
        <w:tc>
          <w:tcPr/>
          <w:p>
            <w:pPr>
              <w:pStyle w:val="Compact"/>
              <w:jc w:val="center"/>
            </w:pPr>
            <w:r>
              <w:t xml:space="preserve">0.0006</w:t>
            </w:r>
            <m:oMath>
              <m:sSup>
                <m:e>
                  <m:r>
                    <m:t>​</m:t>
                  </m:r>
                </m:e>
                <m:sup>
                  <m:r>
                    <m:rPr>
                      <m:sty m:val="p"/>
                    </m:rPr>
                    <m:t>*</m:t>
                  </m:r>
                  <m:r>
                    <m:rPr>
                      <m:sty m:val="p"/>
                    </m:rPr>
                    <m:t>*</m:t>
                  </m:r>
                </m:sup>
              </m:sSup>
            </m:oMath>
          </w:p>
        </w:tc>
        <w:tc>
          <w:tcPr/>
          <w:p>
            <w:pPr>
              <w:pStyle w:val="Compact"/>
              <w:jc w:val="center"/>
            </w:pPr>
            <w:r>
              <w:t xml:space="preserve">0.0005</w:t>
            </w:r>
            <m:oMath>
              <m:sSup>
                <m:e>
                  <m:r>
                    <m:t>​</m:t>
                  </m:r>
                </m:e>
                <m:sup>
                  <m:r>
                    <m:rPr>
                      <m:sty m:val="p"/>
                    </m:rPr>
                    <m:t>*</m:t>
                  </m:r>
                  <m:r>
                    <m:rPr>
                      <m:sty m:val="p"/>
                    </m:rPr>
                    <m:t>*</m:t>
                  </m:r>
                </m:sup>
              </m:sSup>
            </m:oMath>
          </w:p>
        </w:tc>
        <w:tc>
          <w:tcPr/>
          <w:p>
            <w:pPr>
              <w:pStyle w:val="Compact"/>
              <w:jc w:val="center"/>
            </w:pPr>
            <w:r>
              <w:t xml:space="preserve">0.0002</w:t>
            </w:r>
            <m:oMath>
              <m:sSup>
                <m:e>
                  <m:r>
                    <m:t>​</m:t>
                  </m:r>
                </m:e>
                <m:sup>
                  <m:r>
                    <m:rPr>
                      <m:sty m:val="p"/>
                    </m:rPr>
                    <m:t>*</m:t>
                  </m:r>
                </m:sup>
              </m:sSup>
            </m:oMath>
          </w:p>
        </w:tc>
        <w:tc>
          <w:tcPr/>
          <w:p>
            <w:pPr>
              <w:pStyle w:val="Compact"/>
              <w:jc w:val="center"/>
            </w:pPr>
            <w:r>
              <w:t xml:space="preserve">0.0002</w:t>
            </w:r>
          </w:p>
        </w:tc>
      </w:tr>
      <w:tr>
        <w:tc>
          <w:tcPr/>
          <w:p>
            <w:pPr>
              <w:pStyle w:val="Compact"/>
            </w:pPr>
          </w:p>
        </w:tc>
        <w:tc>
          <w:tcPr/>
          <w:p>
            <w:pPr>
              <w:pStyle w:val="Compact"/>
              <w:jc w:val="center"/>
            </w:pPr>
            <w:r>
              <w:t xml:space="preserve">(0.0002)</w:t>
            </w:r>
          </w:p>
        </w:tc>
        <w:tc>
          <w:tcPr/>
          <w:p>
            <w:pPr>
              <w:pStyle w:val="Compact"/>
              <w:jc w:val="center"/>
            </w:pPr>
            <w:r>
              <w:t xml:space="preserve">(0.0002)</w:t>
            </w:r>
          </w:p>
        </w:tc>
        <w:tc>
          <w:tcPr/>
          <w:p>
            <w:pPr>
              <w:pStyle w:val="Compact"/>
              <w:jc w:val="center"/>
            </w:pPr>
            <w:r>
              <w:t xml:space="preserve">(0.0002)</w:t>
            </w:r>
          </w:p>
        </w:tc>
        <w:tc>
          <w:tcPr/>
          <w:p>
            <w:pPr>
              <w:pStyle w:val="Compact"/>
              <w:jc w:val="center"/>
            </w:pPr>
            <w:r>
              <w:t xml:space="preserve">(0.0001)</w:t>
            </w:r>
          </w:p>
        </w:tc>
        <w:tc>
          <w:tcPr/>
          <w:p>
            <w:pPr>
              <w:pStyle w:val="Compact"/>
              <w:jc w:val="center"/>
            </w:pPr>
            <w:r>
              <w:t xml:space="preserve">(0.0002)</w:t>
            </w:r>
          </w:p>
        </w:tc>
      </w:tr>
      <w:tr>
        <w:tc>
          <w:tcPr/>
          <w:p>
            <w:pPr>
              <w:pStyle w:val="Compact"/>
              <w:jc w:val="left"/>
            </w:pPr>
            <w:r>
              <w:rPr>
                <w:rFonts w:hint="eastAsia"/>
              </w:rPr>
              <w:t xml:space="preserve">常数项</w:t>
            </w:r>
          </w:p>
        </w:tc>
        <w:tc>
          <w:tcPr/>
          <w:p>
            <w:pPr>
              <w:pStyle w:val="Compact"/>
              <w:jc w:val="center"/>
            </w:pPr>
            <w:r>
              <w:t xml:space="preserve">0.3482</w:t>
            </w:r>
            <m:oMath>
              <m:sSup>
                <m:e>
                  <m:r>
                    <m:t>​</m:t>
                  </m:r>
                </m:e>
                <m:sup>
                  <m:r>
                    <m:rPr>
                      <m:sty m:val="p"/>
                    </m:rPr>
                    <m:t>*</m:t>
                  </m:r>
                  <m:r>
                    <m:rPr>
                      <m:sty m:val="p"/>
                    </m:rPr>
                    <m:t>*</m:t>
                  </m:r>
                  <m:r>
                    <m:rPr>
                      <m:sty m:val="p"/>
                    </m:rPr>
                    <m:t>*</m:t>
                  </m:r>
                </m:sup>
              </m:sSup>
            </m:oMath>
          </w:p>
        </w:tc>
        <w:tc>
          <w:tcPr/>
          <w:p>
            <w:pPr>
              <w:pStyle w:val="Compact"/>
              <w:jc w:val="center"/>
            </w:pPr>
            <w:r>
              <w:t xml:space="preserve">0.1647</w:t>
            </w:r>
            <m:oMath>
              <m:sSup>
                <m:e>
                  <m:r>
                    <m:t>​</m:t>
                  </m:r>
                </m:e>
                <m:sup>
                  <m:r>
                    <m:rPr>
                      <m:sty m:val="p"/>
                    </m:rPr>
                    <m:t>*</m:t>
                  </m:r>
                  <m:r>
                    <m:rPr>
                      <m:sty m:val="p"/>
                    </m:rPr>
                    <m:t>*</m:t>
                  </m:r>
                  <m:r>
                    <m:rPr>
                      <m:sty m:val="p"/>
                    </m:rPr>
                    <m:t>*</m:t>
                  </m:r>
                </m:sup>
              </m:sSup>
            </m:oMath>
          </w:p>
        </w:tc>
        <w:tc>
          <w:tcPr/>
          <w:p>
            <w:pPr>
              <w:pStyle w:val="Compact"/>
              <w:jc w:val="center"/>
            </w:pPr>
            <w:r>
              <w:t xml:space="preserve">0.1186</w:t>
            </w:r>
            <m:oMath>
              <m:sSup>
                <m:e>
                  <m:r>
                    <m:t>​</m:t>
                  </m:r>
                </m:e>
                <m:sup>
                  <m:r>
                    <m:rPr>
                      <m:sty m:val="p"/>
                    </m:rPr>
                    <m:t>*</m:t>
                  </m:r>
                  <m:r>
                    <m:rPr>
                      <m:sty m:val="p"/>
                    </m:rPr>
                    <m:t>*</m:t>
                  </m:r>
                  <m:r>
                    <m:rPr>
                      <m:sty m:val="p"/>
                    </m:rPr>
                    <m:t>*</m:t>
                  </m:r>
                </m:sup>
              </m:sSup>
            </m:oMath>
          </w:p>
        </w:tc>
        <w:tc>
          <w:tcPr/>
          <w:p>
            <w:pPr>
              <w:pStyle w:val="Compact"/>
              <w:jc w:val="center"/>
            </w:pPr>
            <w:r>
              <w:t xml:space="preserve">0.0312</w:t>
            </w:r>
            <m:oMath>
              <m:sSup>
                <m:e>
                  <m:r>
                    <m:t>​</m:t>
                  </m:r>
                </m:e>
                <m:sup>
                  <m:r>
                    <m:rPr>
                      <m:sty m:val="p"/>
                    </m:rPr>
                    <m:t>*</m:t>
                  </m:r>
                  <m:r>
                    <m:rPr>
                      <m:sty m:val="p"/>
                    </m:rPr>
                    <m:t>*</m:t>
                  </m:r>
                  <m:r>
                    <m:rPr>
                      <m:sty m:val="p"/>
                    </m:rPr>
                    <m:t>*</m:t>
                  </m:r>
                </m:sup>
              </m:sSup>
            </m:oMath>
          </w:p>
        </w:tc>
        <w:tc>
          <w:tcPr/>
          <w:p>
            <w:pPr>
              <w:pStyle w:val="Compact"/>
              <w:jc w:val="center"/>
            </w:pPr>
            <w:r>
              <w:t xml:space="preserve">0.4871</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(0.0030)</w:t>
            </w:r>
          </w:p>
        </w:tc>
        <w:tc>
          <w:tcPr/>
          <w:p>
            <w:pPr>
              <w:pStyle w:val="Compact"/>
              <w:jc w:val="center"/>
            </w:pPr>
            <w:r>
              <w:t xml:space="preserve">(0.0025)</w:t>
            </w:r>
          </w:p>
        </w:tc>
        <w:tc>
          <w:tcPr/>
          <w:p>
            <w:pPr>
              <w:pStyle w:val="Compact"/>
              <w:jc w:val="center"/>
            </w:pPr>
            <w:r>
              <w:t xml:space="preserve">(0.0028)</w:t>
            </w:r>
          </w:p>
        </w:tc>
        <w:tc>
          <w:tcPr/>
          <w:p>
            <w:pPr>
              <w:pStyle w:val="Compact"/>
              <w:jc w:val="center"/>
            </w:pPr>
            <w:r>
              <w:t xml:space="preserve">(0.0023)</w:t>
            </w:r>
          </w:p>
        </w:tc>
        <w:tc>
          <w:tcPr/>
          <w:p>
            <w:pPr>
              <w:pStyle w:val="Compact"/>
              <w:jc w:val="center"/>
            </w:pPr>
            <w:r>
              <w:t xml:space="preserve">(0.0034)</w:t>
            </w:r>
          </w:p>
        </w:tc>
      </w:tr>
      <w:tr>
        <w:tc>
          <w:tcPr/>
          <w:p>
            <w:pPr>
              <w:pStyle w:val="Compact"/>
              <w:jc w:val="left"/>
            </w:pPr>
            <m:oMath>
              <m:r>
                <m:t>N</m:t>
              </m:r>
            </m:oMath>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r>
      <w:tr>
        <w:tc>
          <w:tcPr/>
          <w:p>
            <w:pPr>
              <w:pStyle w:val="Compact"/>
              <w:jc w:val="left"/>
            </w:pPr>
            <m:oMath>
              <m:sSup>
                <m:e>
                  <m:r>
                    <m:t>R</m:t>
                  </m:r>
                </m:e>
                <m:sup>
                  <m:r>
                    <m:t>2</m:t>
                  </m:r>
                </m:sup>
              </m:sSup>
            </m:oMath>
          </w:p>
        </w:tc>
        <w:tc>
          <w:tcPr/>
          <w:p>
            <w:pPr>
              <w:pStyle w:val="Compact"/>
              <w:jc w:val="center"/>
            </w:pPr>
            <w:r>
              <w:t xml:space="preserve">0.693</w:t>
            </w:r>
          </w:p>
        </w:tc>
        <w:tc>
          <w:tcPr/>
          <w:p>
            <w:pPr>
              <w:pStyle w:val="Compact"/>
              <w:jc w:val="center"/>
            </w:pPr>
            <w:r>
              <w:t xml:space="preserve">0.728</w:t>
            </w:r>
          </w:p>
        </w:tc>
        <w:tc>
          <w:tcPr/>
          <w:p>
            <w:pPr>
              <w:pStyle w:val="Compact"/>
              <w:jc w:val="center"/>
            </w:pPr>
            <w:r>
              <w:t xml:space="preserve">0.715</w:t>
            </w:r>
          </w:p>
        </w:tc>
        <w:tc>
          <w:tcPr/>
          <w:p>
            <w:pPr>
              <w:pStyle w:val="Compact"/>
              <w:jc w:val="center"/>
            </w:pPr>
            <w:r>
              <w:t xml:space="preserve">0.542</w:t>
            </w:r>
          </w:p>
        </w:tc>
        <w:tc>
          <w:tcPr/>
          <w:p>
            <w:pPr>
              <w:pStyle w:val="Compact"/>
              <w:jc w:val="center"/>
            </w:pPr>
            <w:r>
              <w:t xml:space="preserve">0.398</w:t>
            </w:r>
          </w:p>
        </w:tc>
      </w:tr>
    </w:tbl>
    <w:bookmarkEnd w:id="48"/>
    <w:p>
      <w:pPr>
        <w:pStyle w:val="BodyText"/>
      </w:pPr>
      <w:r>
        <w:rPr>
          <w:rFonts w:hint="eastAsia"/>
        </w:rPr>
        <w:t xml:space="preserve">注：</w:t>
      </w:r>
      <m:oMath>
        <m:sSup>
          <m:e>
            <m:r>
              <m:t>​</m:t>
            </m:r>
          </m:e>
          <m:sup>
            <m:r>
              <m:rPr>
                <m:sty m:val="p"/>
              </m:rPr>
              <m:t>*</m:t>
            </m:r>
            <m:r>
              <m:rPr>
                <m:sty m:val="p"/>
              </m:rPr>
              <m:t>*</m:t>
            </m:r>
            <m:r>
              <m:rPr>
                <m:sty m:val="p"/>
              </m:rPr>
              <m:t>*</m:t>
            </m:r>
          </m:sup>
        </m:sSup>
        <m:r>
          <m:t>p</m:t>
        </m:r>
        <m:r>
          <m:rPr>
            <m:sty m:val="p"/>
          </m:rPr>
          <m:t>&lt;</m:t>
        </m:r>
        <m:r>
          <m:t>0.001</m:t>
        </m:r>
      </m:oMath>
      <w:r>
        <w:rPr>
          <w:rFonts w:hint="eastAsia"/>
        </w:rPr>
        <w:t xml:space="preserve">，</w:t>
      </w:r>
      <m:oMath>
        <m:sSup>
          <m:e>
            <m:r>
              <m:t>​</m:t>
            </m:r>
          </m:e>
          <m:sup>
            <m:r>
              <m:rPr>
                <m:sty m:val="p"/>
              </m:rPr>
              <m:t>*</m:t>
            </m:r>
            <m:r>
              <m:rPr>
                <m:sty m:val="p"/>
              </m:rPr>
              <m:t>*</m:t>
            </m:r>
          </m:sup>
        </m:sSup>
        <m:r>
          <m:t>p</m:t>
        </m:r>
        <m:r>
          <m:rPr>
            <m:sty m:val="p"/>
          </m:rPr>
          <m:t>&lt;</m:t>
        </m:r>
        <m:r>
          <m:t>0.01</m:t>
        </m:r>
      </m:oMath>
      <w:r>
        <w:rPr>
          <w:rFonts w:hint="eastAsia"/>
        </w:rPr>
        <w:t xml:space="preserve">，</w:t>
      </w:r>
      <m:oMath>
        <m:sSup>
          <m:e>
            <m:r>
              <m:t>​</m:t>
            </m:r>
          </m:e>
          <m:sup>
            <m:r>
              <m:rPr>
                <m:sty m:val="p"/>
              </m:rPr>
              <m:t>*</m:t>
            </m:r>
          </m:sup>
        </m:sSup>
        <m:r>
          <m:t>p</m:t>
        </m:r>
        <m:r>
          <m:rPr>
            <m:sty m:val="p"/>
          </m:rPr>
          <m:t>&lt;</m:t>
        </m:r>
        <m:r>
          <m:t>0.05</m:t>
        </m:r>
      </m:oMath>
      <w:r>
        <w:rPr>
          <w:rFonts w:hint="eastAsia"/>
        </w:rPr>
        <w:t xml:space="preserve">；括号内为Newey-West标准误。</w:t>
      </w:r>
    </w:p>
    <w:p>
      <w:pPr>
        <w:pStyle w:val="BodyText"/>
      </w:pPr>
      <w:r>
        <w:rPr>
          <w:rFonts w:hint="eastAsia"/>
        </w:rPr>
        <w:t xml:space="preserve">表</w:t>
      </w:r>
      <w:hyperlink w:anchor="tab:h3c">
        <w:r>
          <w:rPr>
            <w:rStyle w:val="Hyperlink"/>
          </w:rPr>
          <w:t xml:space="preserve">7</w:t>
        </w:r>
      </w:hyperlink>
      <w:r>
        <w:rPr>
          <w:rFonts w:hint="eastAsia"/>
        </w:rPr>
        <w:t xml:space="preserve">报告了周度总热度的断点检验结果。即时效应为0.0124（</w:t>
      </w:r>
      <m:oMath>
        <m:r>
          <m:t>p</m:t>
        </m:r>
        <m:r>
          <m:rPr>
            <m:sty m:val="p"/>
          </m:rPr>
          <m:t>=</m:t>
        </m:r>
        <m:r>
          <m:t>0.626</m:t>
        </m:r>
      </m:oMath>
      <w:r>
        <w:rPr>
          <w:rFonts w:hint="eastAsia"/>
        </w:rPr>
        <w:t xml:space="preserve">），趋势效应为-0.0089（</w:t>
      </w:r>
      <m:oMath>
        <m:r>
          <m:t>p</m:t>
        </m:r>
        <m:r>
          <m:rPr>
            <m:sty m:val="p"/>
          </m:rPr>
          <m:t>=</m:t>
        </m:r>
        <m:r>
          <m:t>0.734</m:t>
        </m:r>
      </m:oMath>
      <w:r>
        <w:rPr>
          <w:rFonts w:hint="eastAsia"/>
        </w:rPr>
        <w:t xml:space="preserve">），均不显著。这一结果表明，尽管注意力在不同类别间发生了显著再分配，但总量保持稳定，印证了注意力零和约束的存在。监管引发的是注意力的结构性调整而非总量变动。</w:t>
      </w:r>
    </w:p>
    <w:bookmarkStart w:id="49" w:name="tab:h3c"/>
    <w:p>
      <w:pPr>
        <w:pStyle w:val="TableCaption"/>
      </w:pPr>
      <w:r>
        <w:rPr>
          <w:rFonts w:hint="eastAsia"/>
        </w:rPr>
        <w:t xml:space="preserve">周度总热度守恒检验（ITS回归）</w:t>
      </w:r>
    </w:p>
    <w:tbl>
      <w:tblPr>
        <w:tblStyle w:val="Table"/>
        <w:tblW w:type="auto" w:w="0"/>
        <w:tblLook w:firstRow="1" w:lastRow="0" w:firstColumn="0" w:lastColumn="0" w:noHBand="0" w:noVBand="0" w:val="0020"/>
        <w:tblCaption w:val="周度总热度守恒检验（ITS回归）"/>
      </w:tblPr>
      <w:tblGrid>
        <w:gridCol w:w="3960"/>
        <w:gridCol w:w="3960"/>
      </w:tblGrid>
      <w:tr>
        <w:trPr>
          <w:tblHeader w:val="on"/>
        </w:trPr>
        <w:tc>
          <w:tcPr/>
          <w:p>
            <w:pPr>
              <w:pStyle w:val="Compact"/>
              <w:jc w:val="left"/>
            </w:pPr>
            <w:r>
              <w:rPr>
                <w:rFonts w:hint="eastAsia"/>
              </w:rPr>
              <w:t xml:space="preserve">因变量</w:t>
            </w:r>
          </w:p>
        </w:tc>
        <w:tc>
          <w:tcPr/>
          <w:p>
            <w:pPr>
              <w:pStyle w:val="Compact"/>
              <w:jc w:val="center"/>
            </w:pPr>
            <m:oMath>
              <m:r>
                <m:rPr>
                  <m:nor/>
                  <m:sty m:val="i"/>
                </m:rPr>
                <m:t>TotalHeat</m:t>
              </m:r>
            </m:oMath>
            <w:r>
              <w:rPr>
                <w:rFonts w:hint="eastAsia"/>
              </w:rPr>
              <w:t xml:space="preserve">（百万）</w:t>
            </w:r>
          </w:p>
        </w:tc>
      </w:tr>
      <w:tr>
        <w:tc>
          <w:tcPr/>
          <w:p>
            <w:pPr>
              <w:pStyle w:val="Compact"/>
              <w:jc w:val="left"/>
            </w:pPr>
            <m:oMath>
              <m:r>
                <m:rPr>
                  <m:nor/>
                  <m:sty m:val="i"/>
                </m:rPr>
                <m:t>Post</m:t>
              </m:r>
            </m:oMath>
            <w:r>
              <w:rPr>
                <w:rFonts w:hint="eastAsia"/>
              </w:rPr>
              <w:t xml:space="preserve">（即时效应）</w:t>
            </w:r>
          </w:p>
        </w:tc>
        <w:tc>
          <w:tcPr/>
          <w:p>
            <w:pPr>
              <w:pStyle w:val="Compact"/>
              <w:jc w:val="center"/>
            </w:pPr>
            <w:r>
              <w:t xml:space="preserve">0.0124</w:t>
            </w:r>
          </w:p>
        </w:tc>
      </w:tr>
      <w:tr>
        <w:tc>
          <w:tcPr/>
          <w:p>
            <w:pPr>
              <w:pStyle w:val="Compact"/>
            </w:pPr>
          </w:p>
        </w:tc>
        <w:tc>
          <w:tcPr/>
          <w:p>
            <w:pPr>
              <w:pStyle w:val="Compact"/>
              <w:jc w:val="center"/>
            </w:pPr>
            <w:r>
              <w:t xml:space="preserve">(0.0253)</w:t>
            </w:r>
          </w:p>
        </w:tc>
      </w:tr>
      <w:tr>
        <w:tc>
          <w:tcPr/>
          <w:p>
            <w:pPr>
              <w:pStyle w:val="Compact"/>
              <w:jc w:val="left"/>
            </w:pPr>
            <m:oMath>
              <m:r>
                <m:rPr>
                  <m:nor/>
                  <m:sty m:val="i"/>
                </m:rPr>
                <m:t>Trend</m:t>
              </m:r>
            </m:oMath>
            <w:r>
              <w:rPr>
                <w:rFonts w:hint="eastAsia"/>
              </w:rPr>
              <w:t xml:space="preserve">（趋势）</w:t>
            </w:r>
          </w:p>
        </w:tc>
        <w:tc>
          <w:tcPr/>
          <w:p>
            <w:pPr>
              <w:pStyle w:val="Compact"/>
              <w:jc w:val="center"/>
            </w:pPr>
            <w:r>
              <w:t xml:space="preserve">0.0234</w:t>
            </w:r>
          </w:p>
        </w:tc>
      </w:tr>
      <w:tr>
        <w:tc>
          <w:tcPr/>
          <w:p>
            <w:pPr>
              <w:pStyle w:val="Compact"/>
            </w:pPr>
          </w:p>
        </w:tc>
        <w:tc>
          <w:tcPr/>
          <w:p>
            <w:pPr>
              <w:pStyle w:val="Compact"/>
              <w:jc w:val="center"/>
            </w:pPr>
            <w:r>
              <w:t xml:space="preserve">(0.0189)</w:t>
            </w:r>
          </w:p>
        </w:tc>
      </w:tr>
      <w:tr>
        <w:tc>
          <w:tcPr/>
          <w:p>
            <w:pPr>
              <w:pStyle w:val="Compact"/>
              <w:jc w:val="left"/>
            </w:pPr>
            <m:oMath>
              <m:r>
                <m:rPr>
                  <m:nor/>
                  <m:sty m:val="i"/>
                </m:rPr>
                <m:t>Post</m:t>
              </m:r>
              <m:r>
                <m:rPr>
                  <m:sty m:val="p"/>
                </m:rPr>
                <m:t>×</m:t>
              </m:r>
              <m:r>
                <m:rPr>
                  <m:nor/>
                  <m:sty m:val="i"/>
                </m:rPr>
                <m:t>Trend</m:t>
              </m:r>
            </m:oMath>
            <w:r>
              <w:rPr>
                <w:rFonts w:hint="eastAsia"/>
              </w:rPr>
              <w:t xml:space="preserve">（趋势效应）</w:t>
            </w:r>
          </w:p>
        </w:tc>
        <w:tc>
          <w:tcPr/>
          <w:p>
            <w:pPr>
              <w:pStyle w:val="Compact"/>
              <w:jc w:val="center"/>
            </w:pPr>
            <m:oMath>
              <m:r>
                <m:rPr>
                  <m:sty m:val="p"/>
                </m:rPr>
                <m:t>−</m:t>
              </m:r>
            </m:oMath>
            <w:r>
              <w:t xml:space="preserve">0.0089</w:t>
            </w:r>
          </w:p>
        </w:tc>
      </w:tr>
      <w:tr>
        <w:tc>
          <w:tcPr/>
          <w:p>
            <w:pPr>
              <w:pStyle w:val="Compact"/>
            </w:pPr>
          </w:p>
        </w:tc>
        <w:tc>
          <w:tcPr/>
          <w:p>
            <w:pPr>
              <w:pStyle w:val="Compact"/>
              <w:jc w:val="center"/>
            </w:pPr>
            <w:r>
              <w:t xml:space="preserve">(0.0261)</w:t>
            </w:r>
          </w:p>
        </w:tc>
      </w:tr>
      <w:tr>
        <w:tc>
          <w:tcPr/>
          <w:p>
            <w:pPr>
              <w:pStyle w:val="Compact"/>
              <w:jc w:val="left"/>
            </w:pPr>
            <w:r>
              <w:rPr>
                <w:rFonts w:hint="eastAsia"/>
              </w:rPr>
              <w:t xml:space="preserve">常数项</w:t>
            </w:r>
          </w:p>
        </w:tc>
        <w:tc>
          <w:tcPr/>
          <w:p>
            <w:pPr>
              <w:pStyle w:val="Compact"/>
              <w:jc w:val="center"/>
            </w:pPr>
            <w:r>
              <w:t xml:space="preserve">12.452</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(0.167)</w:t>
            </w:r>
          </w:p>
        </w:tc>
      </w:tr>
      <w:tr>
        <w:tc>
          <w:tcPr/>
          <w:p>
            <w:pPr>
              <w:pStyle w:val="Compact"/>
              <w:jc w:val="left"/>
            </w:pPr>
            <m:oMath>
              <m:r>
                <m:t>N</m:t>
              </m:r>
            </m:oMath>
          </w:p>
        </w:tc>
        <w:tc>
          <w:tcPr/>
          <w:p>
            <w:pPr>
              <w:pStyle w:val="Compact"/>
              <w:jc w:val="center"/>
            </w:pPr>
            <w:r>
              <w:t xml:space="preserve">87</w:t>
            </w:r>
          </w:p>
        </w:tc>
      </w:tr>
      <w:tr>
        <w:tc>
          <w:tcPr/>
          <w:p>
            <w:pPr>
              <w:pStyle w:val="Compact"/>
              <w:jc w:val="left"/>
            </w:pPr>
            <m:oMath>
              <m:sSup>
                <m:e>
                  <m:r>
                    <m:t>R</m:t>
                  </m:r>
                </m:e>
                <m:sup>
                  <m:r>
                    <m:t>2</m:t>
                  </m:r>
                </m:sup>
              </m:sSup>
            </m:oMath>
          </w:p>
        </w:tc>
        <w:tc>
          <w:tcPr/>
          <w:p>
            <w:pPr>
              <w:pStyle w:val="Compact"/>
              <w:jc w:val="center"/>
            </w:pPr>
            <w:r>
              <w:t xml:space="preserve">0.234</w:t>
            </w:r>
          </w:p>
        </w:tc>
      </w:tr>
      <w:tr>
        <w:tc>
          <w:tcPr/>
          <w:p>
            <w:pPr>
              <w:pStyle w:val="Compact"/>
              <w:jc w:val="left"/>
            </w:pPr>
            <m:oMath>
              <m:r>
                <m:t>p</m:t>
              </m:r>
            </m:oMath>
            <w:r>
              <w:rPr>
                <w:rFonts w:hint="eastAsia"/>
              </w:rPr>
              <w:t xml:space="preserve">值（</w:t>
            </w:r>
            <m:oMath>
              <m:r>
                <m:rPr>
                  <m:nor/>
                  <m:sty m:val="i"/>
                </m:rPr>
                <m:t>Post</m:t>
              </m:r>
            </m:oMath>
            <w:r>
              <w:rPr>
                <w:rFonts w:hint="eastAsia"/>
              </w:rPr>
              <w:t xml:space="preserve">）</w:t>
            </w:r>
          </w:p>
        </w:tc>
        <w:tc>
          <w:tcPr/>
          <w:p>
            <w:pPr>
              <w:pStyle w:val="Compact"/>
              <w:jc w:val="center"/>
            </w:pPr>
            <w:r>
              <w:t xml:space="preserve">0.626</w:t>
            </w:r>
          </w:p>
        </w:tc>
      </w:tr>
      <w:tr>
        <w:tc>
          <w:tcPr/>
          <w:p>
            <w:pPr>
              <w:pStyle w:val="Compact"/>
              <w:jc w:val="left"/>
            </w:pPr>
            <w:r>
              <w:rPr>
                <w:rFonts w:hint="eastAsia"/>
              </w:rPr>
              <w:t xml:space="preserve">结论</w:t>
            </w:r>
          </w:p>
        </w:tc>
        <w:tc>
          <w:tcPr/>
          <w:p>
            <w:pPr>
              <w:pStyle w:val="Compact"/>
              <w:jc w:val="center"/>
            </w:pPr>
            <w:r>
              <w:rPr>
                <w:rFonts w:hint="eastAsia"/>
              </w:rPr>
              <w:t xml:space="preserve">接受总量守恒假设</w:t>
            </w:r>
          </w:p>
        </w:tc>
      </w:tr>
    </w:tbl>
    <w:bookmarkEnd w:id="49"/>
    <w:p>
      <w:pPr>
        <w:pStyle w:val="BodyText"/>
      </w:pPr>
      <w:r>
        <w:rPr>
          <w:rFonts w:hint="eastAsia"/>
        </w:rPr>
        <w:t xml:space="preserve">注：括号内为Newey-West标准误；总热度为所有话题热度值的周度加总。</w:t>
      </w:r>
    </w:p>
    <w:p>
      <w:pPr>
        <w:pStyle w:val="BodyText"/>
      </w:pPr>
      <w:r>
        <w:rPr>
          <w:rFonts w:hint="eastAsia"/>
        </w:rPr>
        <w:t xml:space="preserve">上述结果验证了</w:t>
      </w:r>
      <w:r>
        <w:rPr>
          <w:rFonts w:hint="eastAsia"/>
        </w:rPr>
        <w:t xml:space="preserve">“水床效应”</w:t>
      </w:r>
      <w:r>
        <w:rPr>
          <w:rFonts w:hint="eastAsia"/>
        </w:rPr>
        <w:t xml:space="preserve">机制：监管提升社会类审核成本的同时，多样性约束限制了单一话题的垄断能力；平台在新约束下重新优化注意力配置，将受挤压的社会类配额再分配至审核成本较低的娱乐类，形成</w:t>
      </w:r>
      <w:r>
        <w:rPr>
          <w:rFonts w:hint="eastAsia"/>
        </w:rPr>
        <w:t xml:space="preserve">“社会类紧缩—娱乐类扩张”</w:t>
      </w:r>
      <w:r>
        <w:rPr>
          <w:rFonts w:hint="eastAsia"/>
        </w:rPr>
        <w:t xml:space="preserve">的跷跷板格局。这一发现揭示了算法治理的非预期后果：多样性提升与社会类质量改善的同时，社会类份额下降可能削弱公共议题的曝光机会，娱乐类份额上升可能重塑用户的信息消费结构。</w:t>
      </w:r>
    </w:p>
    <w:bookmarkEnd w:id="50"/>
    <w:bookmarkStart w:id="52" w:name="注意力密度分化效应检验h4"/>
    <w:p>
      <w:pPr>
        <w:pStyle w:val="Heading2"/>
      </w:pPr>
      <w:r>
        <w:rPr>
          <w:rFonts w:hint="eastAsia"/>
        </w:rPr>
        <w:t xml:space="preserve">注意力密度分化效应检验（H4）</w:t>
      </w:r>
    </w:p>
    <w:p>
      <w:pPr>
        <w:pStyle w:val="FirstParagraph"/>
      </w:pPr>
      <w:r>
        <w:rPr>
          <w:rFonts w:hint="eastAsia"/>
        </w:rPr>
        <w:t xml:space="preserve">假设H4预测，在注意力再分配过程中，社会类呈现</w:t>
      </w:r>
      <w:r>
        <w:rPr>
          <w:rFonts w:hint="eastAsia"/>
        </w:rPr>
        <w:t xml:space="preserve">“少而精”</w:t>
      </w:r>
      <w:r>
        <w:rPr>
          <w:rFonts w:hint="eastAsia"/>
        </w:rPr>
        <w:t xml:space="preserve">调整，娱乐类呈现</w:t>
      </w:r>
      <w:r>
        <w:rPr>
          <w:rFonts w:hint="eastAsia"/>
        </w:rPr>
        <w:t xml:space="preserve">“多且长”</w:t>
      </w:r>
      <w:r>
        <w:rPr>
          <w:rFonts w:hint="eastAsia"/>
        </w:rPr>
        <w:t xml:space="preserve">调整。</w:t>
      </w:r>
    </w:p>
    <w:p>
      <w:pPr>
        <w:pStyle w:val="BodyText"/>
      </w:pPr>
      <w:r>
        <w:rPr>
          <w:rFonts w:hint="eastAsia"/>
        </w:rPr>
        <w:t xml:space="preserve">表</w:t>
      </w:r>
      <w:hyperlink w:anchor="tab:h4">
        <w:r>
          <w:rPr>
            <w:rStyle w:val="Hyperlink"/>
          </w:rPr>
          <w:t xml:space="preserve">8</w:t>
        </w:r>
      </w:hyperlink>
      <w:r>
        <w:rPr>
          <w:rFonts w:hint="eastAsia"/>
        </w:rPr>
        <w:t xml:space="preserve">报告了注意力密度指标的分组ITS回归结果。Panel</w:t>
      </w:r>
      <w:r>
        <w:t xml:space="preserve"> </w:t>
      </w:r>
      <w:r>
        <w:rPr>
          <w:rFonts w:hint="eastAsia"/>
        </w:rPr>
        <w:t xml:space="preserve">A显示，社会类总在榜时长的即时效应为-12.3小时/日（</w:t>
      </w:r>
      <m:oMath>
        <m:r>
          <m:t>p</m:t>
        </m:r>
        <m:r>
          <m:rPr>
            <m:sty m:val="p"/>
          </m:rPr>
          <m:t>=</m:t>
        </m:r>
        <m:r>
          <m:t>0.210</m:t>
        </m:r>
      </m:oMath>
      <w:r>
        <w:rPr>
          <w:rFonts w:hint="eastAsia"/>
        </w:rPr>
        <w:t xml:space="preserve">），不显著；但时间份额即时下降0.0316（</w:t>
      </w:r>
      <m:oMath>
        <m:r>
          <m:t>p</m:t>
        </m:r>
        <m:r>
          <m:rPr>
            <m:sty m:val="p"/>
          </m:rPr>
          <m:t>&lt;</m:t>
        </m:r>
        <m:r>
          <m:t>0.001</m:t>
        </m:r>
      </m:oMath>
      <w:r>
        <w:rPr>
          <w:rFonts w:hint="eastAsia"/>
        </w:rPr>
        <w:t xml:space="preserve">），单条话题平均在榜时长即时上升2.45小时（</w:t>
      </w:r>
      <m:oMath>
        <m:r>
          <m:t>p</m:t>
        </m:r>
        <m:r>
          <m:rPr>
            <m:sty m:val="p"/>
          </m:rPr>
          <m:t>&lt;</m:t>
        </m:r>
        <m:r>
          <m:t>0.001</m:t>
        </m:r>
      </m:oMath>
      <w:r>
        <w:rPr>
          <w:rFonts w:hint="eastAsia"/>
        </w:rPr>
        <w:t xml:space="preserve">）。这表明社会类在总量稳定的情况下，通过压缩上榜话题数量、延长单条话题时长，实现了</w:t>
      </w:r>
      <w:r>
        <w:rPr>
          <w:rFonts w:hint="eastAsia"/>
        </w:rPr>
        <w:t xml:space="preserve">“少而精”</w:t>
      </w:r>
      <w:r>
        <w:rPr>
          <w:rFonts w:hint="eastAsia"/>
        </w:rPr>
        <w:t xml:space="preserve">的调整路径。Panel</w:t>
      </w:r>
      <w:r>
        <w:t xml:space="preserve"> </w:t>
      </w:r>
      <w:r>
        <w:rPr>
          <w:rFonts w:hint="eastAsia"/>
        </w:rPr>
        <w:t xml:space="preserve">B显示，娱乐核心类总在榜时长即时上升18.7小时/日（</w:t>
      </w:r>
      <m:oMath>
        <m:r>
          <m:t>p</m:t>
        </m:r>
        <m:r>
          <m:rPr>
            <m:sty m:val="p"/>
          </m:rPr>
          <m:t>&lt;</m:t>
        </m:r>
        <m:r>
          <m:t>0.001</m:t>
        </m:r>
      </m:oMath>
      <w:r>
        <w:rPr>
          <w:rFonts w:hint="eastAsia"/>
        </w:rPr>
        <w:t xml:space="preserve">），时间份额上升0.0384（</w:t>
      </w:r>
      <m:oMath>
        <m:r>
          <m:t>p</m:t>
        </m:r>
        <m:r>
          <m:rPr>
            <m:sty m:val="p"/>
          </m:rPr>
          <m:t>&lt;</m:t>
        </m:r>
        <m:r>
          <m:t>0.001</m:t>
        </m:r>
      </m:oMath>
      <w:r>
        <w:rPr>
          <w:rFonts w:hint="eastAsia"/>
        </w:rPr>
        <w:t xml:space="preserve">），单条话题平均在榜时长上升1.89小时（</w:t>
      </w:r>
      <m:oMath>
        <m:r>
          <m:t>p</m:t>
        </m:r>
        <m:r>
          <m:rPr>
            <m:sty m:val="p"/>
          </m:rPr>
          <m:t>&lt;</m:t>
        </m:r>
        <m:r>
          <m:t>0.001</m:t>
        </m:r>
      </m:oMath>
      <w:r>
        <w:rPr>
          <w:rFonts w:hint="eastAsia"/>
        </w:rPr>
        <w:t xml:space="preserve">）。娱乐类在总量、份额、密度三个维度均呈显著上升态势，形成</w:t>
      </w:r>
      <w:r>
        <w:rPr>
          <w:rFonts w:hint="eastAsia"/>
        </w:rPr>
        <w:t xml:space="preserve">“多且长”</w:t>
      </w:r>
      <w:r>
        <w:rPr>
          <w:rFonts w:hint="eastAsia"/>
        </w:rPr>
        <w:t xml:space="preserve">的调整格局。</w:t>
      </w:r>
    </w:p>
    <w:bookmarkStart w:id="51" w:name="tab:h4"/>
    <w:p>
      <w:pPr>
        <w:pStyle w:val="TableCaption"/>
      </w:pPr>
      <w:r>
        <w:rPr>
          <w:rFonts w:hint="eastAsia"/>
        </w:rPr>
        <w:t xml:space="preserve">注意力密度分化效应（分组ITS回归）</w:t>
      </w:r>
    </w:p>
    <w:tbl>
      <w:tblPr>
        <w:tblStyle w:val="Table"/>
        <w:tblW w:type="auto" w:w="0"/>
        <w:tblLook w:firstRow="1" w:lastRow="0" w:firstColumn="0" w:lastColumn="0" w:noHBand="0" w:noVBand="0" w:val="0020"/>
        <w:tblCaption w:val="注意力密度分化效应（分组ITS回归）"/>
      </w:tblPr>
      <w:tblGrid>
        <w:gridCol w:w="1980"/>
        <w:gridCol w:w="1980"/>
        <w:gridCol w:w="1980"/>
        <w:gridCol w:w="1980"/>
      </w:tblGrid>
      <w:tr>
        <w:trPr>
          <w:tblHeader w:val="on"/>
        </w:trPr>
        <w:tc>
          <w:tcPr>
            <w:gridSpan w:val="4"/>
          </w:tcPr>
          <w:p>
            <w:pPr>
              <w:pStyle w:val="Compact"/>
              <w:jc w:val="left"/>
            </w:pPr>
            <w:r>
              <w:rPr>
                <w:i/>
                <w:iCs/>
              </w:rPr>
              <w:t xml:space="preserve">Panel </w:t>
            </w:r>
            <w:r>
              <w:rPr>
                <w:rFonts w:hint="eastAsia"/>
                <w:i/>
                <w:iCs/>
              </w:rPr>
              <w:t xml:space="preserve">A：社会类</w:t>
            </w:r>
            <w:r>
              <w:rPr>
                <w:rFonts w:hint="eastAsia"/>
                <w:i/>
                <w:iCs/>
              </w:rPr>
              <w:t xml:space="preserve">“少而精”</w:t>
            </w:r>
            <w:r>
              <w:rPr>
                <w:rFonts w:hint="eastAsia"/>
                <w:i/>
                <w:iCs/>
              </w:rPr>
              <w:t xml:space="preserve">调整</w:t>
            </w:r>
          </w:p>
        </w:tc>
      </w:tr>
      <w:tr>
        <w:tc>
          <w:tcPr/>
          <w:p>
            <w:pPr>
              <w:pStyle w:val="Compact"/>
              <w:jc w:val="left"/>
            </w:pPr>
            <w:r>
              <w:rPr>
                <w:rFonts w:hint="eastAsia"/>
              </w:rPr>
              <w:t xml:space="preserve">因变量</w:t>
            </w:r>
          </w:p>
        </w:tc>
        <w:tc>
          <w:tcPr/>
          <w:p>
            <w:pPr>
              <w:pStyle w:val="Compact"/>
              <w:jc w:val="center"/>
            </w:pPr>
            <w:r>
              <w:t xml:space="preserve">(1)</w:t>
            </w:r>
            <w:r>
              <w:t xml:space="preserve"> </w:t>
            </w:r>
            <w:r>
              <w:rPr>
                <w:rFonts w:hint="eastAsia"/>
              </w:rPr>
              <w:t xml:space="preserve">总在榜时长</w:t>
            </w:r>
          </w:p>
        </w:tc>
        <w:tc>
          <w:tcPr/>
          <w:p>
            <w:pPr>
              <w:pStyle w:val="Compact"/>
              <w:jc w:val="center"/>
            </w:pPr>
            <w:r>
              <w:t xml:space="preserve">(2)</w:t>
            </w:r>
            <w:r>
              <w:t xml:space="preserve"> </w:t>
            </w:r>
            <m:oMath>
              <m:r>
                <m:rPr>
                  <m:nor/>
                  <m:sty m:val="i"/>
                </m:rPr>
                <m:t>Share</m:t>
              </m:r>
            </m:oMath>
          </w:p>
        </w:tc>
        <w:tc>
          <w:tcPr/>
          <w:p>
            <w:pPr>
              <w:pStyle w:val="Compact"/>
              <w:jc w:val="center"/>
            </w:pPr>
            <w:r>
              <w:t xml:space="preserve">(3)</w:t>
            </w:r>
            <w:r>
              <w:t xml:space="preserve"> </w:t>
            </w:r>
            <m:oMath>
              <m:r>
                <m:rPr>
                  <m:nor/>
                  <m:sty m:val="i"/>
                </m:rPr>
                <m:t>Density</m:t>
              </m:r>
            </m:oMath>
          </w:p>
        </w:tc>
      </w:tr>
      <w:tr>
        <w:tc>
          <w:tcPr/>
          <w:p>
            <w:pPr>
              <w:pStyle w:val="Compact"/>
              <w:jc w:val="left"/>
            </w:pPr>
            <m:oMath>
              <m:r>
                <m:rPr>
                  <m:nor/>
                  <m:sty m:val="i"/>
                </m:rPr>
                <m:t>Post</m:t>
              </m:r>
            </m:oMath>
            <w:r>
              <w:rPr>
                <w:rFonts w:hint="eastAsia"/>
              </w:rPr>
              <w:t xml:space="preserve">（即时效应）</w:t>
            </w:r>
          </w:p>
        </w:tc>
        <w:tc>
          <w:tcPr/>
          <w:p>
            <w:pPr>
              <w:pStyle w:val="Compact"/>
              <w:jc w:val="center"/>
            </w:pPr>
            <m:oMath>
              <m:r>
                <m:rPr>
                  <m:sty m:val="p"/>
                </m:rPr>
                <m:t>−</m:t>
              </m:r>
            </m:oMath>
            <w:r>
              <w:t xml:space="preserve">12.3</w:t>
            </w:r>
          </w:p>
        </w:tc>
        <w:tc>
          <w:tcPr/>
          <w:p>
            <w:pPr>
              <w:pStyle w:val="Compact"/>
              <w:jc w:val="center"/>
            </w:pPr>
            <m:oMath>
              <m:r>
                <m:rPr>
                  <m:sty m:val="p"/>
                </m:rPr>
                <m:t>−</m:t>
              </m:r>
            </m:oMath>
            <w:r>
              <w:t xml:space="preserve">0.0316</w:t>
            </w:r>
            <m:oMath>
              <m:sSup>
                <m:e>
                  <m:r>
                    <m:t>​</m:t>
                  </m:r>
                </m:e>
                <m:sup>
                  <m:r>
                    <m:rPr>
                      <m:sty m:val="p"/>
                    </m:rPr>
                    <m:t>*</m:t>
                  </m:r>
                  <m:r>
                    <m:rPr>
                      <m:sty m:val="p"/>
                    </m:rPr>
                    <m:t>*</m:t>
                  </m:r>
                  <m:r>
                    <m:rPr>
                      <m:sty m:val="p"/>
                    </m:rPr>
                    <m:t>*</m:t>
                  </m:r>
                </m:sup>
              </m:sSup>
            </m:oMath>
          </w:p>
        </w:tc>
        <w:tc>
          <w:tcPr/>
          <w:p>
            <w:pPr>
              <w:pStyle w:val="Compact"/>
              <w:jc w:val="center"/>
            </w:pPr>
            <w:r>
              <w:t xml:space="preserve">2.45</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(9.78)</w:t>
            </w:r>
          </w:p>
        </w:tc>
        <w:tc>
          <w:tcPr/>
          <w:p>
            <w:pPr>
              <w:pStyle w:val="Compact"/>
              <w:jc w:val="center"/>
            </w:pPr>
            <w:r>
              <w:t xml:space="preserve">(0.0045)</w:t>
            </w:r>
          </w:p>
        </w:tc>
        <w:tc>
          <w:tcPr/>
          <w:p>
            <w:pPr>
              <w:pStyle w:val="Compact"/>
              <w:jc w:val="center"/>
            </w:pPr>
            <w:r>
              <w:t xml:space="preserve">(0.456)</w:t>
            </w:r>
          </w:p>
        </w:tc>
      </w:tr>
      <w:tr>
        <w:tc>
          <w:tcPr/>
          <w:p>
            <w:pPr>
              <w:pStyle w:val="Compact"/>
              <w:jc w:val="left"/>
            </w:pPr>
            <m:oMath>
              <m:r>
                <m:rPr>
                  <m:nor/>
                  <m:sty m:val="i"/>
                </m:rPr>
                <m:t>Post</m:t>
              </m:r>
              <m:r>
                <m:rPr>
                  <m:sty m:val="p"/>
                </m:rPr>
                <m:t>×</m:t>
              </m:r>
              <m:r>
                <m:rPr>
                  <m:nor/>
                  <m:sty m:val="i"/>
                </m:rPr>
                <m:t>Trend</m:t>
              </m:r>
            </m:oMath>
          </w:p>
        </w:tc>
        <w:tc>
          <w:tcPr/>
          <w:p>
            <w:pPr>
              <w:pStyle w:val="Compact"/>
              <w:jc w:val="center"/>
            </w:pPr>
            <m:oMath>
              <m:r>
                <m:rPr>
                  <m:sty m:val="p"/>
                </m:rPr>
                <m:t>−</m:t>
              </m:r>
            </m:oMath>
            <w:r>
              <w:t xml:space="preserve">0.234</w:t>
            </w:r>
          </w:p>
        </w:tc>
        <w:tc>
          <w:tcPr/>
          <w:p>
            <w:pPr>
              <w:pStyle w:val="Compact"/>
              <w:jc w:val="center"/>
            </w:pPr>
            <m:oMath>
              <m:r>
                <m:rPr>
                  <m:sty m:val="p"/>
                </m:rPr>
                <m:t>−</m:t>
              </m:r>
            </m:oMath>
            <w:r>
              <w:t xml:space="preserve">0.0008</w:t>
            </w:r>
            <m:oMath>
              <m:sSup>
                <m:e>
                  <m:r>
                    <m:t>​</m:t>
                  </m:r>
                </m:e>
                <m:sup>
                  <m:r>
                    <m:rPr>
                      <m:sty m:val="p"/>
                    </m:rPr>
                    <m:t>*</m:t>
                  </m:r>
                  <m:r>
                    <m:rPr>
                      <m:sty m:val="p"/>
                    </m:rPr>
                    <m:t>*</m:t>
                  </m:r>
                  <m:r>
                    <m:rPr>
                      <m:sty m:val="p"/>
                    </m:rPr>
                    <m:t>*</m:t>
                  </m:r>
                </m:sup>
              </m:sSup>
            </m:oMath>
          </w:p>
        </w:tc>
        <w:tc>
          <w:tcPr/>
          <w:p>
            <w:pPr>
              <w:pStyle w:val="Compact"/>
              <w:jc w:val="center"/>
            </w:pPr>
            <w:r>
              <w:t xml:space="preserve">0.0234</w:t>
            </w:r>
            <m:oMath>
              <m:sSup>
                <m:e>
                  <m:r>
                    <m:t>​</m:t>
                  </m:r>
                </m:e>
                <m:sup>
                  <m:r>
                    <m:rPr>
                      <m:sty m:val="p"/>
                    </m:rPr>
                    <m:t>*</m:t>
                  </m:r>
                  <m:r>
                    <m:rPr>
                      <m:sty m:val="p"/>
                    </m:rPr>
                    <m:t>*</m:t>
                  </m:r>
                </m:sup>
              </m:sSup>
            </m:oMath>
          </w:p>
        </w:tc>
      </w:tr>
      <w:tr>
        <w:tc>
          <w:tcPr/>
          <w:p>
            <w:pPr>
              <w:pStyle w:val="Compact"/>
            </w:pPr>
          </w:p>
        </w:tc>
        <w:tc>
          <w:tcPr/>
          <w:p>
            <w:pPr>
              <w:pStyle w:val="Compact"/>
              <w:jc w:val="center"/>
            </w:pPr>
            <w:r>
              <w:t xml:space="preserve">(0.189)</w:t>
            </w:r>
          </w:p>
        </w:tc>
        <w:tc>
          <w:tcPr/>
          <w:p>
            <w:pPr>
              <w:pStyle w:val="Compact"/>
              <w:jc w:val="center"/>
            </w:pPr>
            <w:r>
              <w:t xml:space="preserve">(0.0002)</w:t>
            </w:r>
          </w:p>
        </w:tc>
        <w:tc>
          <w:tcPr/>
          <w:p>
            <w:pPr>
              <w:pStyle w:val="Compact"/>
              <w:jc w:val="center"/>
            </w:pPr>
            <w:r>
              <w:t xml:space="preserve">(0.0089)</w:t>
            </w:r>
          </w:p>
        </w:tc>
      </w:tr>
      <w:tr>
        <w:tc>
          <w:tcPr/>
          <w:p>
            <w:pPr>
              <w:pStyle w:val="Compact"/>
              <w:jc w:val="left"/>
            </w:pPr>
            <m:oMath>
              <m:r>
                <m:t>N</m:t>
              </m:r>
            </m:oMath>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r>
      <w:tr>
        <w:tc>
          <w:tcPr/>
          <w:p>
            <w:pPr>
              <w:pStyle w:val="Compact"/>
              <w:jc w:val="left"/>
            </w:pPr>
            <m:oMath>
              <m:sSup>
                <m:e>
                  <m:r>
                    <m:t>R</m:t>
                  </m:r>
                </m:e>
                <m:sup>
                  <m:r>
                    <m:t>2</m:t>
                  </m:r>
                </m:sup>
              </m:sSup>
            </m:oMath>
          </w:p>
        </w:tc>
        <w:tc>
          <w:tcPr/>
          <w:p>
            <w:pPr>
              <w:pStyle w:val="Compact"/>
              <w:jc w:val="center"/>
            </w:pPr>
            <w:r>
              <w:t xml:space="preserve">0.412</w:t>
            </w:r>
          </w:p>
        </w:tc>
        <w:tc>
          <w:tcPr/>
          <w:p>
            <w:pPr>
              <w:pStyle w:val="Compact"/>
              <w:jc w:val="center"/>
            </w:pPr>
            <w:r>
              <w:t xml:space="preserve">0.693</w:t>
            </w:r>
          </w:p>
        </w:tc>
        <w:tc>
          <w:tcPr/>
          <w:p>
            <w:pPr>
              <w:pStyle w:val="Compact"/>
              <w:jc w:val="center"/>
            </w:pPr>
            <w:r>
              <w:t xml:space="preserve">0.635</w:t>
            </w:r>
          </w:p>
        </w:tc>
      </w:tr>
      <w:tr>
        <w:tc>
          <w:tcPr>
            <w:gridSpan w:val="4"/>
          </w:tcPr>
          <w:p>
            <w:pPr>
              <w:pStyle w:val="Compact"/>
              <w:jc w:val="left"/>
            </w:pPr>
            <w:r>
              <w:rPr>
                <w:i/>
                <w:iCs/>
              </w:rPr>
              <w:t xml:space="preserve">Panel </w:t>
            </w:r>
            <w:r>
              <w:rPr>
                <w:rFonts w:hint="eastAsia"/>
                <w:i/>
                <w:iCs/>
              </w:rPr>
              <w:t xml:space="preserve">B：娱乐核心类</w:t>
            </w:r>
            <w:r>
              <w:rPr>
                <w:rFonts w:hint="eastAsia"/>
                <w:i/>
                <w:iCs/>
              </w:rPr>
              <w:t xml:space="preserve">“多且长”</w:t>
            </w:r>
            <w:r>
              <w:rPr>
                <w:rFonts w:hint="eastAsia"/>
                <w:i/>
                <w:iCs/>
              </w:rPr>
              <w:t xml:space="preserve">调整</w:t>
            </w:r>
          </w:p>
        </w:tc>
      </w:tr>
      <w:tr>
        <w:tc>
          <w:tcPr/>
          <w:p>
            <w:pPr>
              <w:pStyle w:val="Compact"/>
              <w:jc w:val="left"/>
            </w:pPr>
            <w:r>
              <w:rPr>
                <w:rFonts w:hint="eastAsia"/>
              </w:rPr>
              <w:t xml:space="preserve">因变量</w:t>
            </w:r>
          </w:p>
        </w:tc>
        <w:tc>
          <w:tcPr/>
          <w:p>
            <w:pPr>
              <w:pStyle w:val="Compact"/>
              <w:jc w:val="center"/>
            </w:pPr>
            <w:r>
              <w:t xml:space="preserve">(4)</w:t>
            </w:r>
            <w:r>
              <w:t xml:space="preserve"> </w:t>
            </w:r>
            <w:r>
              <w:rPr>
                <w:rFonts w:hint="eastAsia"/>
              </w:rPr>
              <w:t xml:space="preserve">总在榜时长</w:t>
            </w:r>
          </w:p>
        </w:tc>
        <w:tc>
          <w:tcPr/>
          <w:p>
            <w:pPr>
              <w:pStyle w:val="Compact"/>
              <w:jc w:val="center"/>
            </w:pPr>
            <w:r>
              <w:t xml:space="preserve">(5)</w:t>
            </w:r>
            <w:r>
              <w:t xml:space="preserve"> </w:t>
            </w:r>
            <m:oMath>
              <m:r>
                <m:rPr>
                  <m:nor/>
                  <m:sty m:val="i"/>
                </m:rPr>
                <m:t>Share</m:t>
              </m:r>
            </m:oMath>
          </w:p>
        </w:tc>
        <w:tc>
          <w:tcPr/>
          <w:p>
            <w:pPr>
              <w:pStyle w:val="Compact"/>
              <w:jc w:val="center"/>
            </w:pPr>
            <w:r>
              <w:t xml:space="preserve">(6)</w:t>
            </w:r>
            <w:r>
              <w:t xml:space="preserve"> </w:t>
            </w:r>
            <m:oMath>
              <m:r>
                <m:rPr>
                  <m:nor/>
                  <m:sty m:val="i"/>
                </m:rPr>
                <m:t>Density</m:t>
              </m:r>
            </m:oMath>
          </w:p>
        </w:tc>
      </w:tr>
      <w:tr>
        <w:tc>
          <w:tcPr/>
          <w:p>
            <w:pPr>
              <w:pStyle w:val="Compact"/>
              <w:jc w:val="left"/>
            </w:pPr>
            <w:r>
              <w:rPr>
                <w:rFonts w:hint="eastAsia"/>
                <w:i/>
                <w:iCs/>
              </w:rPr>
              <w:t xml:space="preserve">娱乐核心类</w:t>
            </w:r>
          </w:p>
        </w:tc>
        <w:tc>
          <w:tcPr/>
          <w:p>
            <w:pPr>
              <w:pStyle w:val="Compact"/>
            </w:pPr>
          </w:p>
        </w:tc>
        <w:tc>
          <w:tcPr/>
          <w:p>
            <w:pPr>
              <w:pStyle w:val="Compact"/>
            </w:pPr>
          </w:p>
        </w:tc>
        <w:tc>
          <w:tcPr/>
          <w:p>
            <w:pPr>
              <w:pStyle w:val="Compact"/>
            </w:pPr>
          </w:p>
        </w:tc>
      </w:tr>
      <w:tr>
        <w:tc>
          <w:tcPr/>
          <w:p>
            <w:pPr>
              <w:pStyle w:val="Compact"/>
              <w:jc w:val="left"/>
            </w:pPr>
            <m:oMath>
              <m:r>
                <m:rPr>
                  <m:nor/>
                  <m:sty m:val="i"/>
                </m:rPr>
                <m:t>Post</m:t>
              </m:r>
            </m:oMath>
            <w:r>
              <w:rPr>
                <w:rFonts w:hint="eastAsia"/>
              </w:rPr>
              <w:t xml:space="preserve">（即时效应）</w:t>
            </w:r>
          </w:p>
        </w:tc>
        <w:tc>
          <w:tcPr/>
          <w:p>
            <w:pPr>
              <w:pStyle w:val="Compact"/>
              <w:jc w:val="center"/>
            </w:pPr>
            <w:r>
              <w:t xml:space="preserve">18.7</w:t>
            </w:r>
            <m:oMath>
              <m:sSup>
                <m:e>
                  <m:r>
                    <m:t>​</m:t>
                  </m:r>
                </m:e>
                <m:sup>
                  <m:r>
                    <m:rPr>
                      <m:sty m:val="p"/>
                    </m:rPr>
                    <m:t>*</m:t>
                  </m:r>
                  <m:r>
                    <m:rPr>
                      <m:sty m:val="p"/>
                    </m:rPr>
                    <m:t>*</m:t>
                  </m:r>
                  <m:r>
                    <m:rPr>
                      <m:sty m:val="p"/>
                    </m:rPr>
                    <m:t>*</m:t>
                  </m:r>
                </m:sup>
              </m:sSup>
            </m:oMath>
          </w:p>
        </w:tc>
        <w:tc>
          <w:tcPr/>
          <w:p>
            <w:pPr>
              <w:pStyle w:val="Compact"/>
              <w:jc w:val="center"/>
            </w:pPr>
            <w:r>
              <w:t xml:space="preserve">0.0384</w:t>
            </w:r>
            <m:oMath>
              <m:sSup>
                <m:e>
                  <m:r>
                    <m:t>​</m:t>
                  </m:r>
                </m:e>
                <m:sup>
                  <m:r>
                    <m:rPr>
                      <m:sty m:val="p"/>
                    </m:rPr>
                    <m:t>*</m:t>
                  </m:r>
                  <m:r>
                    <m:rPr>
                      <m:sty m:val="p"/>
                    </m:rPr>
                    <m:t>*</m:t>
                  </m:r>
                  <m:r>
                    <m:rPr>
                      <m:sty m:val="p"/>
                    </m:rPr>
                    <m:t>*</m:t>
                  </m:r>
                </m:sup>
              </m:sSup>
            </m:oMath>
          </w:p>
        </w:tc>
        <w:tc>
          <w:tcPr/>
          <w:p>
            <w:pPr>
              <w:pStyle w:val="Compact"/>
              <w:jc w:val="center"/>
            </w:pPr>
            <w:r>
              <w:t xml:space="preserve">1.89</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(3.45)</w:t>
            </w:r>
          </w:p>
        </w:tc>
        <w:tc>
          <w:tcPr/>
          <w:p>
            <w:pPr>
              <w:pStyle w:val="Compact"/>
              <w:jc w:val="center"/>
            </w:pPr>
            <w:r>
              <w:t xml:space="preserve">(0.0038)</w:t>
            </w:r>
          </w:p>
        </w:tc>
        <w:tc>
          <w:tcPr/>
          <w:p>
            <w:pPr>
              <w:pStyle w:val="Compact"/>
              <w:jc w:val="center"/>
            </w:pPr>
            <w:r>
              <w:t xml:space="preserve">(0.389)</w:t>
            </w:r>
          </w:p>
        </w:tc>
      </w:tr>
      <w:tr>
        <w:tc>
          <w:tcPr/>
          <w:p>
            <w:pPr>
              <w:pStyle w:val="Compact"/>
              <w:jc w:val="left"/>
            </w:pPr>
            <m:oMath>
              <m:r>
                <m:rPr>
                  <m:nor/>
                  <m:sty m:val="i"/>
                </m:rPr>
                <m:t>Post</m:t>
              </m:r>
              <m:r>
                <m:rPr>
                  <m:sty m:val="p"/>
                </m:rPr>
                <m:t>×</m:t>
              </m:r>
              <m:r>
                <m:rPr>
                  <m:nor/>
                  <m:sty m:val="i"/>
                </m:rPr>
                <m:t>Trend</m:t>
              </m:r>
            </m:oMath>
          </w:p>
        </w:tc>
        <w:tc>
          <w:tcPr/>
          <w:p>
            <w:pPr>
              <w:pStyle w:val="Compact"/>
              <w:jc w:val="center"/>
            </w:pPr>
            <w:r>
              <w:t xml:space="preserve">0.156</w:t>
            </w:r>
            <m:oMath>
              <m:sSup>
                <m:e>
                  <m:r>
                    <m:t>​</m:t>
                  </m:r>
                </m:e>
                <m:sup>
                  <m:r>
                    <m:rPr>
                      <m:sty m:val="p"/>
                    </m:rPr>
                    <m:t>*</m:t>
                  </m:r>
                  <m:r>
                    <m:rPr>
                      <m:sty m:val="p"/>
                    </m:rPr>
                    <m:t>*</m:t>
                  </m:r>
                </m:sup>
              </m:sSup>
            </m:oMath>
          </w:p>
        </w:tc>
        <w:tc>
          <w:tcPr/>
          <w:p>
            <w:pPr>
              <w:pStyle w:val="Compact"/>
              <w:jc w:val="center"/>
            </w:pPr>
            <w:r>
              <w:t xml:space="preserve">0.0006</w:t>
            </w:r>
            <m:oMath>
              <m:sSup>
                <m:e>
                  <m:r>
                    <m:t>​</m:t>
                  </m:r>
                </m:e>
                <m:sup>
                  <m:r>
                    <m:rPr>
                      <m:sty m:val="p"/>
                    </m:rPr>
                    <m:t>*</m:t>
                  </m:r>
                  <m:r>
                    <m:rPr>
                      <m:sty m:val="p"/>
                    </m:rPr>
                    <m:t>*</m:t>
                  </m:r>
                </m:sup>
              </m:sSup>
            </m:oMath>
          </w:p>
        </w:tc>
        <w:tc>
          <w:tcPr/>
          <w:p>
            <w:pPr>
              <w:pStyle w:val="Compact"/>
              <w:jc w:val="center"/>
            </w:pPr>
            <w:r>
              <w:t xml:space="preserve">0.0156</w:t>
            </w:r>
            <m:oMath>
              <m:sSup>
                <m:e>
                  <m:r>
                    <m:t>​</m:t>
                  </m:r>
                </m:e>
                <m:sup>
                  <m:r>
                    <m:rPr>
                      <m:sty m:val="p"/>
                    </m:rPr>
                    <m:t>*</m:t>
                  </m:r>
                </m:sup>
              </m:sSup>
            </m:oMath>
          </w:p>
        </w:tc>
      </w:tr>
      <w:tr>
        <w:tc>
          <w:tcPr/>
          <w:p>
            <w:pPr>
              <w:pStyle w:val="Compact"/>
            </w:pPr>
          </w:p>
        </w:tc>
        <w:tc>
          <w:tcPr/>
          <w:p>
            <w:pPr>
              <w:pStyle w:val="Compact"/>
              <w:jc w:val="center"/>
            </w:pPr>
            <w:r>
              <w:t xml:space="preserve">(0.067)</w:t>
            </w:r>
          </w:p>
        </w:tc>
        <w:tc>
          <w:tcPr/>
          <w:p>
            <w:pPr>
              <w:pStyle w:val="Compact"/>
              <w:jc w:val="center"/>
            </w:pPr>
            <w:r>
              <w:t xml:space="preserve">(0.0002)</w:t>
            </w:r>
          </w:p>
        </w:tc>
        <w:tc>
          <w:tcPr/>
          <w:p>
            <w:pPr>
              <w:pStyle w:val="Compact"/>
              <w:jc w:val="center"/>
            </w:pPr>
            <w:r>
              <w:t xml:space="preserve">(0.0078)</w:t>
            </w:r>
          </w:p>
        </w:tc>
      </w:tr>
      <w:tr>
        <w:tc>
          <w:tcPr/>
          <w:p>
            <w:pPr>
              <w:pStyle w:val="Compact"/>
              <w:jc w:val="left"/>
            </w:pPr>
            <w:r>
              <w:rPr>
                <w:rFonts w:hint="eastAsia"/>
                <w:i/>
                <w:iCs/>
              </w:rPr>
              <w:t xml:space="preserve">明星类</w:t>
            </w:r>
          </w:p>
        </w:tc>
        <w:tc>
          <w:tcPr/>
          <w:p>
            <w:pPr>
              <w:pStyle w:val="Compact"/>
            </w:pPr>
          </w:p>
        </w:tc>
        <w:tc>
          <w:tcPr/>
          <w:p>
            <w:pPr>
              <w:pStyle w:val="Compact"/>
            </w:pPr>
          </w:p>
        </w:tc>
        <w:tc>
          <w:tcPr/>
          <w:p>
            <w:pPr>
              <w:pStyle w:val="Compact"/>
            </w:pPr>
          </w:p>
        </w:tc>
      </w:tr>
      <w:tr>
        <w:tc>
          <w:tcPr/>
          <w:p>
            <w:pPr>
              <w:pStyle w:val="Compact"/>
              <w:jc w:val="left"/>
            </w:pPr>
            <m:oMath>
              <m:r>
                <m:rPr>
                  <m:nor/>
                  <m:sty m:val="i"/>
                </m:rPr>
                <m:t>Post</m:t>
              </m:r>
            </m:oMath>
            <w:r>
              <w:rPr>
                <w:rFonts w:hint="eastAsia"/>
              </w:rPr>
              <w:t xml:space="preserve">（即时效应）</w:t>
            </w:r>
          </w:p>
        </w:tc>
        <w:tc>
          <w:tcPr/>
          <w:p>
            <w:pPr>
              <w:pStyle w:val="Compact"/>
              <w:jc w:val="center"/>
            </w:pPr>
            <w:r>
              <w:t xml:space="preserve">16.4</w:t>
            </w:r>
            <m:oMath>
              <m:sSup>
                <m:e>
                  <m:r>
                    <m:t>​</m:t>
                  </m:r>
                </m:e>
                <m:sup>
                  <m:r>
                    <m:rPr>
                      <m:sty m:val="p"/>
                    </m:rPr>
                    <m:t>*</m:t>
                  </m:r>
                  <m:r>
                    <m:rPr>
                      <m:sty m:val="p"/>
                    </m:rPr>
                    <m:t>*</m:t>
                  </m:r>
                  <m:r>
                    <m:rPr>
                      <m:sty m:val="p"/>
                    </m:rPr>
                    <m:t>*</m:t>
                  </m:r>
                </m:sup>
              </m:sSup>
            </m:oMath>
          </w:p>
        </w:tc>
        <w:tc>
          <w:tcPr/>
          <w:p>
            <w:pPr>
              <w:pStyle w:val="Compact"/>
              <w:jc w:val="center"/>
            </w:pPr>
            <w:r>
              <w:t xml:space="preserve">0.0361</w:t>
            </w:r>
            <m:oMath>
              <m:sSup>
                <m:e>
                  <m:r>
                    <m:t>​</m:t>
                  </m:r>
                </m:e>
                <m:sup>
                  <m:r>
                    <m:rPr>
                      <m:sty m:val="p"/>
                    </m:rPr>
                    <m:t>*</m:t>
                  </m:r>
                  <m:r>
                    <m:rPr>
                      <m:sty m:val="p"/>
                    </m:rPr>
                    <m:t>*</m:t>
                  </m:r>
                  <m:r>
                    <m:rPr>
                      <m:sty m:val="p"/>
                    </m:rPr>
                    <m:t>*</m:t>
                  </m:r>
                </m:sup>
              </m:sSup>
            </m:oMath>
          </w:p>
        </w:tc>
        <w:tc>
          <w:tcPr/>
          <w:p>
            <w:pPr>
              <w:pStyle w:val="Compact"/>
              <w:jc w:val="center"/>
            </w:pPr>
            <w:r>
              <w:t xml:space="preserve">1.67</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(2.89)</w:t>
            </w:r>
          </w:p>
        </w:tc>
        <w:tc>
          <w:tcPr/>
          <w:p>
            <w:pPr>
              <w:pStyle w:val="Compact"/>
              <w:jc w:val="center"/>
            </w:pPr>
            <w:r>
              <w:t xml:space="preserve">(0.0042)</w:t>
            </w:r>
          </w:p>
        </w:tc>
        <w:tc>
          <w:tcPr/>
          <w:p>
            <w:pPr>
              <w:pStyle w:val="Compact"/>
              <w:jc w:val="center"/>
            </w:pPr>
            <w:r>
              <w:t xml:space="preserve">(0.345)</w:t>
            </w:r>
          </w:p>
        </w:tc>
      </w:tr>
      <w:tr>
        <w:tc>
          <w:tcPr/>
          <w:p>
            <w:pPr>
              <w:pStyle w:val="Compact"/>
              <w:jc w:val="left"/>
            </w:pPr>
            <w:r>
              <w:rPr>
                <w:rFonts w:hint="eastAsia"/>
                <w:i/>
                <w:iCs/>
              </w:rPr>
              <w:t xml:space="preserve">游戏类</w:t>
            </w:r>
          </w:p>
        </w:tc>
        <w:tc>
          <w:tcPr/>
          <w:p>
            <w:pPr>
              <w:pStyle w:val="Compact"/>
            </w:pPr>
          </w:p>
        </w:tc>
        <w:tc>
          <w:tcPr/>
          <w:p>
            <w:pPr>
              <w:pStyle w:val="Compact"/>
            </w:pPr>
          </w:p>
        </w:tc>
        <w:tc>
          <w:tcPr/>
          <w:p>
            <w:pPr>
              <w:pStyle w:val="Compact"/>
            </w:pPr>
          </w:p>
        </w:tc>
      </w:tr>
      <w:tr>
        <w:tc>
          <w:tcPr/>
          <w:p>
            <w:pPr>
              <w:pStyle w:val="Compact"/>
              <w:jc w:val="left"/>
            </w:pPr>
            <m:oMath>
              <m:r>
                <m:rPr>
                  <m:nor/>
                  <m:sty m:val="i"/>
                </m:rPr>
                <m:t>Post</m:t>
              </m:r>
            </m:oMath>
            <w:r>
              <w:rPr>
                <w:rFonts w:hint="eastAsia"/>
              </w:rPr>
              <w:t xml:space="preserve">（即时效应）</w:t>
            </w:r>
          </w:p>
        </w:tc>
        <w:tc>
          <w:tcPr/>
          <w:p>
            <w:pPr>
              <w:pStyle w:val="Compact"/>
              <w:jc w:val="center"/>
            </w:pPr>
            <w:r>
              <w:t xml:space="preserve">5.2</w:t>
            </w:r>
            <m:oMath>
              <m:sSup>
                <m:e>
                  <m:r>
                    <m:t>​</m:t>
                  </m:r>
                </m:e>
                <m:sup>
                  <m:r>
                    <m:rPr>
                      <m:sty m:val="p"/>
                    </m:rPr>
                    <m:t>*</m:t>
                  </m:r>
                  <m:r>
                    <m:rPr>
                      <m:sty m:val="p"/>
                    </m:rPr>
                    <m:t>*</m:t>
                  </m:r>
                </m:sup>
              </m:sSup>
            </m:oMath>
          </w:p>
        </w:tc>
        <w:tc>
          <w:tcPr/>
          <w:p>
            <w:pPr>
              <w:pStyle w:val="Compact"/>
              <w:jc w:val="center"/>
            </w:pPr>
            <w:r>
              <w:t xml:space="preserve">0.0112</w:t>
            </w:r>
            <m:oMath>
              <m:sSup>
                <m:e>
                  <m:r>
                    <m:t>​</m:t>
                  </m:r>
                </m:e>
                <m:sup>
                  <m:r>
                    <m:rPr>
                      <m:sty m:val="p"/>
                    </m:rPr>
                    <m:t>*</m:t>
                  </m:r>
                  <m:r>
                    <m:rPr>
                      <m:sty m:val="p"/>
                    </m:rPr>
                    <m:t>*</m:t>
                  </m:r>
                </m:sup>
              </m:sSup>
            </m:oMath>
          </w:p>
        </w:tc>
        <w:tc>
          <w:tcPr/>
          <w:p>
            <w:pPr>
              <w:pStyle w:val="Compact"/>
              <w:jc w:val="center"/>
            </w:pPr>
            <w:r>
              <w:t xml:space="preserve">0.84</w:t>
            </w:r>
            <m:oMath>
              <m:sSup>
                <m:e>
                  <m:r>
                    <m:t>​</m:t>
                  </m:r>
                </m:e>
                <m:sup>
                  <m:r>
                    <m:rPr>
                      <m:sty m:val="p"/>
                    </m:rPr>
                    <m:t>*</m:t>
                  </m:r>
                </m:sup>
              </m:sSup>
            </m:oMath>
          </w:p>
        </w:tc>
      </w:tr>
      <w:tr>
        <w:tc>
          <w:tcPr/>
          <w:p>
            <w:pPr>
              <w:pStyle w:val="Compact"/>
            </w:pPr>
          </w:p>
        </w:tc>
        <w:tc>
          <w:tcPr/>
          <w:p>
            <w:pPr>
              <w:pStyle w:val="Compact"/>
              <w:jc w:val="center"/>
            </w:pPr>
            <w:r>
              <w:t xml:space="preserve">(1.95)</w:t>
            </w:r>
          </w:p>
        </w:tc>
        <w:tc>
          <w:tcPr/>
          <w:p>
            <w:pPr>
              <w:pStyle w:val="Compact"/>
              <w:jc w:val="center"/>
            </w:pPr>
            <w:r>
              <w:t xml:space="preserve">(0.0035)</w:t>
            </w:r>
          </w:p>
        </w:tc>
        <w:tc>
          <w:tcPr/>
          <w:p>
            <w:pPr>
              <w:pStyle w:val="Compact"/>
              <w:jc w:val="center"/>
            </w:pPr>
            <w:r>
              <w:t xml:space="preserve">(0.389)</w:t>
            </w:r>
          </w:p>
        </w:tc>
      </w:tr>
      <w:tr>
        <w:tc>
          <w:tcPr/>
          <w:p>
            <w:pPr>
              <w:pStyle w:val="Compact"/>
              <w:jc w:val="left"/>
            </w:pPr>
            <m:oMath>
              <m:r>
                <m:t>N</m:t>
              </m:r>
            </m:oMath>
          </w:p>
        </w:tc>
        <w:tc>
          <w:tcPr/>
          <w:p>
            <w:pPr>
              <w:pStyle w:val="Compact"/>
              <w:jc w:val="center"/>
            </w:pPr>
            <w:r>
              <w:t xml:space="preserve">608</w:t>
            </w:r>
          </w:p>
        </w:tc>
        <w:tc>
          <w:tcPr/>
          <w:p>
            <w:pPr>
              <w:pStyle w:val="Compact"/>
              <w:jc w:val="center"/>
            </w:pPr>
            <w:r>
              <w:t xml:space="preserve">608</w:t>
            </w:r>
          </w:p>
        </w:tc>
        <w:tc>
          <w:tcPr/>
          <w:p>
            <w:pPr>
              <w:pStyle w:val="Compact"/>
              <w:jc w:val="center"/>
            </w:pPr>
            <w:r>
              <w:t xml:space="preserve">608</w:t>
            </w:r>
          </w:p>
        </w:tc>
      </w:tr>
      <w:tr>
        <w:tc>
          <w:tcPr/>
          <w:p>
            <w:pPr>
              <w:pStyle w:val="Compact"/>
              <w:jc w:val="left"/>
            </w:pPr>
            <m:oMath>
              <m:sSup>
                <m:e>
                  <m:r>
                    <m:t>R</m:t>
                  </m:r>
                </m:e>
                <m:sup>
                  <m:r>
                    <m:t>2</m:t>
                  </m:r>
                </m:sup>
              </m:sSup>
            </m:oMath>
          </w:p>
        </w:tc>
        <w:tc>
          <w:tcPr/>
          <w:p>
            <w:pPr>
              <w:pStyle w:val="Compact"/>
              <w:jc w:val="center"/>
            </w:pPr>
            <w:r>
              <w:t xml:space="preserve">0.567</w:t>
            </w:r>
          </w:p>
        </w:tc>
        <w:tc>
          <w:tcPr/>
          <w:p>
            <w:pPr>
              <w:pStyle w:val="Compact"/>
              <w:jc w:val="center"/>
            </w:pPr>
            <w:r>
              <w:t xml:space="preserve">0.728</w:t>
            </w:r>
          </w:p>
        </w:tc>
        <w:tc>
          <w:tcPr/>
          <w:p>
            <w:pPr>
              <w:pStyle w:val="Compact"/>
              <w:jc w:val="center"/>
            </w:pPr>
            <w:r>
              <w:t xml:space="preserve">0.542</w:t>
            </w:r>
          </w:p>
        </w:tc>
      </w:tr>
    </w:tbl>
    <w:bookmarkEnd w:id="51"/>
    <w:p>
      <w:pPr>
        <w:pStyle w:val="BodyText"/>
      </w:pPr>
      <w:r>
        <w:rPr>
          <w:rFonts w:hint="eastAsia"/>
        </w:rPr>
        <w:t xml:space="preserve">注：</w:t>
      </w:r>
      <m:oMath>
        <m:sSup>
          <m:e>
            <m:r>
              <m:t>​</m:t>
            </m:r>
          </m:e>
          <m:sup>
            <m:r>
              <m:rPr>
                <m:sty m:val="p"/>
              </m:rPr>
              <m:t>*</m:t>
            </m:r>
            <m:r>
              <m:rPr>
                <m:sty m:val="p"/>
              </m:rPr>
              <m:t>*</m:t>
            </m:r>
            <m:r>
              <m:rPr>
                <m:sty m:val="p"/>
              </m:rPr>
              <m:t>*</m:t>
            </m:r>
          </m:sup>
        </m:sSup>
        <m:r>
          <m:t>p</m:t>
        </m:r>
        <m:r>
          <m:rPr>
            <m:sty m:val="p"/>
          </m:rPr>
          <m:t>&lt;</m:t>
        </m:r>
        <m:r>
          <m:t>0.001</m:t>
        </m:r>
      </m:oMath>
      <w:r>
        <w:rPr>
          <w:rFonts w:hint="eastAsia"/>
        </w:rPr>
        <w:t xml:space="preserve">，</w:t>
      </w:r>
      <m:oMath>
        <m:sSup>
          <m:e>
            <m:r>
              <m:t>​</m:t>
            </m:r>
          </m:e>
          <m:sup>
            <m:r>
              <m:rPr>
                <m:sty m:val="p"/>
              </m:rPr>
              <m:t>*</m:t>
            </m:r>
            <m:r>
              <m:rPr>
                <m:sty m:val="p"/>
              </m:rPr>
              <m:t>*</m:t>
            </m:r>
          </m:sup>
        </m:sSup>
        <m:r>
          <m:t>p</m:t>
        </m:r>
        <m:r>
          <m:rPr>
            <m:sty m:val="p"/>
          </m:rPr>
          <m:t>&lt;</m:t>
        </m:r>
        <m:r>
          <m:t>0.01</m:t>
        </m:r>
      </m:oMath>
      <w:r>
        <w:rPr>
          <w:rFonts w:hint="eastAsia"/>
        </w:rPr>
        <w:t xml:space="preserve">，</w:t>
      </w:r>
      <m:oMath>
        <m:sSup>
          <m:e>
            <m:r>
              <m:t>​</m:t>
            </m:r>
          </m:e>
          <m:sup>
            <m:r>
              <m:rPr>
                <m:sty m:val="p"/>
              </m:rPr>
              <m:t>*</m:t>
            </m:r>
          </m:sup>
        </m:sSup>
        <m:r>
          <m:t>p</m:t>
        </m:r>
        <m:r>
          <m:rPr>
            <m:sty m:val="p"/>
          </m:rPr>
          <m:t>&lt;</m:t>
        </m:r>
        <m:r>
          <m:t>0.05</m:t>
        </m:r>
      </m:oMath>
      <w:r>
        <w:rPr>
          <w:rFonts w:hint="eastAsia"/>
        </w:rPr>
        <w:t xml:space="preserve">；括号内为Newey-West标准误；总在榜时长单位为小时/日。</w:t>
      </w:r>
    </w:p>
    <w:p>
      <w:pPr>
        <w:pStyle w:val="BodyText"/>
      </w:pPr>
      <w:r>
        <w:rPr>
          <w:rFonts w:hint="eastAsia"/>
        </w:rPr>
        <w:t xml:space="preserve">密度分化揭示了平台在注意力再分配过程中的微观调整逻辑。社会类的</w:t>
      </w:r>
      <w:r>
        <w:rPr>
          <w:rFonts w:hint="eastAsia"/>
        </w:rPr>
        <w:t xml:space="preserve">“少而精”</w:t>
      </w:r>
      <w:r>
        <w:rPr>
          <w:rFonts w:hint="eastAsia"/>
        </w:rPr>
        <w:t xml:space="preserve">源于监管的双重约束：质量门槛淘汰低质内容（分母减少），多样性约束限制单一话题垄断但不禁止高质量话题获得较长时长（分子相对稳定），综合效应是密度上升。娱乐类的</w:t>
      </w:r>
      <w:r>
        <w:rPr>
          <w:rFonts w:hint="eastAsia"/>
        </w:rPr>
        <w:t xml:space="preserve">“多且长”</w:t>
      </w:r>
      <w:r>
        <w:rPr>
          <w:rFonts w:hint="eastAsia"/>
        </w:rPr>
        <w:t xml:space="preserve">源于水床效应的注意力溢出：平台通过增加娱乐类话题数量与单条话题时长来吸收从社会类溢出的配额，形成</w:t>
      </w:r>
      <w:r>
        <w:rPr>
          <w:rFonts w:hint="eastAsia"/>
        </w:rPr>
        <w:t xml:space="preserve">“蓄水池”</w:t>
      </w:r>
      <w:r>
        <w:rPr>
          <w:rFonts w:hint="eastAsia"/>
        </w:rPr>
        <w:t xml:space="preserve">效应。</w:t>
      </w:r>
    </w:p>
    <w:bookmarkEnd w:id="52"/>
    <w:bookmarkStart w:id="61" w:name="稳健性检验"/>
    <w:p>
      <w:pPr>
        <w:pStyle w:val="Heading2"/>
      </w:pPr>
      <w:r>
        <w:rPr>
          <w:rFonts w:hint="eastAsia"/>
        </w:rPr>
        <w:t xml:space="preserve">稳健性检验</w:t>
      </w:r>
    </w:p>
    <w:p>
      <w:pPr>
        <w:pStyle w:val="FirstParagraph"/>
      </w:pPr>
      <w:r>
        <w:rPr>
          <w:rFonts w:hint="eastAsia"/>
        </w:rPr>
        <w:t xml:space="preserve">为验证上述结果的可靠性，本文进行了多项稳健性检验。</w:t>
      </w:r>
    </w:p>
    <w:bookmarkStart w:id="58" w:name="did稳健性检验与平行趋势检验h1b"/>
    <w:p>
      <w:pPr>
        <w:pStyle w:val="Heading3"/>
      </w:pPr>
      <w:r>
        <w:rPr>
          <w:rFonts w:hint="eastAsia"/>
        </w:rPr>
        <w:t xml:space="preserve">DID稳健性检验与平行趋势检验（H1b）</w:t>
      </w:r>
    </w:p>
    <w:p>
      <w:pPr>
        <w:pStyle w:val="FirstParagraph"/>
      </w:pPr>
      <w:r>
        <w:rPr>
          <w:rFonts w:hint="eastAsia"/>
        </w:rPr>
        <w:t xml:space="preserve">表</w:t>
      </w:r>
      <w:hyperlink w:anchor="tab:did">
        <w:r>
          <w:rPr>
            <w:rStyle w:val="Hyperlink"/>
          </w:rPr>
          <w:t xml:space="preserve">9</w:t>
        </w:r>
      </w:hyperlink>
      <w:r>
        <w:rPr>
          <w:rFonts w:hint="eastAsia"/>
        </w:rPr>
        <w:t xml:space="preserve">报告了H1b的DID回归结果。交互项系数为-0.0205（</w:t>
      </w:r>
      <m:oMath>
        <m:r>
          <m:t>p</m:t>
        </m:r>
        <m:r>
          <m:rPr>
            <m:sty m:val="p"/>
          </m:rPr>
          <m:t>&lt;</m:t>
        </m:r>
        <m:r>
          <m:t>0.001</m:t>
        </m:r>
      </m:oMath>
      <w:r>
        <w:rPr>
          <w:rFonts w:hint="eastAsia"/>
        </w:rPr>
        <w:t xml:space="preserve">），表明政策后机构媒体相对自媒体的信息差净下降2.05个百分点，验证了平台</w:t>
      </w:r>
      <w:r>
        <w:rPr>
          <w:rFonts w:hint="eastAsia"/>
        </w:rPr>
        <w:t xml:space="preserve">“源头筛选”</w:t>
      </w:r>
      <w:r>
        <w:rPr>
          <w:rFonts w:hint="eastAsia"/>
        </w:rPr>
        <w:t xml:space="preserve">机制的有效性。</w:t>
      </w:r>
    </w:p>
    <w:bookmarkStart w:id="53" w:name="tab:did"/>
    <w:p>
      <w:pPr>
        <w:pStyle w:val="TableCaption"/>
      </w:pPr>
      <w:r>
        <w:rPr>
          <w:rFonts w:hint="eastAsia"/>
        </w:rPr>
        <w:t xml:space="preserve">机构媒体相对优势DID检验（H1b）</w:t>
      </w:r>
    </w:p>
    <w:tbl>
      <w:tblPr>
        <w:tblStyle w:val="Table"/>
        <w:tblW w:type="auto" w:w="0"/>
        <w:tblLook w:firstRow="1" w:lastRow="0" w:firstColumn="0" w:lastColumn="0" w:noHBand="0" w:noVBand="0" w:val="0020"/>
        <w:tblCaption w:val="机构媒体相对优势DID检验（H1b）"/>
      </w:tblPr>
      <w:tblGrid>
        <w:gridCol w:w="3960"/>
        <w:gridCol w:w="3960"/>
      </w:tblGrid>
      <w:tr>
        <w:trPr>
          <w:tblHeader w:val="on"/>
        </w:trPr>
        <w:tc>
          <w:tcPr/>
          <w:p>
            <w:pPr>
              <w:pStyle w:val="Compact"/>
              <w:jc w:val="left"/>
            </w:pPr>
            <w:r>
              <w:rPr>
                <w:rFonts w:hint="eastAsia"/>
              </w:rPr>
              <w:t xml:space="preserve">因变量</w:t>
            </w:r>
          </w:p>
        </w:tc>
        <w:tc>
          <w:tcPr/>
          <w:p>
            <w:pPr>
              <w:pStyle w:val="Compact"/>
              <w:jc w:val="center"/>
            </w:pPr>
            <m:oMath>
              <m:r>
                <m:rPr>
                  <m:nor/>
                  <m:sty m:val="i"/>
                </m:rPr>
                <m:t>InfoGap</m:t>
              </m:r>
            </m:oMath>
          </w:p>
        </w:tc>
      </w:tr>
      <w:tr>
        <w:tc>
          <w:tcPr/>
          <w:p>
            <w:pPr>
              <w:pStyle w:val="Compact"/>
              <w:jc w:val="left"/>
            </w:pPr>
            <m:oMath>
              <m:r>
                <m:rPr>
                  <m:nor/>
                  <m:sty m:val="i"/>
                </m:rPr>
                <m:t>Post</m:t>
              </m:r>
              <m:r>
                <m:rPr>
                  <m:sty m:val="p"/>
                </m:rPr>
                <m:t>×</m:t>
              </m:r>
              <m:r>
                <m:rPr>
                  <m:nor/>
                  <m:sty m:val="i"/>
                </m:rPr>
                <m:t>Institutional</m:t>
              </m:r>
            </m:oMath>
            <w:r>
              <w:rPr>
                <w:rFonts w:hint="eastAsia"/>
              </w:rPr>
              <w:t xml:space="preserve">（DID估计量）</w:t>
            </w:r>
          </w:p>
        </w:tc>
        <w:tc>
          <w:tcPr/>
          <w:p>
            <w:pPr>
              <w:pStyle w:val="Compact"/>
              <w:jc w:val="center"/>
            </w:pPr>
            <m:oMath>
              <m:r>
                <m:rPr>
                  <m:sty m:val="p"/>
                </m:rPr>
                <m:t>−</m:t>
              </m:r>
            </m:oMath>
            <w:r>
              <w:t xml:space="preserve">0.0205</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(0.0032)</w:t>
            </w:r>
          </w:p>
        </w:tc>
      </w:tr>
      <w:tr>
        <w:tc>
          <w:tcPr/>
          <w:p>
            <w:pPr>
              <w:pStyle w:val="Compact"/>
              <w:jc w:val="left"/>
            </w:pPr>
            <m:oMath>
              <m:r>
                <m:rPr>
                  <m:nor/>
                  <m:sty m:val="i"/>
                </m:rPr>
                <m:t>Institutional</m:t>
              </m:r>
            </m:oMath>
          </w:p>
        </w:tc>
        <w:tc>
          <w:tcPr/>
          <w:p>
            <w:pPr>
              <w:pStyle w:val="Compact"/>
              <w:jc w:val="center"/>
            </w:pPr>
            <m:oMath>
              <m:r>
                <m:rPr>
                  <m:sty m:val="p"/>
                </m:rPr>
                <m:t>−</m:t>
              </m:r>
            </m:oMath>
            <w:r>
              <w:t xml:space="preserve">0.0734</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(0.0089)</w:t>
            </w:r>
          </w:p>
        </w:tc>
      </w:tr>
      <w:tr>
        <w:tc>
          <w:tcPr/>
          <w:p>
            <w:pPr>
              <w:pStyle w:val="Compact"/>
              <w:jc w:val="left"/>
            </w:pPr>
            <m:oMath>
              <m:r>
                <m:rPr>
                  <m:nor/>
                  <m:sty m:val="i"/>
                </m:rPr>
                <m:t>Post</m:t>
              </m:r>
            </m:oMath>
          </w:p>
        </w:tc>
        <w:tc>
          <w:tcPr/>
          <w:p>
            <w:pPr>
              <w:pStyle w:val="Compact"/>
              <w:jc w:val="center"/>
            </w:pPr>
            <m:oMath>
              <m:r>
                <m:rPr>
                  <m:sty m:val="p"/>
                </m:rPr>
                <m:t>−</m:t>
              </m:r>
            </m:oMath>
            <w:r>
              <w:t xml:space="preserve">0.0642</w:t>
            </w:r>
            <m:oMath>
              <m:sSup>
                <m:e>
                  <m:r>
                    <m:t>​</m:t>
                  </m:r>
                </m:e>
                <m:sup>
                  <m:r>
                    <m:rPr>
                      <m:sty m:val="p"/>
                    </m:rPr>
                    <m:t>*</m:t>
                  </m:r>
                  <m:r>
                    <m:rPr>
                      <m:sty m:val="p"/>
                    </m:rPr>
                    <m:t>*</m:t>
                  </m:r>
                  <m:r>
                    <m:rPr>
                      <m:sty m:val="p"/>
                    </m:rPr>
                    <m:t>*</m:t>
                  </m:r>
                </m:sup>
              </m:sSup>
            </m:oMath>
          </w:p>
        </w:tc>
      </w:tr>
      <w:tr>
        <w:tc>
          <w:tcPr/>
          <w:p>
            <w:pPr>
              <w:pStyle w:val="Compact"/>
            </w:pPr>
          </w:p>
        </w:tc>
        <w:tc>
          <w:tcPr/>
          <w:p>
            <w:pPr>
              <w:pStyle w:val="Compact"/>
              <w:jc w:val="center"/>
            </w:pPr>
            <w:r>
              <w:t xml:space="preserve">(0.0123)</w:t>
            </w:r>
          </w:p>
        </w:tc>
      </w:tr>
      <w:tr>
        <w:tc>
          <w:tcPr/>
          <w:p>
            <w:pPr>
              <w:pStyle w:val="Compact"/>
              <w:jc w:val="left"/>
            </w:pPr>
            <w:r>
              <w:rPr>
                <w:rFonts w:hint="eastAsia"/>
              </w:rPr>
              <w:t xml:space="preserve">话题固定效应</w:t>
            </w:r>
          </w:p>
        </w:tc>
        <w:tc>
          <w:tcPr/>
          <w:p>
            <w:pPr>
              <w:pStyle w:val="Compact"/>
              <w:jc w:val="center"/>
            </w:pPr>
            <m:oMath>
              <m:r>
                <m:rPr>
                  <m:sty m:val="p"/>
                </m:rPr>
                <m:t>✓</m:t>
              </m:r>
            </m:oMath>
          </w:p>
        </w:tc>
      </w:tr>
      <w:tr>
        <w:tc>
          <w:tcPr/>
          <w:p>
            <w:pPr>
              <w:pStyle w:val="Compact"/>
              <w:jc w:val="left"/>
            </w:pPr>
            <w:r>
              <w:rPr>
                <w:rFonts w:hint="eastAsia"/>
              </w:rPr>
              <w:t xml:space="preserve">时间固定效应</w:t>
            </w:r>
          </w:p>
        </w:tc>
        <w:tc>
          <w:tcPr/>
          <w:p>
            <w:pPr>
              <w:pStyle w:val="Compact"/>
              <w:jc w:val="center"/>
            </w:pPr>
            <m:oMath>
              <m:r>
                <m:rPr>
                  <m:sty m:val="p"/>
                </m:rPr>
                <m:t>✓</m:t>
              </m:r>
            </m:oMath>
          </w:p>
        </w:tc>
      </w:tr>
      <w:tr>
        <w:tc>
          <w:tcPr/>
          <w:p>
            <w:pPr>
              <w:pStyle w:val="Compact"/>
              <w:jc w:val="left"/>
            </w:pPr>
            <m:oMath>
              <m:r>
                <m:t>N</m:t>
              </m:r>
            </m:oMath>
          </w:p>
        </w:tc>
        <w:tc>
          <w:tcPr/>
          <w:p>
            <w:pPr>
              <w:pStyle w:val="Compact"/>
              <w:jc w:val="center"/>
            </w:pPr>
            <w:r>
              <w:t xml:space="preserve">211,842</w:t>
            </w:r>
          </w:p>
        </w:tc>
      </w:tr>
      <w:tr>
        <w:tc>
          <w:tcPr/>
          <w:p>
            <w:pPr>
              <w:pStyle w:val="Compact"/>
              <w:jc w:val="left"/>
            </w:pPr>
            <m:oMath>
              <m:sSup>
                <m:e>
                  <m:r>
                    <m:t>R</m:t>
                  </m:r>
                </m:e>
                <m:sup>
                  <m:r>
                    <m:t>2</m:t>
                  </m:r>
                </m:sup>
              </m:sSup>
            </m:oMath>
          </w:p>
        </w:tc>
        <w:tc>
          <w:tcPr/>
          <w:p>
            <w:pPr>
              <w:pStyle w:val="Compact"/>
              <w:jc w:val="center"/>
            </w:pPr>
            <w:r>
              <w:t xml:space="preserve">0.457</w:t>
            </w:r>
          </w:p>
        </w:tc>
      </w:tr>
    </w:tbl>
    <w:bookmarkEnd w:id="53"/>
    <w:p>
      <w:pPr>
        <w:pStyle w:val="BodyText"/>
      </w:pPr>
      <w:r>
        <w:rPr>
          <w:rFonts w:hint="eastAsia"/>
        </w:rPr>
        <w:t xml:space="preserve">注：</w:t>
      </w:r>
      <m:oMath>
        <m:sSup>
          <m:e>
            <m:r>
              <m:t>​</m:t>
            </m:r>
          </m:e>
          <m:sup>
            <m:r>
              <m:rPr>
                <m:sty m:val="p"/>
              </m:rPr>
              <m:t>*</m:t>
            </m:r>
            <m:r>
              <m:rPr>
                <m:sty m:val="p"/>
              </m:rPr>
              <m:t>*</m:t>
            </m:r>
            <m:r>
              <m:rPr>
                <m:sty m:val="p"/>
              </m:rPr>
              <m:t>*</m:t>
            </m:r>
          </m:sup>
        </m:sSup>
        <m:r>
          <m:t>p</m:t>
        </m:r>
        <m:r>
          <m:rPr>
            <m:sty m:val="p"/>
          </m:rPr>
          <m:t>&lt;</m:t>
        </m:r>
        <m:r>
          <m:t>0.001</m:t>
        </m:r>
      </m:oMath>
      <w:r>
        <w:rPr>
          <w:rFonts w:hint="eastAsia"/>
        </w:rPr>
        <w:t xml:space="preserve">；括号内为聚类到话题层面的稳健标准误。</w:t>
      </w:r>
    </w:p>
    <w:p>
      <w:pPr>
        <w:pStyle w:val="BodyText"/>
      </w:pPr>
      <w:r>
        <w:rPr>
          <w:rFonts w:hint="eastAsia"/>
        </w:rPr>
        <w:t xml:space="preserve">图</w:t>
      </w:r>
      <w:hyperlink w:anchor="fig:parallel">
        <w:r>
          <w:rPr>
            <w:rStyle w:val="Hyperlink"/>
          </w:rPr>
          <w:t xml:space="preserve">2</w:t>
        </w:r>
      </w:hyperlink>
      <w:r>
        <w:rPr>
          <w:rFonts w:hint="eastAsia"/>
        </w:rPr>
        <w:t xml:space="preserve">报告了平行趋势检验结果。政策实施前（-9至-1期），交互项系数围绕零值波动且置信区间均包含零，表明机构媒体与自媒体在政策前不存在显著的差异化趋势，平行趋势假设成立。政策实施后（0至10期），系数显著为负，表明政策效应在实施后即刻显现并持续存在。</w:t>
      </w:r>
    </w:p>
    <w:bookmarkStart w:id="57" w:name="fig:parallel"/>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133600" cy="1415825"/>
                  <wp:effectExtent b="0" l="0" r="0" t="0"/>
                  <wp:docPr descr="" title="" id="55" name="Picture"/>
                  <a:graphic>
                    <a:graphicData uri="http://schemas.openxmlformats.org/drawingml/2006/picture">
                      <pic:pic>
                        <pic:nvPicPr>
                          <pic:cNvPr descr="event_study_information_gap.png" id="56" name="Picture"/>
                          <pic:cNvPicPr>
                            <a:picLocks noChangeArrowheads="1" noChangeAspect="1"/>
                          </pic:cNvPicPr>
                        </pic:nvPicPr>
                        <pic:blipFill>
                          <a:blip r:embed="rId54"/>
                          <a:stretch>
                            <a:fillRect/>
                          </a:stretch>
                        </pic:blipFill>
                        <pic:spPr bwMode="auto">
                          <a:xfrm>
                            <a:off x="0" y="0"/>
                            <a:ext cx="2133600" cy="1415825"/>
                          </a:xfrm>
                          <a:prstGeom prst="rect">
                            <a:avLst/>
                          </a:prstGeom>
                          <a:noFill/>
                          <a:ln w="9525">
                            <a:noFill/>
                            <a:headEnd/>
                            <a:tailEnd/>
                          </a:ln>
                        </pic:spPr>
                      </pic:pic>
                    </a:graphicData>
                  </a:graphic>
                </wp:inline>
              </w:drawing>
            </w:r>
          </w:p>
        </w:tc>
        <w:tc>
          <w:tcPr/>
          <w:p>
            <w:pPr>
              <w:jc w:val="center"/>
            </w:pPr>
            <w:r>
              <w:rPr>
                <w:rFonts w:hint="eastAsia"/>
              </w:rPr>
              <w:t xml:space="preserve">注：图中展示了以政策实施前一期（</w:t>
            </w:r>
            <m:oMath>
              <m:r>
                <m:t>t</m:t>
              </m:r>
              <m:r>
                <m:rPr>
                  <m:sty m:val="p"/>
                </m:rPr>
                <m:t>=</m:t>
              </m:r>
              <m:r>
                <m:rPr>
                  <m:sty m:val="p"/>
                </m:rPr>
                <m:t>−</m:t>
              </m:r>
              <m:r>
                <m:t>1</m:t>
              </m:r>
            </m:oMath>
            <w:r>
              <w:rPr>
                <w:rFonts w:hint="eastAsia"/>
              </w:rPr>
              <w:t xml:space="preserve">）为基准的动态DID估计系数及95%置信区间。空心圆点表示各期DID系数估计值，虚线为95%置信区间，实心方块表示基准期（</w:t>
            </w:r>
            <m:oMath>
              <m:r>
                <m:t>t</m:t>
              </m:r>
              <m:r>
                <m:rPr>
                  <m:sty m:val="p"/>
                </m:rPr>
                <m:t>=</m:t>
              </m:r>
              <m:r>
                <m:rPr>
                  <m:sty m:val="p"/>
                </m:rPr>
                <m:t>−</m:t>
              </m:r>
              <m:r>
                <m:t>1</m:t>
              </m:r>
            </m:oMath>
            <w:r>
              <w:rPr>
                <w:rFonts w:hint="eastAsia"/>
              </w:rPr>
              <w:t xml:space="preserve">）。政策实施前各期系数均不显著异于零，支持平行趋势假设；政策实施后系数显著为负，表明政策效应持续存在。</w:t>
            </w:r>
          </w:p>
        </w:tc>
      </w:tr>
    </w:tbl>
    <w:p>
      <w:pPr>
        <w:pStyle w:val="ImageCaption"/>
      </w:pPr>
      <w:r>
        <w:rPr>
          <w:rFonts w:hint="eastAsia"/>
        </w:rPr>
        <w:t xml:space="preserve">平行趋势检验：信息差指数的动态DID估计</w:t>
      </w:r>
    </w:p>
    <w:bookmarkEnd w:id="57"/>
    <w:bookmarkEnd w:id="58"/>
    <w:bookmarkStart w:id="60" w:name="其他稳健性检验"/>
    <w:p>
      <w:pPr>
        <w:pStyle w:val="Heading3"/>
      </w:pPr>
      <w:r>
        <w:rPr>
          <w:rFonts w:hint="eastAsia"/>
        </w:rPr>
        <w:t xml:space="preserve">其他稳健性检验</w:t>
      </w:r>
    </w:p>
    <w:p>
      <w:pPr>
        <w:pStyle w:val="FirstParagraph"/>
      </w:pPr>
      <w:r>
        <w:rPr>
          <w:rFonts w:hint="eastAsia"/>
        </w:rPr>
        <w:t xml:space="preserve">表</w:t>
      </w:r>
      <w:hyperlink w:anchor="tab:robust">
        <w:r>
          <w:rPr>
            <w:rStyle w:val="Hyperlink"/>
          </w:rPr>
          <w:t xml:space="preserve">10</w:t>
        </w:r>
      </w:hyperlink>
      <w:r>
        <w:rPr>
          <w:rFonts w:hint="eastAsia"/>
        </w:rPr>
        <w:t xml:space="preserve">汇总了其他稳健性检验结果。</w:t>
      </w:r>
    </w:p>
    <w:bookmarkStart w:id="59" w:name="tab:robust"/>
    <w:p>
      <w:pPr>
        <w:pStyle w:val="TableCaption"/>
      </w:pPr>
      <w:r>
        <w:rPr>
          <w:rFonts w:hint="eastAsia"/>
        </w:rPr>
        <w:t xml:space="preserve">稳健性检验汇总</w:t>
      </w:r>
    </w:p>
    <w:tbl>
      <w:tblPr>
        <w:tblStyle w:val="Table"/>
        <w:tblW w:type="auto" w:w="0"/>
        <w:tblLook w:firstRow="1" w:lastRow="0" w:firstColumn="0" w:lastColumn="0" w:noHBand="0" w:noVBand="0" w:val="0020"/>
        <w:tblCaption w:val="稳健性检验汇总"/>
      </w:tblPr>
      <w:tblGrid>
        <w:gridCol w:w="1584"/>
        <w:gridCol w:w="1584"/>
        <w:gridCol w:w="1584"/>
        <w:gridCol w:w="1584"/>
        <w:gridCol w:w="1584"/>
      </w:tblGrid>
      <w:tr>
        <w:trPr>
          <w:tblHeader w:val="on"/>
        </w:trPr>
        <w:tc>
          <w:tcPr/>
          <w:p>
            <w:pPr>
              <w:pStyle w:val="Compact"/>
              <w:jc w:val="left"/>
            </w:pPr>
            <w:r>
              <w:rPr>
                <w:rFonts w:hint="eastAsia"/>
              </w:rPr>
              <w:t xml:space="preserve">检验类型</w:t>
            </w:r>
          </w:p>
        </w:tc>
        <w:tc>
          <w:tcPr/>
          <w:p>
            <w:pPr>
              <w:pStyle w:val="Compact"/>
              <w:jc w:val="center"/>
            </w:pPr>
            <w:r>
              <w:t xml:space="preserve">(1)</w:t>
            </w:r>
            <w:r>
              <w:t xml:space="preserve"> </w:t>
            </w:r>
            <w:r>
              <w:rPr>
                <w:rFonts w:hint="eastAsia"/>
              </w:rPr>
              <w:t xml:space="preserve">安慰剂</w:t>
            </w:r>
          </w:p>
        </w:tc>
        <w:tc>
          <w:tcPr/>
          <w:p>
            <w:pPr>
              <w:pStyle w:val="Compact"/>
              <w:jc w:val="center"/>
            </w:pPr>
            <w:r>
              <w:t xml:space="preserve">(2)</w:t>
            </w:r>
            <w:r>
              <w:t xml:space="preserve"> </w:t>
            </w:r>
            <w:r>
              <w:rPr>
                <w:rFonts w:hint="eastAsia"/>
              </w:rPr>
              <w:t xml:space="preserve">替代指标</w:t>
            </w:r>
          </w:p>
        </w:tc>
        <w:tc>
          <w:tcPr/>
          <w:p>
            <w:pPr>
              <w:pStyle w:val="Compact"/>
              <w:jc w:val="center"/>
            </w:pPr>
            <w:r>
              <w:t xml:space="preserve">(3)</w:t>
            </w:r>
            <w:r>
              <w:t xml:space="preserve"> </w:t>
            </w:r>
            <w:r>
              <w:rPr>
                <w:rFonts w:hint="eastAsia"/>
              </w:rPr>
              <w:t xml:space="preserve">断点敏感性</w:t>
            </w:r>
          </w:p>
        </w:tc>
        <w:tc>
          <w:tcPr/>
          <w:p>
            <w:pPr>
              <w:pStyle w:val="Compact"/>
              <w:jc w:val="center"/>
            </w:pPr>
            <w:r>
              <w:t xml:space="preserve">(4)</w:t>
            </w:r>
            <w:r>
              <w:t xml:space="preserve"> </w:t>
            </w:r>
            <w:r>
              <w:rPr>
                <w:rFonts w:hint="eastAsia"/>
              </w:rPr>
              <w:t xml:space="preserve">异质稳健SE</w:t>
            </w:r>
          </w:p>
        </w:tc>
      </w:tr>
      <w:tr>
        <w:tc>
          <w:tcPr/>
          <w:p>
            <w:pPr>
              <w:pStyle w:val="Compact"/>
              <w:jc w:val="left"/>
            </w:pPr>
            <w:r>
              <w:rPr>
                <w:rFonts w:hint="eastAsia"/>
              </w:rPr>
              <w:t xml:space="preserve">因变量</w:t>
            </w:r>
          </w:p>
        </w:tc>
        <w:tc>
          <w:tcPr/>
          <w:p>
            <w:pPr>
              <w:pStyle w:val="Compact"/>
              <w:jc w:val="center"/>
            </w:pPr>
            <w:r>
              <w:rPr>
                <w:rFonts w:hint="eastAsia"/>
              </w:rPr>
              <w:t xml:space="preserve">Shannon熵</w:t>
            </w:r>
          </w:p>
        </w:tc>
        <w:tc>
          <w:tcPr/>
          <w:p>
            <w:pPr>
              <w:pStyle w:val="Compact"/>
              <w:jc w:val="center"/>
            </w:pPr>
            <w:r>
              <w:rPr>
                <w:rFonts w:hint="eastAsia"/>
              </w:rPr>
              <w:t xml:space="preserve">Gini系数</w:t>
            </w:r>
          </w:p>
        </w:tc>
        <w:tc>
          <w:tcPr/>
          <w:p>
            <w:pPr>
              <w:pStyle w:val="Compact"/>
              <w:jc w:val="center"/>
            </w:pPr>
            <m:oMath>
              <m:r>
                <m:rPr>
                  <m:nor/>
                  <m:sty m:val="i"/>
                </m:rPr>
                <m:t>Share</m:t>
              </m:r>
            </m:oMath>
            <w:r>
              <w:rPr>
                <w:rFonts w:hint="eastAsia"/>
              </w:rPr>
              <w:t xml:space="preserve">（社会类）</w:t>
            </w:r>
          </w:p>
        </w:tc>
        <w:tc>
          <w:tcPr/>
          <w:p>
            <w:pPr>
              <w:pStyle w:val="Compact"/>
              <w:jc w:val="center"/>
            </w:pPr>
            <w:r>
              <w:rPr>
                <w:rFonts w:hint="eastAsia"/>
              </w:rPr>
              <w:t xml:space="preserve">各主效应</w:t>
            </w:r>
          </w:p>
        </w:tc>
      </w:tr>
      <w:tr>
        <w:tc>
          <w:tcPr/>
          <w:p>
            <w:pPr>
              <w:pStyle w:val="Compact"/>
              <w:jc w:val="left"/>
            </w:pPr>
            <w:r>
              <w:rPr>
                <w:rFonts w:hint="eastAsia"/>
              </w:rPr>
              <w:t xml:space="preserve">核心系数</w:t>
            </w:r>
          </w:p>
        </w:tc>
        <w:tc>
          <w:tcPr/>
          <w:p>
            <w:pPr>
              <w:pStyle w:val="Compact"/>
              <w:jc w:val="center"/>
            </w:pPr>
            <w:r>
              <w:t xml:space="preserve">0.0123</w:t>
            </w:r>
          </w:p>
        </w:tc>
        <w:tc>
          <w:tcPr/>
          <w:p>
            <w:pPr>
              <w:pStyle w:val="Compact"/>
              <w:jc w:val="center"/>
            </w:pPr>
            <m:oMath>
              <m:r>
                <m:rPr>
                  <m:sty m:val="p"/>
                </m:rPr>
                <m:t>−</m:t>
              </m:r>
            </m:oMath>
            <w:r>
              <w:t xml:space="preserve">0.0456</w:t>
            </w:r>
            <m:oMath>
              <m:sSup>
                <m:e>
                  <m:r>
                    <m:t>​</m:t>
                  </m:r>
                </m:e>
                <m:sup>
                  <m:r>
                    <m:rPr>
                      <m:sty m:val="p"/>
                    </m:rPr>
                    <m:t>*</m:t>
                  </m:r>
                  <m:r>
                    <m:rPr>
                      <m:sty m:val="p"/>
                    </m:rPr>
                    <m:t>*</m:t>
                  </m:r>
                  <m:r>
                    <m:rPr>
                      <m:sty m:val="p"/>
                    </m:rPr>
                    <m:t>*</m:t>
                  </m:r>
                </m:sup>
              </m:sSup>
            </m:oMath>
          </w:p>
        </w:tc>
        <w:tc>
          <w:tcPr/>
          <w:p>
            <w:pPr>
              <w:pStyle w:val="Compact"/>
              <w:jc w:val="center"/>
            </w:pPr>
            <m:oMath>
              <m:r>
                <m:rPr>
                  <m:sty m:val="p"/>
                </m:rPr>
                <m:t>[</m:t>
              </m:r>
              <m:r>
                <m:rPr>
                  <m:sty m:val="p"/>
                </m:rPr>
                <m:t>−</m:t>
              </m:r>
              <m:r>
                <m:t>0.0298</m:t>
              </m:r>
              <m:r>
                <m:rPr>
                  <m:sty m:val="p"/>
                </m:rPr>
                <m:t>,</m:t>
              </m:r>
              <m:r>
                <m:rPr>
                  <m:sty m:val="p"/>
                </m:rPr>
                <m:t>−</m:t>
              </m:r>
              <m:r>
                <m:t>0.0334</m:t>
              </m:r>
              <m:r>
                <m:rPr>
                  <m:sty m:val="p"/>
                </m:rPr>
                <m:t>]</m:t>
              </m:r>
            </m:oMath>
          </w:p>
        </w:tc>
        <w:tc>
          <w:tcPr/>
          <w:p>
            <w:pPr>
              <w:pStyle w:val="Compact"/>
              <w:jc w:val="center"/>
            </w:pPr>
            <w:r>
              <w:rPr>
                <w:rFonts w:hint="eastAsia"/>
              </w:rPr>
              <w:t xml:space="preserve">方向一致</w:t>
            </w:r>
          </w:p>
        </w:tc>
      </w:tr>
      <w:tr>
        <w:tc>
          <w:tcPr/>
          <w:p>
            <w:pPr>
              <w:pStyle w:val="Compact"/>
              <w:jc w:val="left"/>
            </w:pPr>
            <w:r>
              <w:rPr>
                <w:rFonts w:hint="eastAsia"/>
              </w:rPr>
              <w:t xml:space="preserve">标准误</w:t>
            </w:r>
          </w:p>
        </w:tc>
        <w:tc>
          <w:tcPr/>
          <w:p>
            <w:pPr>
              <w:pStyle w:val="Compact"/>
              <w:jc w:val="center"/>
            </w:pPr>
            <w:r>
              <w:t xml:space="preserve">(0.0167)</w:t>
            </w:r>
          </w:p>
        </w:tc>
        <w:tc>
          <w:tcPr/>
          <w:p>
            <w:pPr>
              <w:pStyle w:val="Compact"/>
              <w:jc w:val="center"/>
            </w:pPr>
            <w:r>
              <w:t xml:space="preserve">(0.0089)</w:t>
            </w:r>
          </w:p>
        </w:tc>
        <w:tc>
          <w:tcPr/>
          <w:p>
            <w:pPr>
              <w:pStyle w:val="Compact"/>
              <w:jc w:val="center"/>
            </w:pPr>
            <w:r>
              <w:rPr>
                <w:rFonts w:hint="eastAsia"/>
              </w:rPr>
              <w:t xml:space="preserve">均</w:t>
            </w:r>
            <m:oMath>
              <m:r>
                <m:t>p</m:t>
              </m:r>
              <m:r>
                <m:rPr>
                  <m:sty m:val="p"/>
                </m:rPr>
                <m:t>&lt;</m:t>
              </m:r>
              <m:r>
                <m:t>0.01</m:t>
              </m:r>
            </m:oMath>
          </w:p>
        </w:tc>
        <w:tc>
          <w:tcPr/>
          <w:p>
            <w:pPr>
              <w:pStyle w:val="Compact"/>
              <w:jc w:val="center"/>
            </w:pPr>
            <w:r>
              <w:rPr>
                <w:rFonts w:hint="eastAsia"/>
              </w:rPr>
              <w:t xml:space="preserve">显著性不变</w:t>
            </w:r>
          </w:p>
        </w:tc>
      </w:tr>
      <w:tr>
        <w:tc>
          <w:tcPr/>
          <w:p>
            <w:pPr>
              <w:pStyle w:val="Compact"/>
              <w:jc w:val="left"/>
            </w:pPr>
            <m:oMath>
              <m:r>
                <m:t>p</m:t>
              </m:r>
            </m:oMath>
            <w:r>
              <w:rPr>
                <w:rFonts w:hint="eastAsia"/>
              </w:rPr>
              <w:t xml:space="preserve">值</w:t>
            </w:r>
          </w:p>
        </w:tc>
        <w:tc>
          <w:tcPr/>
          <w:p>
            <w:pPr>
              <w:pStyle w:val="Compact"/>
              <w:jc w:val="center"/>
            </w:pPr>
            <w:r>
              <w:t xml:space="preserve">0.728</w:t>
            </w:r>
          </w:p>
        </w:tc>
        <w:tc>
          <w:tcPr/>
          <w:p>
            <w:pPr>
              <w:pStyle w:val="Compact"/>
              <w:jc w:val="center"/>
            </w:pPr>
            <m:oMath>
              <m:r>
                <m:rPr>
                  <m:sty m:val="p"/>
                </m:rPr>
                <m:t>&lt;</m:t>
              </m:r>
            </m:oMath>
            <w:r>
              <w:t xml:space="preserve">0.001</w:t>
            </w:r>
          </w:p>
        </w:tc>
        <w:tc>
          <w:tcPr/>
          <w:p>
            <w:pPr>
              <w:pStyle w:val="Compact"/>
              <w:jc w:val="center"/>
            </w:pPr>
            <w:r>
              <w:rPr>
                <w:rFonts w:hint="eastAsia"/>
              </w:rPr>
              <w:t xml:space="preserve">全部</w:t>
            </w:r>
            <m:oMath>
              <m:r>
                <m:rPr>
                  <m:sty m:val="p"/>
                </m:rPr>
                <m:t>&lt;</m:t>
              </m:r>
            </m:oMath>
            <w:r>
              <w:t xml:space="preserve">0.01</w:t>
            </w:r>
          </w:p>
        </w:tc>
        <w:tc>
          <w:tcPr/>
          <w:p>
            <w:pPr>
              <w:pStyle w:val="Compact"/>
              <w:jc w:val="center"/>
            </w:pPr>
            <w:r>
              <w:t xml:space="preserve">—</w:t>
            </w:r>
          </w:p>
        </w:tc>
      </w:tr>
      <w:tr>
        <w:tc>
          <w:tcPr/>
          <w:p>
            <w:pPr>
              <w:pStyle w:val="Compact"/>
              <w:jc w:val="left"/>
            </w:pPr>
            <w:r>
              <w:rPr>
                <w:rFonts w:hint="eastAsia"/>
              </w:rPr>
              <w:t xml:space="preserve">结论</w:t>
            </w:r>
          </w:p>
        </w:tc>
        <w:tc>
          <w:tcPr/>
          <w:p>
            <w:pPr>
              <w:pStyle w:val="Compact"/>
              <w:jc w:val="center"/>
            </w:pPr>
            <w:r>
              <w:rPr>
                <w:rFonts w:hint="eastAsia"/>
              </w:rPr>
              <w:t xml:space="preserve">通过</w:t>
            </w:r>
          </w:p>
        </w:tc>
        <w:tc>
          <w:tcPr/>
          <w:p>
            <w:pPr>
              <w:pStyle w:val="Compact"/>
              <w:jc w:val="center"/>
            </w:pPr>
            <w:r>
              <w:rPr>
                <w:rFonts w:hint="eastAsia"/>
              </w:rPr>
              <w:t xml:space="preserve">通过</w:t>
            </w:r>
          </w:p>
        </w:tc>
        <w:tc>
          <w:tcPr/>
          <w:p>
            <w:pPr>
              <w:pStyle w:val="Compact"/>
              <w:jc w:val="center"/>
            </w:pPr>
            <w:r>
              <w:rPr>
                <w:rFonts w:hint="eastAsia"/>
              </w:rPr>
              <w:t xml:space="preserve">通过</w:t>
            </w:r>
          </w:p>
        </w:tc>
        <w:tc>
          <w:tcPr/>
          <w:p>
            <w:pPr>
              <w:pStyle w:val="Compact"/>
              <w:jc w:val="center"/>
            </w:pPr>
            <w:r>
              <w:rPr>
                <w:rFonts w:hint="eastAsia"/>
              </w:rPr>
              <w:t xml:space="preserve">通过</w:t>
            </w:r>
          </w:p>
        </w:tc>
      </w:tr>
    </w:tbl>
    <w:bookmarkEnd w:id="59"/>
    <w:p>
      <w:pPr>
        <w:pStyle w:val="BodyText"/>
      </w:pPr>
      <w:r>
        <w:rPr>
          <w:rFonts w:hint="eastAsia"/>
        </w:rPr>
        <w:t xml:space="preserve">注：列（1）伪断点为2024年9月1日；列（2）以Gini系数替代Shannon熵；列（3）断点在2024年11月12日</w:t>
      </w:r>
      <m:oMath>
        <m:r>
          <m:rPr>
            <m:sty m:val="p"/>
          </m:rPr>
          <m:t>±</m:t>
        </m:r>
      </m:oMath>
      <w:r>
        <w:t xml:space="preserve">7</w:t>
      </w:r>
      <w:r>
        <w:rPr>
          <w:rFonts w:hint="eastAsia"/>
        </w:rPr>
        <w:t xml:space="preserve">天窗口内移动；列（4）以异质稳健标准误替代Newey-West标准误。</w:t>
      </w:r>
    </w:p>
    <w:p>
      <w:pPr>
        <w:pStyle w:val="BodyText"/>
      </w:pPr>
      <w:r>
        <w:rPr>
          <w:rFonts w:hint="eastAsia"/>
        </w:rPr>
        <w:t xml:space="preserve">第一，安慰剂检验。以2024年9月1日为伪断点重新估计ITS模型，Shannon熵的即时效应为0.0123（</w:t>
      </w:r>
      <m:oMath>
        <m:r>
          <m:t>p</m:t>
        </m:r>
        <m:r>
          <m:rPr>
            <m:sty m:val="p"/>
          </m:rPr>
          <m:t>=</m:t>
        </m:r>
        <m:r>
          <m:t>0.728</m:t>
        </m:r>
      </m:oMath>
      <w:r>
        <w:rPr>
          <w:rFonts w:hint="eastAsia"/>
        </w:rPr>
        <w:t xml:space="preserve">），不显著，表明政策前不存在结构性断点。</w:t>
      </w:r>
    </w:p>
    <w:p>
      <w:pPr>
        <w:pStyle w:val="BodyText"/>
      </w:pPr>
      <w:r>
        <w:rPr>
          <w:rFonts w:hint="eastAsia"/>
        </w:rPr>
        <w:t xml:space="preserve">第二，替代指标检验。以Gini系数替代Shannon熵和HHI，政策后即时下降0.0456（</w:t>
      </w:r>
      <m:oMath>
        <m:r>
          <m:t>p</m:t>
        </m:r>
        <m:r>
          <m:rPr>
            <m:sty m:val="p"/>
          </m:rPr>
          <m:t>&lt;</m:t>
        </m:r>
        <m:r>
          <m:t>0.001</m:t>
        </m:r>
      </m:oMath>
      <w:r>
        <w:rPr>
          <w:rFonts w:hint="eastAsia"/>
        </w:rPr>
        <w:t xml:space="preserve">），与主要结论一致。</w:t>
      </w:r>
    </w:p>
    <w:p>
      <w:pPr>
        <w:pStyle w:val="BodyText"/>
      </w:pPr>
      <w:r>
        <w:rPr>
          <w:rFonts w:hint="eastAsia"/>
        </w:rPr>
        <w:t xml:space="preserve">第三，断点敏感性检验。将断点在</w:t>
      </w:r>
      <m:oMath>
        <m:r>
          <m:rPr>
            <m:sty m:val="p"/>
          </m:rPr>
          <m:t>±</m:t>
        </m:r>
      </m:oMath>
      <w:r>
        <w:rPr>
          <w:rFonts w:hint="eastAsia"/>
        </w:rPr>
        <w:t xml:space="preserve">7天窗口内移动，社会类份额的即时效应在</w:t>
      </w:r>
      <m:oMath>
        <m:r>
          <m:rPr>
            <m:sty m:val="p"/>
          </m:rPr>
          <m:t>[</m:t>
        </m:r>
        <m:r>
          <m:rPr>
            <m:sty m:val="p"/>
          </m:rPr>
          <m:t>−</m:t>
        </m:r>
        <m:r>
          <m:t>0.0298</m:t>
        </m:r>
        <m:r>
          <m:rPr>
            <m:sty m:val="p"/>
          </m:rPr>
          <m:t>,</m:t>
        </m:r>
        <m:r>
          <m:rPr>
            <m:sty m:val="p"/>
          </m:rPr>
          <m:t>−</m:t>
        </m:r>
        <m:r>
          <m:t>0.0334</m:t>
        </m:r>
        <m:r>
          <m:rPr>
            <m:sty m:val="p"/>
          </m:rPr>
          <m:t>]</m:t>
        </m:r>
      </m:oMath>
      <w:r>
        <w:rPr>
          <w:rFonts w:hint="eastAsia"/>
        </w:rPr>
        <w:t xml:space="preserve">区间内，均在1%水平显著。</w:t>
      </w:r>
    </w:p>
    <w:p>
      <w:pPr>
        <w:pStyle w:val="BodyText"/>
      </w:pPr>
      <w:r>
        <w:rPr>
          <w:rFonts w:hint="eastAsia"/>
        </w:rPr>
        <w:t xml:space="preserve">第四，异质稳健标准误。以异质稳健标准误替代Newey-West标准误，核心结论均保持稳健。</w:t>
      </w:r>
    </w:p>
    <w:p>
      <w:pPr>
        <w:pStyle w:val="BodyText"/>
      </w:pPr>
      <w:r>
        <w:rPr>
          <w:rFonts w:hint="eastAsia"/>
        </w:rPr>
        <w:t xml:space="preserve">此外，本文还进行了以下补充检验（结果备索）：排除重大节假日样本、缩短样本期至政策前后各90天、以Poisson回归替代OLS估计计数型因变量，核心结论均保持稳健。</w:t>
      </w:r>
    </w:p>
    <w:bookmarkEnd w:id="60"/>
    <w:bookmarkEnd w:id="61"/>
    <w:bookmarkStart w:id="62" w:name="小结"/>
    <w:p>
      <w:pPr>
        <w:pStyle w:val="Heading2"/>
      </w:pPr>
      <w:r>
        <w:rPr>
          <w:rFonts w:hint="eastAsia"/>
        </w:rPr>
        <w:t xml:space="preserve">小结</w:t>
      </w:r>
    </w:p>
    <w:p>
      <w:pPr>
        <w:pStyle w:val="FirstParagraph"/>
      </w:pPr>
      <w:r>
        <w:rPr>
          <w:rFonts w:hint="eastAsia"/>
        </w:rPr>
        <w:t xml:space="preserve">综上，实证分析全面验证了四项核心假设。H1检验表明分级分类治理导致社会类质量显著提升而娱乐类保持稳定，DID估计和平行趋势检验进一步强化了因果识别；H2检验表明算法治理有效推动了注意力分布的去中心化（Shannon熵上升18.7%，HHI下降11.8%）；H3检验表明在注意力零和约束下社会类份额下降3.16个百分点、娱乐类上升3.84个百分点，总热度守恒印证了</w:t>
      </w:r>
      <w:r>
        <w:rPr>
          <w:rFonts w:hint="eastAsia"/>
        </w:rPr>
        <w:t xml:space="preserve">“水床效应”</w:t>
      </w:r>
      <w:r>
        <w:rPr>
          <w:rFonts w:hint="eastAsia"/>
        </w:rPr>
        <w:t xml:space="preserve">；H4检验表明社会类呈</w:t>
      </w:r>
      <w:r>
        <w:rPr>
          <w:rFonts w:hint="eastAsia"/>
        </w:rPr>
        <w:t xml:space="preserve">“少而精”</w:t>
      </w:r>
      <w:r>
        <w:rPr>
          <w:rFonts w:hint="eastAsia"/>
        </w:rPr>
        <w:t xml:space="preserve">调整、娱乐类呈</w:t>
      </w:r>
      <w:r>
        <w:rPr>
          <w:rFonts w:hint="eastAsia"/>
        </w:rPr>
        <w:t xml:space="preserve">“多且长”</w:t>
      </w:r>
      <w:r>
        <w:rPr>
          <w:rFonts w:hint="eastAsia"/>
        </w:rPr>
        <w:t xml:space="preserve">调整。这些发现共同刻画了算法治理对平台生态系统的多维重构效应，验证了基于资源依赖理论的分析框架。</w:t>
      </w:r>
    </w:p>
    <w:bookmarkEnd w:id="62"/>
    <w:bookmarkEnd w:id="63"/>
    <w:bookmarkStart w:id="68" w:name="异质性分析"/>
    <w:p>
      <w:pPr>
        <w:pStyle w:val="Heading1"/>
      </w:pPr>
      <w:r>
        <w:rPr>
          <w:rFonts w:hint="eastAsia"/>
        </w:rPr>
        <w:t xml:space="preserve">异质性分析</w:t>
      </w:r>
    </w:p>
    <w:p>
      <w:pPr>
        <w:pStyle w:val="FirstParagraph"/>
      </w:pPr>
      <w:r>
        <w:rPr>
          <w:rFonts w:hint="eastAsia"/>
        </w:rPr>
        <w:t xml:space="preserve">为进一步探讨算法治理效应的异质性，本文从季节周期、时间段、话题热度三个维度展开分析，结果见表</w:t>
      </w:r>
      <w:hyperlink w:anchor="tab:heterogeneity">
        <w:r>
          <w:rPr>
            <w:rStyle w:val="Hyperlink"/>
          </w:rPr>
          <w:t xml:space="preserve">11</w:t>
        </w:r>
      </w:hyperlink>
      <w:r>
        <w:t xml:space="preserve">。</w:t>
      </w:r>
    </w:p>
    <w:bookmarkStart w:id="64" w:name="tab:heterogeneity"/>
    <w:p>
      <w:pPr>
        <w:pStyle w:val="TableCaption"/>
      </w:pPr>
      <w:r>
        <w:rPr>
          <w:rFonts w:hint="eastAsia"/>
        </w:rPr>
        <w:t xml:space="preserve">异质性检验结果（ITS回归）</w:t>
      </w:r>
    </w:p>
    <w:tbl>
      <w:tblPr>
        <w:tblStyle w:val="Table"/>
        <w:tblW w:type="auto" w:w="0"/>
        <w:tblLook w:firstRow="1" w:lastRow="0" w:firstColumn="0" w:lastColumn="0" w:noHBand="0" w:noVBand="0" w:val="0020"/>
        <w:tblCaption w:val="异质性检验结果（ITS回归）"/>
      </w:tblPr>
      <w:tblGrid>
        <w:gridCol w:w="1320"/>
        <w:gridCol w:w="1320"/>
        <w:gridCol w:w="1320"/>
        <w:gridCol w:w="1320"/>
        <w:gridCol w:w="1320"/>
        <w:gridCol w:w="1320"/>
      </w:tblGrid>
      <w:tr>
        <w:trPr>
          <w:tblHeader w:val="on"/>
        </w:trPr>
        <w:tc>
          <w:tcPr/>
          <w:p>
            <w:pPr>
              <w:pStyle w:val="Compact"/>
              <w:jc w:val="left"/>
            </w:pPr>
            <w:r>
              <w:rPr>
                <w:rFonts w:hint="eastAsia"/>
              </w:rPr>
              <w:t xml:space="preserve">异质性维度</w:t>
            </w:r>
          </w:p>
        </w:tc>
        <w:tc>
          <w:tcPr/>
          <w:p>
            <w:pPr>
              <w:pStyle w:val="Compact"/>
              <w:jc w:val="left"/>
            </w:pPr>
            <w:r>
              <w:rPr>
                <w:rFonts w:hint="eastAsia"/>
              </w:rPr>
              <w:t xml:space="preserve">分组</w:t>
            </w:r>
          </w:p>
        </w:tc>
        <w:tc>
          <w:tcPr/>
          <w:p>
            <w:pPr>
              <w:pStyle w:val="Compact"/>
              <w:jc w:val="center"/>
            </w:pPr>
            <w:r>
              <w:rPr>
                <w:rFonts w:hint="eastAsia"/>
              </w:rPr>
              <w:t xml:space="preserve">即时效应</w:t>
            </w:r>
          </w:p>
        </w:tc>
        <w:tc>
          <w:tcPr/>
          <w:p>
            <w:pPr>
              <w:pStyle w:val="Compact"/>
              <w:jc w:val="center"/>
            </w:pPr>
            <m:oMath>
              <m:r>
                <m:t>p</m:t>
              </m:r>
            </m:oMath>
            <w:r>
              <w:rPr>
                <w:rFonts w:hint="eastAsia"/>
              </w:rPr>
              <w:t xml:space="preserve">值</w:t>
            </w:r>
          </w:p>
        </w:tc>
        <w:tc>
          <w:tcPr/>
          <w:p>
            <w:pPr>
              <w:pStyle w:val="Compact"/>
              <w:jc w:val="center"/>
            </w:pPr>
            <w:r>
              <w:rPr>
                <w:rFonts w:hint="eastAsia"/>
              </w:rPr>
              <w:t xml:space="preserve">趋势效应</w:t>
            </w:r>
          </w:p>
        </w:tc>
        <w:tc>
          <w:tcPr/>
          <w:p>
            <w:pPr>
              <w:pStyle w:val="Compact"/>
              <w:jc w:val="center"/>
            </w:pPr>
            <m:oMath>
              <m:r>
                <m:t>p</m:t>
              </m:r>
            </m:oMath>
            <w:r>
              <w:rPr>
                <w:rFonts w:hint="eastAsia"/>
              </w:rPr>
              <w:t xml:space="preserve">值</w:t>
            </w:r>
          </w:p>
        </w:tc>
      </w:tr>
      <w:tr>
        <w:tc>
          <w:tcPr>
            <w:gridSpan w:val="6"/>
          </w:tcPr>
          <w:p>
            <w:pPr>
              <w:pStyle w:val="Compact"/>
              <w:jc w:val="left"/>
            </w:pPr>
            <w:r>
              <w:rPr>
                <w:i/>
                <w:iCs/>
              </w:rPr>
              <w:t xml:space="preserve">Panel </w:t>
            </w:r>
            <w:r>
              <w:rPr>
                <w:rFonts w:hint="eastAsia"/>
                <w:i/>
                <w:iCs/>
              </w:rPr>
              <w:t xml:space="preserve">A：季度异质性（信息差指数）</w:t>
            </w:r>
          </w:p>
        </w:tc>
      </w:tr>
      <w:tr>
        <w:tc>
          <w:tcPr/>
          <w:p>
            <w:pPr>
              <w:pStyle w:val="Compact"/>
            </w:pPr>
          </w:p>
        </w:tc>
        <w:tc>
          <w:tcPr/>
          <w:p>
            <w:pPr>
              <w:pStyle w:val="Compact"/>
              <w:jc w:val="left"/>
            </w:pPr>
            <w:r>
              <w:t xml:space="preserve">Q1</w:t>
            </w:r>
          </w:p>
        </w:tc>
        <w:tc>
          <w:tcPr/>
          <w:p>
            <w:pPr>
              <w:pStyle w:val="Compact"/>
              <w:jc w:val="center"/>
            </w:pPr>
            <m:oMath>
              <m:r>
                <m:rPr>
                  <m:sty m:val="p"/>
                </m:rPr>
                <m:t>−</m:t>
              </m:r>
            </m:oMath>
            <w:r>
              <w:t xml:space="preserve">0.0129</w:t>
            </w:r>
            <m:oMath>
              <m:sSup>
                <m:e>
                  <m:r>
                    <m:t>​</m:t>
                  </m:r>
                </m:e>
                <m:sup>
                  <m:r>
                    <m:rPr>
                      <m:sty m:val="p"/>
                    </m:rPr>
                    <m:t>*</m:t>
                  </m:r>
                </m:sup>
              </m:sSup>
            </m:oMath>
          </w:p>
        </w:tc>
        <w:tc>
          <w:tcPr/>
          <w:p>
            <w:pPr>
              <w:pStyle w:val="Compact"/>
              <w:jc w:val="center"/>
            </w:pPr>
            <w:r>
              <w:t xml:space="preserve">0.050</w:t>
            </w:r>
          </w:p>
        </w:tc>
        <w:tc>
          <w:tcPr/>
          <w:p>
            <w:pPr>
              <w:pStyle w:val="Compact"/>
              <w:jc w:val="center"/>
            </w:pPr>
            <w:r>
              <w:t xml:space="preserve">0.0001</w:t>
            </w:r>
          </w:p>
        </w:tc>
        <w:tc>
          <w:tcPr/>
          <w:p>
            <w:pPr>
              <w:pStyle w:val="Compact"/>
              <w:jc w:val="center"/>
            </w:pPr>
            <w:r>
              <w:t xml:space="preserve">0.587</w:t>
            </w:r>
          </w:p>
        </w:tc>
      </w:tr>
      <w:tr>
        <w:tc>
          <w:tcPr/>
          <w:p>
            <w:pPr>
              <w:pStyle w:val="Compact"/>
            </w:pPr>
          </w:p>
        </w:tc>
        <w:tc>
          <w:tcPr/>
          <w:p>
            <w:pPr>
              <w:pStyle w:val="Compact"/>
              <w:jc w:val="left"/>
            </w:pPr>
            <w:r>
              <w:t xml:space="preserve">Q2</w:t>
            </w:r>
          </w:p>
        </w:tc>
        <w:tc>
          <w:tcPr/>
          <w:p>
            <w:pPr>
              <w:pStyle w:val="Compact"/>
              <w:jc w:val="center"/>
            </w:pPr>
            <m:oMath>
              <m:r>
                <m:rPr>
                  <m:sty m:val="p"/>
                </m:rPr>
                <m:t>−</m:t>
              </m:r>
            </m:oMath>
            <w:r>
              <w:t xml:space="preserve">0.0245</w:t>
            </w:r>
            <m:oMath>
              <m:sSup>
                <m:e>
                  <m:r>
                    <m:t>​</m:t>
                  </m:r>
                </m:e>
                <m:sup>
                  <m:r>
                    <m:rPr>
                      <m:sty m:val="p"/>
                    </m:rPr>
                    <m:t>*</m:t>
                  </m:r>
                  <m:r>
                    <m:rPr>
                      <m:sty m:val="p"/>
                    </m:rPr>
                    <m:t>*</m:t>
                  </m:r>
                  <m:r>
                    <m:rPr>
                      <m:sty m:val="p"/>
                    </m:rPr>
                    <m:t>*</m:t>
                  </m:r>
                </m:sup>
              </m:sSup>
            </m:oMath>
          </w:p>
        </w:tc>
        <w:tc>
          <w:tcPr/>
          <w:p>
            <w:pPr>
              <w:pStyle w:val="Compact"/>
              <w:jc w:val="center"/>
            </w:pPr>
            <m:oMath>
              <m:r>
                <m:rPr>
                  <m:sty m:val="p"/>
                </m:rPr>
                <m:t>&lt;</m:t>
              </m:r>
            </m:oMath>
            <w:r>
              <w:t xml:space="preserve">0.001</w:t>
            </w:r>
          </w:p>
        </w:tc>
        <w:tc>
          <w:tcPr/>
          <w:p>
            <w:pPr>
              <w:pStyle w:val="Compact"/>
              <w:jc w:val="center"/>
            </w:pPr>
            <m:oMath>
              <m:r>
                <m:rPr>
                  <m:sty m:val="p"/>
                </m:rPr>
                <m:t>−</m:t>
              </m:r>
            </m:oMath>
            <w:r>
              <w:t xml:space="preserve">0.0001</w:t>
            </w:r>
          </w:p>
        </w:tc>
        <w:tc>
          <w:tcPr/>
          <w:p>
            <w:pPr>
              <w:pStyle w:val="Compact"/>
              <w:jc w:val="center"/>
            </w:pPr>
            <w:r>
              <w:t xml:space="preserve">0.491</w:t>
            </w:r>
          </w:p>
        </w:tc>
      </w:tr>
      <w:tr>
        <w:tc>
          <w:tcPr/>
          <w:p>
            <w:pPr>
              <w:pStyle w:val="Compact"/>
            </w:pPr>
          </w:p>
        </w:tc>
        <w:tc>
          <w:tcPr/>
          <w:p>
            <w:pPr>
              <w:pStyle w:val="Compact"/>
              <w:jc w:val="left"/>
            </w:pPr>
            <w:r>
              <w:t xml:space="preserve">Q3</w:t>
            </w:r>
          </w:p>
        </w:tc>
        <w:tc>
          <w:tcPr/>
          <w:p>
            <w:pPr>
              <w:pStyle w:val="Compact"/>
              <w:jc w:val="center"/>
            </w:pPr>
            <m:oMath>
              <m:r>
                <m:rPr>
                  <m:sty m:val="p"/>
                </m:rPr>
                <m:t>−</m:t>
              </m:r>
            </m:oMath>
            <w:r>
              <w:t xml:space="preserve">0.0021</w:t>
            </w:r>
          </w:p>
        </w:tc>
        <w:tc>
          <w:tcPr/>
          <w:p>
            <w:pPr>
              <w:pStyle w:val="Compact"/>
              <w:jc w:val="center"/>
            </w:pPr>
            <w:r>
              <w:t xml:space="preserve">0.641</w:t>
            </w:r>
          </w:p>
        </w:tc>
        <w:tc>
          <w:tcPr/>
          <w:p>
            <w:pPr>
              <w:pStyle w:val="Compact"/>
              <w:jc w:val="center"/>
            </w:pPr>
            <m:oMath>
              <m:r>
                <m:rPr>
                  <m:sty m:val="p"/>
                </m:rPr>
                <m:t>−</m:t>
              </m:r>
            </m:oMath>
            <w:r>
              <w:t xml:space="preserve">0.0000</w:t>
            </w:r>
          </w:p>
        </w:tc>
        <w:tc>
          <w:tcPr/>
          <w:p>
            <w:pPr>
              <w:pStyle w:val="Compact"/>
              <w:jc w:val="center"/>
            </w:pPr>
            <w:r>
              <w:t xml:space="preserve">0.566</w:t>
            </w:r>
          </w:p>
        </w:tc>
      </w:tr>
      <w:tr>
        <w:tc>
          <w:tcPr/>
          <w:p>
            <w:pPr>
              <w:pStyle w:val="Compact"/>
            </w:pPr>
          </w:p>
        </w:tc>
        <w:tc>
          <w:tcPr/>
          <w:p>
            <w:pPr>
              <w:pStyle w:val="Compact"/>
              <w:jc w:val="left"/>
            </w:pPr>
            <w:r>
              <w:t xml:space="preserve">Q4</w:t>
            </w:r>
          </w:p>
        </w:tc>
        <w:tc>
          <w:tcPr/>
          <w:p>
            <w:pPr>
              <w:pStyle w:val="Compact"/>
              <w:jc w:val="center"/>
            </w:pPr>
            <m:oMath>
              <m:r>
                <m:rPr>
                  <m:sty m:val="p"/>
                </m:rPr>
                <m:t>−</m:t>
              </m:r>
            </m:oMath>
            <w:r>
              <w:t xml:space="preserve">0.0087</w:t>
            </w:r>
          </w:p>
        </w:tc>
        <w:tc>
          <w:tcPr/>
          <w:p>
            <w:pPr>
              <w:pStyle w:val="Compact"/>
              <w:jc w:val="center"/>
            </w:pPr>
            <w:r>
              <w:t xml:space="preserve">0.160</w:t>
            </w:r>
          </w:p>
        </w:tc>
        <w:tc>
          <w:tcPr/>
          <w:p>
            <w:pPr>
              <w:pStyle w:val="Compact"/>
              <w:jc w:val="center"/>
            </w:pPr>
            <m:oMath>
              <m:r>
                <m:rPr>
                  <m:sty m:val="p"/>
                </m:rPr>
                <m:t>−</m:t>
              </m:r>
            </m:oMath>
            <w:r>
              <w:t xml:space="preserve">0.0001</w:t>
            </w:r>
          </w:p>
        </w:tc>
        <w:tc>
          <w:tcPr/>
          <w:p>
            <w:pPr>
              <w:pStyle w:val="Compact"/>
              <w:jc w:val="center"/>
            </w:pPr>
            <w:r>
              <w:t xml:space="preserve">0.657</w:t>
            </w:r>
          </w:p>
        </w:tc>
      </w:tr>
      <w:tr>
        <w:tc>
          <w:tcPr>
            <w:gridSpan w:val="6"/>
          </w:tcPr>
          <w:p>
            <w:pPr>
              <w:pStyle w:val="Compact"/>
              <w:jc w:val="left"/>
            </w:pPr>
            <w:r>
              <w:rPr>
                <w:i/>
                <w:iCs/>
              </w:rPr>
              <w:t xml:space="preserve">Panel </w:t>
            </w:r>
            <w:r>
              <w:rPr>
                <w:rFonts w:hint="eastAsia"/>
                <w:i/>
                <w:iCs/>
              </w:rPr>
              <w:t xml:space="preserve">B：时间段异质性（情绪唤起指数）</w:t>
            </w:r>
          </w:p>
        </w:tc>
      </w:tr>
      <w:tr>
        <w:tc>
          <w:tcPr/>
          <w:p>
            <w:pPr>
              <w:pStyle w:val="Compact"/>
            </w:pPr>
          </w:p>
        </w:tc>
        <w:tc>
          <w:tcPr/>
          <w:p>
            <w:pPr>
              <w:pStyle w:val="Compact"/>
              <w:jc w:val="left"/>
            </w:pPr>
            <w:r>
              <w:rPr>
                <w:rFonts w:hint="eastAsia"/>
              </w:rPr>
              <w:t xml:space="preserve">工作日</w:t>
            </w:r>
          </w:p>
        </w:tc>
        <w:tc>
          <w:tcPr/>
          <w:p>
            <w:pPr>
              <w:pStyle w:val="Compact"/>
              <w:jc w:val="center"/>
            </w:pPr>
            <w:r>
              <w:t xml:space="preserve">0.0013</w:t>
            </w:r>
          </w:p>
        </w:tc>
        <w:tc>
          <w:tcPr/>
          <w:p>
            <w:pPr>
              <w:pStyle w:val="Compact"/>
              <w:jc w:val="center"/>
            </w:pPr>
            <w:r>
              <w:t xml:space="preserve">0.725</w:t>
            </w:r>
          </w:p>
        </w:tc>
        <w:tc>
          <w:tcPr/>
          <w:p>
            <w:pPr>
              <w:pStyle w:val="Compact"/>
              <w:jc w:val="center"/>
            </w:pPr>
            <m:oMath>
              <m:r>
                <m:rPr>
                  <m:sty m:val="p"/>
                </m:rPr>
                <m:t>−</m:t>
              </m:r>
            </m:oMath>
            <w:r>
              <w:t xml:space="preserve">0.0000</w:t>
            </w:r>
          </w:p>
        </w:tc>
        <w:tc>
          <w:tcPr/>
          <w:p>
            <w:pPr>
              <w:pStyle w:val="Compact"/>
              <w:jc w:val="center"/>
            </w:pPr>
            <w:r>
              <w:t xml:space="preserve">0.915</w:t>
            </w:r>
          </w:p>
        </w:tc>
      </w:tr>
      <w:tr>
        <w:tc>
          <w:tcPr/>
          <w:p>
            <w:pPr>
              <w:pStyle w:val="Compact"/>
            </w:pPr>
          </w:p>
        </w:tc>
        <w:tc>
          <w:tcPr/>
          <w:p>
            <w:pPr>
              <w:pStyle w:val="Compact"/>
              <w:jc w:val="left"/>
            </w:pPr>
            <w:r>
              <w:rPr>
                <w:rFonts w:hint="eastAsia"/>
              </w:rPr>
              <w:t xml:space="preserve">周末</w:t>
            </w:r>
          </w:p>
        </w:tc>
        <w:tc>
          <w:tcPr/>
          <w:p>
            <w:pPr>
              <w:pStyle w:val="Compact"/>
              <w:jc w:val="center"/>
            </w:pPr>
            <m:oMath>
              <m:r>
                <m:rPr>
                  <m:sty m:val="p"/>
                </m:rPr>
                <m:t>−</m:t>
              </m:r>
            </m:oMath>
            <w:r>
              <w:t xml:space="preserve">0.0129</w:t>
            </w:r>
            <m:oMath>
              <m:sSup>
                <m:e>
                  <m:r>
                    <m:t>​</m:t>
                  </m:r>
                </m:e>
                <m:sup>
                  <m:r>
                    <m:rPr>
                      <m:sty m:val="p"/>
                    </m:rPr>
                    <m:t>*</m:t>
                  </m:r>
                </m:sup>
              </m:sSup>
            </m:oMath>
          </w:p>
        </w:tc>
        <w:tc>
          <w:tcPr/>
          <w:p>
            <w:pPr>
              <w:pStyle w:val="Compact"/>
              <w:jc w:val="center"/>
            </w:pPr>
            <w:r>
              <w:t xml:space="preserve">0.017</w:t>
            </w:r>
          </w:p>
        </w:tc>
        <w:tc>
          <w:tcPr/>
          <w:p>
            <w:pPr>
              <w:pStyle w:val="Compact"/>
              <w:jc w:val="center"/>
            </w:pPr>
            <m:oMath>
              <m:r>
                <m:rPr>
                  <m:sty m:val="p"/>
                </m:rPr>
                <m:t>−</m:t>
              </m:r>
            </m:oMath>
            <w:r>
              <w:t xml:space="preserve">0.0000</w:t>
            </w:r>
          </w:p>
        </w:tc>
        <w:tc>
          <w:tcPr/>
          <w:p>
            <w:pPr>
              <w:pStyle w:val="Compact"/>
              <w:jc w:val="center"/>
            </w:pPr>
            <w:r>
              <w:t xml:space="preserve">0.711</w:t>
            </w:r>
          </w:p>
        </w:tc>
      </w:tr>
      <w:tr>
        <w:tc>
          <w:tcPr>
            <w:gridSpan w:val="6"/>
          </w:tcPr>
          <w:p>
            <w:pPr>
              <w:pStyle w:val="Compact"/>
              <w:jc w:val="left"/>
            </w:pPr>
            <w:r>
              <w:rPr>
                <w:i/>
                <w:iCs/>
              </w:rPr>
              <w:t xml:space="preserve">Panel </w:t>
            </w:r>
            <w:r>
              <w:rPr>
                <w:rFonts w:hint="eastAsia"/>
                <w:i/>
                <w:iCs/>
              </w:rPr>
              <w:t xml:space="preserve">C：话题热度异质性（信息差指数）</w:t>
            </w:r>
          </w:p>
        </w:tc>
      </w:tr>
      <w:tr>
        <w:tc>
          <w:tcPr/>
          <w:p>
            <w:pPr>
              <w:pStyle w:val="Compact"/>
            </w:pPr>
          </w:p>
        </w:tc>
        <w:tc>
          <w:tcPr/>
          <w:p>
            <w:pPr>
              <w:pStyle w:val="Compact"/>
              <w:jc w:val="left"/>
            </w:pPr>
            <w:r>
              <w:rPr>
                <w:rFonts w:hint="eastAsia"/>
              </w:rPr>
              <w:t xml:space="preserve">高热度</w:t>
            </w:r>
          </w:p>
        </w:tc>
        <w:tc>
          <w:tcPr/>
          <w:p>
            <w:pPr>
              <w:pStyle w:val="Compact"/>
              <w:jc w:val="center"/>
            </w:pPr>
            <m:oMath>
              <m:r>
                <m:rPr>
                  <m:sty m:val="p"/>
                </m:rPr>
                <m:t>−</m:t>
              </m:r>
            </m:oMath>
            <w:r>
              <w:t xml:space="preserve">0.0074</w:t>
            </w:r>
          </w:p>
        </w:tc>
        <w:tc>
          <w:tcPr/>
          <w:p>
            <w:pPr>
              <w:pStyle w:val="Compact"/>
              <w:jc w:val="center"/>
            </w:pPr>
            <w:r>
              <w:t xml:space="preserve">0.196</w:t>
            </w:r>
          </w:p>
        </w:tc>
        <w:tc>
          <w:tcPr/>
          <w:p>
            <w:pPr>
              <w:pStyle w:val="Compact"/>
              <w:jc w:val="center"/>
            </w:pPr>
            <m:oMath>
              <m:r>
                <m:rPr>
                  <m:sty m:val="p"/>
                </m:rPr>
                <m:t>−</m:t>
              </m:r>
            </m:oMath>
            <w:r>
              <w:t xml:space="preserve">0.0000</w:t>
            </w:r>
          </w:p>
        </w:tc>
        <w:tc>
          <w:tcPr/>
          <w:p>
            <w:pPr>
              <w:pStyle w:val="Compact"/>
              <w:jc w:val="center"/>
            </w:pPr>
            <w:r>
              <w:t xml:space="preserve">0.461</w:t>
            </w:r>
          </w:p>
        </w:tc>
      </w:tr>
      <w:tr>
        <w:tc>
          <w:tcPr/>
          <w:p>
            <w:pPr>
              <w:pStyle w:val="Compact"/>
            </w:pPr>
          </w:p>
        </w:tc>
        <w:tc>
          <w:tcPr/>
          <w:p>
            <w:pPr>
              <w:pStyle w:val="Compact"/>
              <w:jc w:val="left"/>
            </w:pPr>
            <w:r>
              <w:rPr>
                <w:rFonts w:hint="eastAsia"/>
              </w:rPr>
              <w:t xml:space="preserve">中热度</w:t>
            </w:r>
          </w:p>
        </w:tc>
        <w:tc>
          <w:tcPr/>
          <w:p>
            <w:pPr>
              <w:pStyle w:val="Compact"/>
              <w:jc w:val="center"/>
            </w:pPr>
            <w:r>
              <w:t xml:space="preserve">0.0056</w:t>
            </w:r>
          </w:p>
        </w:tc>
        <w:tc>
          <w:tcPr/>
          <w:p>
            <w:pPr>
              <w:pStyle w:val="Compact"/>
              <w:jc w:val="center"/>
            </w:pPr>
            <w:r>
              <w:t xml:space="preserve">0.290</w:t>
            </w:r>
          </w:p>
        </w:tc>
        <w:tc>
          <w:tcPr/>
          <w:p>
            <w:pPr>
              <w:pStyle w:val="Compact"/>
              <w:jc w:val="center"/>
            </w:pPr>
            <w:r>
              <w:t xml:space="preserve">0.0001</w:t>
            </w:r>
            <m:oMath>
              <m:sSup>
                <m:e>
                  <m:r>
                    <m:t>​</m:t>
                  </m:r>
                </m:e>
                <m:sup>
                  <m:r>
                    <m:rPr>
                      <m:sty m:val="p"/>
                    </m:rPr>
                    <m:t>*</m:t>
                  </m:r>
                  <m:r>
                    <m:rPr>
                      <m:sty m:val="p"/>
                    </m:rPr>
                    <m:t>*</m:t>
                  </m:r>
                </m:sup>
              </m:sSup>
            </m:oMath>
          </w:p>
        </w:tc>
        <w:tc>
          <w:tcPr/>
          <w:p>
            <w:pPr>
              <w:pStyle w:val="Compact"/>
              <w:jc w:val="center"/>
            </w:pPr>
            <w:r>
              <w:t xml:space="preserve">0.006</w:t>
            </w:r>
          </w:p>
        </w:tc>
      </w:tr>
      <w:tr>
        <w:tc>
          <w:tcPr/>
          <w:p>
            <w:pPr>
              <w:pStyle w:val="Compact"/>
            </w:pPr>
          </w:p>
        </w:tc>
        <w:tc>
          <w:tcPr/>
          <w:p>
            <w:pPr>
              <w:pStyle w:val="Compact"/>
              <w:jc w:val="left"/>
            </w:pPr>
            <w:r>
              <w:rPr>
                <w:rFonts w:hint="eastAsia"/>
              </w:rPr>
              <w:t xml:space="preserve">低热度</w:t>
            </w:r>
          </w:p>
        </w:tc>
        <w:tc>
          <w:tcPr/>
          <w:p>
            <w:pPr>
              <w:pStyle w:val="Compact"/>
              <w:jc w:val="center"/>
            </w:pPr>
            <w:r>
              <w:t xml:space="preserve">0.0055</w:t>
            </w:r>
          </w:p>
        </w:tc>
        <w:tc>
          <w:tcPr/>
          <w:p>
            <w:pPr>
              <w:pStyle w:val="Compact"/>
              <w:jc w:val="center"/>
            </w:pPr>
            <w:r>
              <w:t xml:space="preserve">0.304</w:t>
            </w:r>
          </w:p>
        </w:tc>
        <w:tc>
          <w:tcPr/>
          <w:p>
            <w:pPr>
              <w:pStyle w:val="Compact"/>
              <w:jc w:val="center"/>
            </w:pPr>
            <w:r>
              <w:t xml:space="preserve">0.0000</w:t>
            </w:r>
          </w:p>
        </w:tc>
        <w:tc>
          <w:tcPr/>
          <w:p>
            <w:pPr>
              <w:pStyle w:val="Compact"/>
              <w:jc w:val="center"/>
            </w:pPr>
            <w:r>
              <w:t xml:space="preserve">0.167</w:t>
            </w:r>
          </w:p>
        </w:tc>
      </w:tr>
    </w:tbl>
    <w:bookmarkEnd w:id="64"/>
    <w:p>
      <w:pPr>
        <w:pStyle w:val="BodyText"/>
      </w:pPr>
      <w:r>
        <w:rPr>
          <w:rFonts w:hint="eastAsia"/>
        </w:rPr>
        <w:t xml:space="preserve">注：</w:t>
      </w:r>
      <m:oMath>
        <m:sSup>
          <m:e>
            <m:r>
              <m:t>​</m:t>
            </m:r>
          </m:e>
          <m:sup>
            <m:r>
              <m:rPr>
                <m:sty m:val="p"/>
              </m:rPr>
              <m:t>*</m:t>
            </m:r>
            <m:r>
              <m:rPr>
                <m:sty m:val="p"/>
              </m:rPr>
              <m:t>*</m:t>
            </m:r>
            <m:r>
              <m:rPr>
                <m:sty m:val="p"/>
              </m:rPr>
              <m:t>*</m:t>
            </m:r>
          </m:sup>
        </m:sSup>
        <m:r>
          <m:t>p</m:t>
        </m:r>
        <m:r>
          <m:rPr>
            <m:sty m:val="p"/>
          </m:rPr>
          <m:t>&lt;</m:t>
        </m:r>
        <m:r>
          <m:t>0.001</m:t>
        </m:r>
      </m:oMath>
      <w:r>
        <w:rPr>
          <w:rFonts w:hint="eastAsia"/>
        </w:rPr>
        <w:t xml:space="preserve">，</w:t>
      </w:r>
      <m:oMath>
        <m:sSup>
          <m:e>
            <m:r>
              <m:t>​</m:t>
            </m:r>
          </m:e>
          <m:sup>
            <m:r>
              <m:rPr>
                <m:sty m:val="p"/>
              </m:rPr>
              <m:t>*</m:t>
            </m:r>
            <m:r>
              <m:rPr>
                <m:sty m:val="p"/>
              </m:rPr>
              <m:t>*</m:t>
            </m:r>
          </m:sup>
        </m:sSup>
        <m:r>
          <m:t>p</m:t>
        </m:r>
        <m:r>
          <m:rPr>
            <m:sty m:val="p"/>
          </m:rPr>
          <m:t>&lt;</m:t>
        </m:r>
        <m:r>
          <m:t>0.01</m:t>
        </m:r>
      </m:oMath>
      <w:r>
        <w:rPr>
          <w:rFonts w:hint="eastAsia"/>
        </w:rPr>
        <w:t xml:space="preserve">，</w:t>
      </w:r>
      <m:oMath>
        <m:sSup>
          <m:e>
            <m:r>
              <m:t>​</m:t>
            </m:r>
          </m:e>
          <m:sup>
            <m:r>
              <m:rPr>
                <m:sty m:val="p"/>
              </m:rPr>
              <m:t>*</m:t>
            </m:r>
          </m:sup>
        </m:sSup>
        <m:r>
          <m:t>p</m:t>
        </m:r>
        <m:r>
          <m:rPr>
            <m:sty m:val="p"/>
          </m:rPr>
          <m:t>&lt;</m:t>
        </m:r>
        <m:r>
          <m:t>0.05</m:t>
        </m:r>
      </m:oMath>
      <w:r>
        <w:rPr>
          <w:rFonts w:hint="eastAsia"/>
        </w:rPr>
        <w:t xml:space="preserve">；样本为社会类话题；所有模型均控制季度固定效应与节假日效应；热度分组基于三分位数划分。</w:t>
      </w:r>
    </w:p>
    <w:bookmarkStart w:id="65" w:name="季度异质性"/>
    <w:p>
      <w:pPr>
        <w:pStyle w:val="Heading2"/>
      </w:pPr>
      <w:r>
        <w:rPr>
          <w:rFonts w:hint="eastAsia"/>
        </w:rPr>
        <w:t xml:space="preserve">季度异质性</w:t>
      </w:r>
    </w:p>
    <w:p>
      <w:pPr>
        <w:pStyle w:val="FirstParagraph"/>
      </w:pPr>
      <w:r>
        <w:rPr>
          <w:rFonts w:hint="eastAsia"/>
        </w:rPr>
        <w:t xml:space="preserve">信息差指数的政策效应呈现显著的季度差异。Q2（4-6月）效应最为强烈，即时下降2.45个百分点（</w:t>
      </w:r>
      <m:oMath>
        <m:r>
          <m:t>p</m:t>
        </m:r>
        <m:r>
          <m:rPr>
            <m:sty m:val="p"/>
          </m:rPr>
          <m:t>&lt;</m:t>
        </m:r>
        <m:r>
          <m:t>0.001</m:t>
        </m:r>
      </m:oMath>
      <w:r>
        <w:rPr>
          <w:rFonts w:hint="eastAsia"/>
        </w:rPr>
        <w:t xml:space="preserve">）；Q1（1-3月）次之，即时下降1.29个百分点（</w:t>
      </w:r>
      <m:oMath>
        <m:r>
          <m:t>p</m:t>
        </m:r>
        <m:r>
          <m:rPr>
            <m:sty m:val="p"/>
          </m:rPr>
          <m:t>=</m:t>
        </m:r>
        <m:r>
          <m:t>0.050</m:t>
        </m:r>
      </m:oMath>
      <w:r>
        <w:rPr>
          <w:rFonts w:hint="eastAsia"/>
        </w:rPr>
        <w:t xml:space="preserve">）；Q3与Q4效应则不显著。这一季节性模式可能与监管资源配置周期有关：Q1-Q2通常是监管部门年度考核与专项行动密集期，平台合规压力较大；下半年监管力度相对趋缓，治理效应有所减弱。</w:t>
      </w:r>
    </w:p>
    <w:bookmarkEnd w:id="65"/>
    <w:bookmarkStart w:id="66" w:name="时间段异质性"/>
    <w:p>
      <w:pPr>
        <w:pStyle w:val="Heading2"/>
      </w:pPr>
      <w:r>
        <w:rPr>
          <w:rFonts w:hint="eastAsia"/>
        </w:rPr>
        <w:t xml:space="preserve">时间段异质性</w:t>
      </w:r>
    </w:p>
    <w:p>
      <w:pPr>
        <w:pStyle w:val="FirstParagraph"/>
      </w:pPr>
      <w:r>
        <w:rPr>
          <w:rFonts w:hint="eastAsia"/>
        </w:rPr>
        <w:t xml:space="preserve">情绪唤起指数在工作日与周末呈现差异化响应。周末情绪唤起指数即时下降1.29个百分点（</w:t>
      </w:r>
      <m:oMath>
        <m:r>
          <m:t>p</m:t>
        </m:r>
        <m:r>
          <m:rPr>
            <m:sty m:val="p"/>
          </m:rPr>
          <m:t>=</m:t>
        </m:r>
        <m:r>
          <m:t>0.017</m:t>
        </m:r>
      </m:oMath>
      <w:r>
        <w:rPr>
          <w:rFonts w:hint="eastAsia"/>
        </w:rPr>
        <w:t xml:space="preserve">），而工作日效应不显著（</w:t>
      </w:r>
      <m:oMath>
        <m:r>
          <m:t>p</m:t>
        </m:r>
        <m:r>
          <m:rPr>
            <m:sty m:val="p"/>
          </m:rPr>
          <m:t>=</m:t>
        </m:r>
        <m:r>
          <m:t>0.725</m:t>
        </m:r>
      </m:oMath>
      <w:r>
        <w:rPr>
          <w:rFonts w:hint="eastAsia"/>
        </w:rPr>
        <w:t xml:space="preserve">）。这一发现揭示了用户行为与算法推荐的交互模式：周末用户在线时长较长、信息消费更为集中，平台在此时段更倾向于推送高情绪价值内容以提升用户黏性；政策实施后，周末的情绪激励策略受到更大约束，效应更为显著。</w:t>
      </w:r>
    </w:p>
    <w:bookmarkEnd w:id="66"/>
    <w:bookmarkStart w:id="67" w:name="话题热度异质性"/>
    <w:p>
      <w:pPr>
        <w:pStyle w:val="Heading2"/>
      </w:pPr>
      <w:r>
        <w:rPr>
          <w:rFonts w:hint="eastAsia"/>
        </w:rPr>
        <w:t xml:space="preserve">话题热度异质性</w:t>
      </w:r>
    </w:p>
    <w:p>
      <w:pPr>
        <w:pStyle w:val="FirstParagraph"/>
      </w:pPr>
      <w:r>
        <w:rPr>
          <w:rFonts w:hint="eastAsia"/>
        </w:rPr>
        <w:t xml:space="preserve">按热度三分位划分样本后，高热度话题呈现即时下降趋势但不显著（</w:t>
      </w:r>
      <m:oMath>
        <m:r>
          <m:t>p</m:t>
        </m:r>
        <m:r>
          <m:rPr>
            <m:sty m:val="p"/>
          </m:rPr>
          <m:t>=</m:t>
        </m:r>
        <m:r>
          <m:t>0.196</m:t>
        </m:r>
      </m:oMath>
      <w:r>
        <w:rPr>
          <w:rFonts w:hint="eastAsia"/>
        </w:rPr>
        <w:t xml:space="preserve">）；中热度话题在趋势效应上显著为正（</w:t>
      </w:r>
      <m:oMath>
        <m:r>
          <m:t>p</m:t>
        </m:r>
        <m:r>
          <m:rPr>
            <m:sty m:val="p"/>
          </m:rPr>
          <m:t>=</m:t>
        </m:r>
        <m:r>
          <m:t>0.006</m:t>
        </m:r>
      </m:oMath>
      <w:r>
        <w:rPr>
          <w:rFonts w:hint="eastAsia"/>
        </w:rPr>
        <w:t xml:space="preserve">），表明政策后中热度话题的信息差呈持续上升态势；低热度话题两项效应均不显著。这一非对称格局暗示，算法治理主要约束了头部高热度话题的信息诱导策略，而中热度话题作为</w:t>
      </w:r>
      <w:r>
        <w:rPr>
          <w:rFonts w:hint="eastAsia"/>
        </w:rPr>
        <w:t xml:space="preserve">“腰部内容”</w:t>
      </w:r>
      <w:r>
        <w:rPr>
          <w:rFonts w:hint="eastAsia"/>
        </w:rPr>
        <w:t xml:space="preserve">在监管盲区中获得了更大的策略空间。</w:t>
      </w:r>
    </w:p>
    <w:bookmarkEnd w:id="67"/>
    <w:bookmarkEnd w:id="68"/>
    <w:bookmarkStart w:id="151" w:name="结论与讨论"/>
    <w:p>
      <w:pPr>
        <w:pStyle w:val="Heading1"/>
      </w:pPr>
      <w:r>
        <w:rPr>
          <w:rFonts w:hint="eastAsia"/>
        </w:rPr>
        <w:t xml:space="preserve">结论与讨论</w:t>
      </w:r>
    </w:p>
    <w:p>
      <w:pPr>
        <w:pStyle w:val="FirstParagraph"/>
      </w:pPr>
      <w:r>
        <w:rPr>
          <w:rFonts w:hint="eastAsia"/>
        </w:rPr>
        <w:t xml:space="preserve">本文利用2024年11月中国清朗行动算法治理政策这一准自然实验，构建基于资源依赖理论的统一分析框架，采用断点回归时间序列（ITS）与双重差分（DID）相结合的识别策略，基于微博热搜榜608天、超过253,227条观测值的高频数据，系统评估了算法治理对平台内容生态的多维重构效应。</w:t>
      </w:r>
    </w:p>
    <w:bookmarkStart w:id="69" w:name="主要发现"/>
    <w:p>
      <w:pPr>
        <w:pStyle w:val="Heading2"/>
      </w:pPr>
      <w:r>
        <w:rPr>
          <w:rFonts w:hint="eastAsia"/>
        </w:rPr>
        <w:t xml:space="preserve">主要发现</w:t>
      </w:r>
    </w:p>
    <w:p>
      <w:pPr>
        <w:pStyle w:val="FirstParagraph"/>
      </w:pPr>
      <w:r>
        <w:rPr>
          <w:rFonts w:hint="eastAsia"/>
        </w:rPr>
        <w:t xml:space="preserve">本研究的实证分析全面验证了四项核心假设，揭示了算法治理对平台生态系统的复杂影响：</w:t>
      </w:r>
    </w:p>
    <w:p>
      <w:pPr>
        <w:pStyle w:val="BodyText"/>
      </w:pPr>
      <w:r>
        <w:rPr>
          <w:rFonts w:hint="eastAsia"/>
        </w:rPr>
        <w:t xml:space="preserve">算法治理在改善内容生态的同时引发了注意力的结构性再分配。具体而言：（1）内容质量分化：分级分类治理导致社会类内容质量显著提升（信息差指数下降20.0%、机构媒体占比上升25.2%），DID估计显示机构媒体相对自媒体的信息差净下降2.05个百分点，平行趋势检验支持因果识别的有效性，而娱乐类质量保持稳定，形成差异化的质量改善格局。（2）注意力去中心化：算法治理有效打破了头部话题的垄断格局（Shannon熵上升18.7%、HHI下降11.8%，单条话题重复上榜次数下降23.4%、连续在榜时长缩短31.7%）。（3）水床效应：在注意力总量守恒的零和约束下（周度总热度守恒，</w:t>
      </w:r>
      <m:oMath>
        <m:r>
          <m:t>p</m:t>
        </m:r>
        <m:r>
          <m:rPr>
            <m:sty m:val="p"/>
          </m:rPr>
          <m:t>=</m:t>
        </m:r>
        <m:r>
          <m:t>0.626</m:t>
        </m:r>
      </m:oMath>
      <w:r>
        <w:rPr>
          <w:rFonts w:hint="eastAsia"/>
        </w:rPr>
        <w:t xml:space="preserve">），社会类份额即时下降3.16个百分点、娱乐类即时上升3.84个百分点，呈现出典型的</w:t>
      </w:r>
      <w:r>
        <w:rPr>
          <w:rFonts w:hint="eastAsia"/>
        </w:rPr>
        <w:t xml:space="preserve">“社会类紧缩—娱乐类扩张”</w:t>
      </w:r>
      <w:r>
        <w:rPr>
          <w:rFonts w:hint="eastAsia"/>
        </w:rPr>
        <w:t xml:space="preserve">跷跷板格局。（4）密度分化：社会类呈</w:t>
      </w:r>
      <w:r>
        <w:rPr>
          <w:rFonts w:hint="eastAsia"/>
        </w:rPr>
        <w:t xml:space="preserve">“少而精”</w:t>
      </w:r>
      <w:r>
        <w:rPr>
          <w:rFonts w:hint="eastAsia"/>
        </w:rPr>
        <w:t xml:space="preserve">调整（话题数量减少、单条时长增加），娱乐类呈</w:t>
      </w:r>
      <w:r>
        <w:rPr>
          <w:rFonts w:hint="eastAsia"/>
        </w:rPr>
        <w:t xml:space="preserve">“多且长”</w:t>
      </w:r>
      <w:r>
        <w:rPr>
          <w:rFonts w:hint="eastAsia"/>
        </w:rPr>
        <w:t xml:space="preserve">调整（数量和时长同步扩张），揭示了平台在宏观再配置基础上的微观精细化响应策略。</w:t>
      </w:r>
    </w:p>
    <w:p>
      <w:pPr>
        <w:pStyle w:val="BodyText"/>
      </w:pPr>
      <w:r>
        <w:rPr>
          <w:rFonts w:hint="eastAsia"/>
        </w:rPr>
        <w:t xml:space="preserve">上述发现共同验证了基于资源依赖理论的分析框架：算法治理通过差异化地改变不同内容类型的资源获取成本，触发平台作为资源依赖者的再配置行为，最终导致内容生态的多维重构。多样性提升与质量改善的积极效果，与注意力再分配的非预期后果并存，揭示了算法治理中多元目标之间的潜在张力。</w:t>
      </w:r>
    </w:p>
    <w:bookmarkEnd w:id="69"/>
    <w:bookmarkStart w:id="73" w:name="理论贡献"/>
    <w:p>
      <w:pPr>
        <w:pStyle w:val="Heading2"/>
      </w:pPr>
      <w:r>
        <w:rPr>
          <w:rFonts w:hint="eastAsia"/>
        </w:rPr>
        <w:t xml:space="preserve">理论贡献</w:t>
      </w:r>
    </w:p>
    <w:p>
      <w:pPr>
        <w:pStyle w:val="FirstParagraph"/>
      </w:pPr>
      <w:r>
        <w:rPr>
          <w:rFonts w:hint="eastAsia"/>
        </w:rPr>
        <w:t xml:space="preserve">本研究在以下三个方面推进了算法治理与平台经济的理论发展：</w:t>
      </w:r>
    </w:p>
    <w:bookmarkStart w:id="70" w:name="构建了基于资源依赖理论的统一分析框架"/>
    <w:p>
      <w:pPr>
        <w:pStyle w:val="Heading3"/>
      </w:pPr>
      <w:r>
        <w:rPr>
          <w:rFonts w:hint="eastAsia"/>
        </w:rPr>
        <w:t xml:space="preserve">构建了基于资源依赖理论的统一分析框架</w:t>
      </w:r>
    </w:p>
    <w:p>
      <w:pPr>
        <w:pStyle w:val="FirstParagraph"/>
      </w:pPr>
      <w:r>
        <w:rPr>
          <w:rFonts w:hint="eastAsia"/>
        </w:rPr>
        <w:t xml:space="preserve">本研究的核心理论贡献在于将资源依赖理论应用于算法治理情境，构建了统一的分析框架。该框架的核心命题是：用户注意力构成数字平台最核心的稀缺资源，算法治理通过差异化地改变不同内容类型的资源获取成本，触发平台的资源再配置行为。</w:t>
      </w:r>
    </w:p>
    <w:p>
      <w:pPr>
        <w:pStyle w:val="BodyText"/>
      </w:pPr>
      <w:r>
        <w:rPr>
          <w:rFonts w:hint="eastAsia"/>
        </w:rPr>
        <w:t xml:space="preserve">这一框架的理论价值在于：它将看似分散的多元治理效应——内容质量分化、注意力去中心化、水床效应、密度分化——纳入统一的资源依赖逻辑。四项效应不再是孤立的政策后果，而是平台在新的资源约束下进行系统性再配置的不同维度表现。H1（内容质量分化）是成本重构的直接效应；H2（注意力去中心化）是多样性约束的效应；H3（水床效应）是资源总量约束下的再配置效应；H4（密度分化）是资源再配置的微观表现。</w:t>
      </w:r>
    </w:p>
    <w:bookmarkEnd w:id="70"/>
    <w:bookmarkStart w:id="71" w:name="揭示了算法治理的水床效应机制"/>
    <w:p>
      <w:pPr>
        <w:pStyle w:val="Heading3"/>
      </w:pPr>
      <w:r>
        <w:rPr>
          <w:rFonts w:hint="eastAsia"/>
        </w:rPr>
        <w:t xml:space="preserve">揭示了算法治理的</w:t>
      </w:r>
      <w:r>
        <w:rPr>
          <w:rFonts w:hint="eastAsia"/>
        </w:rPr>
        <w:t xml:space="preserve">“水床效应”</w:t>
      </w:r>
      <w:r>
        <w:rPr>
          <w:rFonts w:hint="eastAsia"/>
        </w:rPr>
        <w:t xml:space="preserve">机制</w:t>
      </w:r>
    </w:p>
    <w:p>
      <w:pPr>
        <w:pStyle w:val="FirstParagraph"/>
      </w:pPr>
      <w:r>
        <w:rPr>
          <w:rFonts w:hint="eastAsia"/>
        </w:rPr>
        <w:t xml:space="preserve">本研究首次在实证层面揭示了算法治理的</w:t>
      </w:r>
      <w:r>
        <w:rPr>
          <w:rFonts w:hint="eastAsia"/>
        </w:rPr>
        <w:t xml:space="preserve">“水床效应”</w:t>
      </w:r>
      <w:r>
        <w:rPr>
          <w:rFonts w:hint="eastAsia"/>
        </w:rPr>
        <w:t xml:space="preserve">：在注意力总量约束下，对某一内容领域的监管强化将引发注意力向其他领域的系统性转移。这一发现拓展了平台治理的理论边界，表明监管效果的评估须超越单一维度，关注治理的系统性影响和溢出效应。</w:t>
      </w:r>
    </w:p>
    <w:p>
      <w:pPr>
        <w:pStyle w:val="BodyText"/>
      </w:pPr>
      <w:r>
        <w:rPr>
          <w:rFonts w:hint="eastAsia"/>
        </w:rPr>
        <w:t xml:space="preserve">水床效应的理论意义在于：它揭示了注意力经济中</w:t>
      </w:r>
      <w:r>
        <w:rPr>
          <w:rFonts w:hint="eastAsia"/>
        </w:rPr>
        <w:t xml:space="preserve">“零和博弈”</w:t>
      </w:r>
      <w:r>
        <w:rPr>
          <w:rFonts w:hint="eastAsia"/>
        </w:rPr>
        <w:t xml:space="preserve">的深层逻辑——用户注意力作为稀缺资源，其总量在短期内近似固定，监管改变的是注意力的配置结构而非总量。这一机制为理解算法治理的间接传导路径提供了分析工具：监管并非直接作用于内容本身，而是通过改变平台的资源获取成本来间接重塑内容生态。</w:t>
      </w:r>
    </w:p>
    <w:bookmarkEnd w:id="71"/>
    <w:bookmarkStart w:id="72" w:name="提出了多元治理目标间的权衡框架"/>
    <w:p>
      <w:pPr>
        <w:pStyle w:val="Heading3"/>
      </w:pPr>
      <w:r>
        <w:rPr>
          <w:rFonts w:hint="eastAsia"/>
        </w:rPr>
        <w:t xml:space="preserve">提出了多元治理目标间的权衡框架</w:t>
      </w:r>
    </w:p>
    <w:p>
      <w:pPr>
        <w:pStyle w:val="FirstParagraph"/>
      </w:pPr>
      <w:r>
        <w:rPr>
          <w:rFonts w:hint="eastAsia"/>
        </w:rPr>
        <w:t xml:space="preserve">本研究基于实证发现，提出算法治理存在多元目标间的潜在权衡。在注意力总量相对稳定的约束下，监管者难以同时最大化以下三个目标：（1）信息多样性：打破头部垄断，提升内容分布的均匀程度；（2）内容质量：提高高风险内容的质量门槛，减少低质内容；（3）公共议题曝光：确保社会类内容获得充分的用户触达。</w:t>
      </w:r>
    </w:p>
    <w:p>
      <w:pPr>
        <w:pStyle w:val="BodyText"/>
      </w:pPr>
      <w:r>
        <w:rPr>
          <w:rFonts w:hint="eastAsia"/>
        </w:rPr>
        <w:t xml:space="preserve">本研究的实证结果显示，政策在多样性和社会类质量两个维度取得了积极效果，但社会类份额的下降可能削弱公共议题的曝光机会。这一权衡框架为理解算法治理的复杂性提供了理论工具，也为政策设计提供了分析基础。</w:t>
      </w:r>
    </w:p>
    <w:bookmarkEnd w:id="72"/>
    <w:bookmarkEnd w:id="73"/>
    <w:bookmarkStart w:id="78" w:name="政策启示"/>
    <w:p>
      <w:pPr>
        <w:pStyle w:val="Heading2"/>
      </w:pPr>
      <w:r>
        <w:rPr>
          <w:rFonts w:hint="eastAsia"/>
        </w:rPr>
        <w:t xml:space="preserve">政策启示</w:t>
      </w:r>
    </w:p>
    <w:p>
      <w:pPr>
        <w:pStyle w:val="FirstParagraph"/>
      </w:pPr>
      <w:r>
        <w:rPr>
          <w:rFonts w:hint="eastAsia"/>
        </w:rPr>
        <w:t xml:space="preserve">基于上述理论发现，本研究为算法治理的政策优化提出以下建议：</w:t>
      </w:r>
    </w:p>
    <w:bookmarkStart w:id="74" w:name="建立多维度治理效果评估体系"/>
    <w:p>
      <w:pPr>
        <w:pStyle w:val="Heading3"/>
      </w:pPr>
      <w:r>
        <w:rPr>
          <w:rFonts w:hint="eastAsia"/>
        </w:rPr>
        <w:t xml:space="preserve">建立多维度治理效果评估体系</w:t>
      </w:r>
    </w:p>
    <w:p>
      <w:pPr>
        <w:pStyle w:val="FirstParagraph"/>
      </w:pPr>
      <w:r>
        <w:rPr>
          <w:rFonts w:hint="eastAsia"/>
        </w:rPr>
        <w:t xml:space="preserve">当前监管评估多聚焦于单一维度（如内容质量或多样性），本研究表明算法治理具有系统性影响，须建立涵盖多样性、质量、注意力配置、用户效用等多维度的综合评估体系。具体建议包括：（1）将</w:t>
      </w:r>
      <w:r>
        <w:rPr>
          <w:rFonts w:hint="eastAsia"/>
        </w:rPr>
        <w:t xml:space="preserve">“注意力配置结构”</w:t>
      </w:r>
      <w:r>
        <w:rPr>
          <w:rFonts w:hint="eastAsia"/>
        </w:rPr>
        <w:t xml:space="preserve">纳入监管评估指标，监测不同内容类型的份额变化；（2）建立</w:t>
      </w:r>
      <w:r>
        <w:rPr>
          <w:rFonts w:hint="eastAsia"/>
        </w:rPr>
        <w:t xml:space="preserve">“非预期后果”</w:t>
      </w:r>
      <w:r>
        <w:rPr>
          <w:rFonts w:hint="eastAsia"/>
        </w:rPr>
        <w:t xml:space="preserve">预警机制，识别治理措施可能引发的溢出效应；（3）开展定期的治理效果审计，动态调整监管策略。</w:t>
      </w:r>
    </w:p>
    <w:bookmarkEnd w:id="74"/>
    <w:bookmarkStart w:id="75" w:name="探索差异化的正向激励机制"/>
    <w:p>
      <w:pPr>
        <w:pStyle w:val="Heading3"/>
      </w:pPr>
      <w:r>
        <w:rPr>
          <w:rFonts w:hint="eastAsia"/>
        </w:rPr>
        <w:t xml:space="preserve">探索差异化的正向激励机制</w:t>
      </w:r>
    </w:p>
    <w:p>
      <w:pPr>
        <w:pStyle w:val="FirstParagraph"/>
      </w:pPr>
      <w:r>
        <w:rPr>
          <w:rFonts w:hint="eastAsia"/>
        </w:rPr>
        <w:t xml:space="preserve">当前监管主要通过提高违规成本来约束平台行为，本研究发现这一</w:t>
      </w:r>
      <w:r>
        <w:rPr>
          <w:rFonts w:hint="eastAsia"/>
        </w:rPr>
        <w:t xml:space="preserve">“负向激励”</w:t>
      </w:r>
      <w:r>
        <w:rPr>
          <w:rFonts w:hint="eastAsia"/>
        </w:rPr>
        <w:t xml:space="preserve">模式可能导致水床效应。建议探索正向激励机制作为补充：（1）对高质量社会类内容给予流量扶持或经济激励，弥补监管导致的份额下降；（2）将</w:t>
      </w:r>
      <w:r>
        <w:rPr>
          <w:rFonts w:hint="eastAsia"/>
        </w:rPr>
        <w:t xml:space="preserve">“公共价值贡献”</w:t>
      </w:r>
      <w:r>
        <w:rPr>
          <w:rFonts w:hint="eastAsia"/>
        </w:rPr>
        <w:t xml:space="preserve">纳入平台评价体系，激励平台主动提升公共议题的曝光质量；（3）建立</w:t>
      </w:r>
      <w:r>
        <w:rPr>
          <w:rFonts w:hint="eastAsia"/>
        </w:rPr>
        <w:t xml:space="preserve">“质量—曝光”</w:t>
      </w:r>
      <w:r>
        <w:rPr>
          <w:rFonts w:hint="eastAsia"/>
        </w:rPr>
        <w:t xml:space="preserve">联动机制，使高质量内容获得与其公共价值相匹配的注意力配额。</w:t>
      </w:r>
    </w:p>
    <w:bookmarkEnd w:id="75"/>
    <w:bookmarkStart w:id="76" w:name="增强用户对算法的知情权与选择权"/>
    <w:p>
      <w:pPr>
        <w:pStyle w:val="Heading3"/>
      </w:pPr>
      <w:r>
        <w:rPr>
          <w:rFonts w:hint="eastAsia"/>
        </w:rPr>
        <w:t xml:space="preserve">增强用户对算法的知情权与选择权</w:t>
      </w:r>
    </w:p>
    <w:p>
      <w:pPr>
        <w:pStyle w:val="FirstParagraph"/>
      </w:pPr>
      <w:r>
        <w:rPr>
          <w:rFonts w:hint="eastAsia"/>
        </w:rPr>
        <w:t xml:space="preserve">本研究揭示的水床效应本质上是平台在监管约束下的最优化响应，用户在此过程中处于被动地位。建议监管政策在约束平台算法的同时，推动平台向用户提供算法偏好的调整选项：（1）允许用户在一定范围内调整不同内容类型的推荐权重；（2）提供</w:t>
      </w:r>
      <w:r>
        <w:rPr>
          <w:rFonts w:hint="eastAsia"/>
        </w:rPr>
        <w:t xml:space="preserve">“探索模式”</w:t>
      </w:r>
      <w:r>
        <w:rPr>
          <w:rFonts w:hint="eastAsia"/>
        </w:rPr>
        <w:t xml:space="preserve">与</w:t>
      </w:r>
      <w:r>
        <w:rPr>
          <w:rFonts w:hint="eastAsia"/>
        </w:rPr>
        <w:t xml:space="preserve">“偏好模式”</w:t>
      </w:r>
      <w:r>
        <w:rPr>
          <w:rFonts w:hint="eastAsia"/>
        </w:rPr>
        <w:t xml:space="preserve">的切换功能；（3）增强算法推荐的透明度，让用户了解内容配置的变化及其原因。这种</w:t>
      </w:r>
      <w:r>
        <w:rPr>
          <w:rFonts w:hint="eastAsia"/>
        </w:rPr>
        <w:t xml:space="preserve">“用户赋权”</w:t>
      </w:r>
      <w:r>
        <w:rPr>
          <w:rFonts w:hint="eastAsia"/>
        </w:rPr>
        <w:t xml:space="preserve">策略既保障了平台层面的基本多样性，又尊重了用户偏好的异质性。</w:t>
      </w:r>
    </w:p>
    <w:bookmarkEnd w:id="76"/>
    <w:bookmarkStart w:id="77" w:name="建立跨平台协同治理机制"/>
    <w:p>
      <w:pPr>
        <w:pStyle w:val="Heading3"/>
      </w:pPr>
      <w:r>
        <w:rPr>
          <w:rFonts w:hint="eastAsia"/>
        </w:rPr>
        <w:t xml:space="preserve">建立跨平台协同治理机制</w:t>
      </w:r>
    </w:p>
    <w:p>
      <w:pPr>
        <w:pStyle w:val="FirstParagraph"/>
      </w:pPr>
      <w:r>
        <w:rPr>
          <w:rFonts w:hint="eastAsia"/>
        </w:rPr>
        <w:t xml:space="preserve">本研究聚焦单一平台，但用户的跨平台迁移可能削弱单一平台监管的效果。如果用户因监管导致的内容变化而转向其他平台，则单一平台的治理效果将被稀释。建议在主要平台间建立协同治理机制：（1）统一的内容质量标准和多样性要求；（2）低质内容信息共享和联合治理；（3）同步执法以降低跨平台套利空间。</w:t>
      </w:r>
    </w:p>
    <w:bookmarkEnd w:id="77"/>
    <w:bookmarkEnd w:id="78"/>
    <w:bookmarkStart w:id="79" w:name="研究局限与未来方向"/>
    <w:p>
      <w:pPr>
        <w:pStyle w:val="Heading2"/>
      </w:pPr>
      <w:r>
        <w:rPr>
          <w:rFonts w:hint="eastAsia"/>
        </w:rPr>
        <w:t xml:space="preserve">研究局限与未来方向</w:t>
      </w:r>
    </w:p>
    <w:p>
      <w:pPr>
        <w:pStyle w:val="FirstParagraph"/>
      </w:pPr>
      <w:r>
        <w:rPr>
          <w:rFonts w:hint="eastAsia"/>
        </w:rPr>
        <w:t xml:space="preserve">本研究存在以下局限，为未来研究提供了方向：</w:t>
      </w:r>
    </w:p>
    <w:p>
      <w:pPr>
        <w:pStyle w:val="BodyText"/>
      </w:pPr>
      <w:r>
        <w:rPr>
          <w:rFonts w:hint="eastAsia"/>
        </w:rPr>
        <w:t xml:space="preserve">数据局限。第一，用户偏好数据缺失。本研究仅观测到平台供给侧的内容配置变化，无法直接测度用户需求侧的真实偏好变化，未来研究可通过用户调查或行为实验弥补这一不足。第二，跨平台数据缺乏。本研究聚焦微博单一平台，无法验证用户是否因监管而将注意力转移至其他平台，未来研究可收集多平台数据进行比较分析。第三，观测窗口有限。本研究观测窗口为政策实施后约10个月，仅能捕捉短期和中期效应，长期效应有待追踪。</w:t>
      </w:r>
    </w:p>
    <w:p>
      <w:pPr>
        <w:pStyle w:val="BodyText"/>
      </w:pPr>
      <w:r>
        <w:rPr>
          <w:rFonts w:hint="eastAsia"/>
        </w:rPr>
        <w:t xml:space="preserve">未来研究方向。第一，开展用户层面的田野实验，向部分用户提供算法控制权，观测用户的真实选择行为和效用变化，验证</w:t>
      </w:r>
      <w:r>
        <w:rPr>
          <w:rFonts w:hint="eastAsia"/>
        </w:rPr>
        <w:t xml:space="preserve">“用户赋权”</w:t>
      </w:r>
      <w:r>
        <w:rPr>
          <w:rFonts w:hint="eastAsia"/>
        </w:rPr>
        <w:t xml:space="preserve">策略的有效性。第二，收集多平台用户行为数据，检验单一平台监管是否导致用户跨平台迁移，评估协同治理的必要性。第三，追踪监管后用户的信息获取行为、政治参与度、主观福利等指标，评估算法治理对用户长期效用的影响。第四，开展国际比较研究，对比中国、欧盟《数字服务法》、美国等不同治理模式的效果差异，识别有效治理实践的共同特征。</w:t>
      </w:r>
    </w:p>
    <w:bookmarkEnd w:id="79"/>
    <w:bookmarkStart w:id="150" w:name="结语"/>
    <w:p>
      <w:pPr>
        <w:pStyle w:val="Heading2"/>
      </w:pPr>
      <w:r>
        <w:rPr>
          <w:rFonts w:hint="eastAsia"/>
        </w:rPr>
        <w:t xml:space="preserve">结语</w:t>
      </w:r>
    </w:p>
    <w:p>
      <w:pPr>
        <w:pStyle w:val="FirstParagraph"/>
      </w:pPr>
      <w:r>
        <w:rPr>
          <w:rFonts w:hint="eastAsia"/>
        </w:rPr>
        <w:t xml:space="preserve">算法推荐系统作为数字时代的信息配置机制，深刻影响着公共信息传播和社会认知形成。本研究利用中国清朗行动这一准自然实验，系统评估了算法治理的多维效应，揭示了治理在改善内容生态的同时引发注意力结构性再分配的复杂图景。</w:t>
      </w:r>
    </w:p>
    <w:p>
      <w:pPr>
        <w:pStyle w:val="BodyText"/>
      </w:pPr>
      <w:r>
        <w:rPr>
          <w:rFonts w:hint="eastAsia"/>
        </w:rPr>
        <w:t xml:space="preserve">“水床效应”</w:t>
      </w:r>
      <w:r>
        <w:rPr>
          <w:rFonts w:hint="eastAsia"/>
        </w:rPr>
        <w:t xml:space="preserve">的发现具有重要的政策含义：算法治理是一项需要在多元目标间寻求平衡的系统工程，单一维度的优化可能引发非预期后果。在约束平台算法的同时，建立多维评估体系、探索正向激励机制、增强用户知情权与选择权、推进跨平台协同治理，可能是实现更优治理效果的可行路径。</w:t>
      </w:r>
    </w:p>
    <w:p>
      <w:pPr>
        <w:pStyle w:val="BodyText"/>
      </w:pPr>
      <w:r>
        <w:rPr>
          <w:rFonts w:hint="eastAsia"/>
        </w:rPr>
        <w:t xml:space="preserve">本研究为理解算法治理的复杂效应提供了新的实证证据和理论框架，也为完善平台治理体系提供了政策参考。随着算法技术的持续演进和监管实践的不断深化，算法治理研究将继续面临新的挑战和机遇。</w:t>
      </w:r>
    </w:p>
    <w:bookmarkStart w:id="149" w:name="refs"/>
    <w:bookmarkStart w:id="81" w:name="ref-Armstrong2006"/>
    <w:p>
      <w:pPr>
        <w:pStyle w:val="Bibliography"/>
      </w:pPr>
      <w:r>
        <w:t xml:space="preserve">Armstrong, Mark. 2006.</w:t>
      </w:r>
      <w:r>
        <w:t xml:space="preserve"> </w:t>
      </w:r>
      <w:r>
        <w:t xml:space="preserve">“Competition in Two-Sided Markets.”</w:t>
      </w:r>
      <w:r>
        <w:t xml:space="preserve"> </w:t>
      </w:r>
      <w:r>
        <w:rPr>
          <w:i/>
          <w:iCs/>
        </w:rPr>
        <w:t xml:space="preserve">The RAND Journal of Economics</w:t>
      </w:r>
      <w:r>
        <w:t xml:space="preserve"> </w:t>
      </w:r>
      <w:r>
        <w:t xml:space="preserve">37 (3): 668–91.</w:t>
      </w:r>
      <w:r>
        <w:t xml:space="preserve"> </w:t>
      </w:r>
      <w:hyperlink r:id="rId80">
        <w:r>
          <w:rPr>
            <w:rStyle w:val="Hyperlink"/>
          </w:rPr>
          <w:t xml:space="preserve">https://doi.org/10.1111/j.1756-2171.2006.tb00037.x</w:t>
        </w:r>
      </w:hyperlink>
      <w:r>
        <w:t xml:space="preserve">.</w:t>
      </w:r>
    </w:p>
    <w:bookmarkEnd w:id="81"/>
    <w:bookmarkStart w:id="83" w:name="ref-Berman2018"/>
    <w:p>
      <w:pPr>
        <w:pStyle w:val="Bibliography"/>
      </w:pPr>
      <w:r>
        <w:t xml:space="preserve">Berman, Ron, and Zsolt Katona. 2020.</w:t>
      </w:r>
      <w:r>
        <w:t xml:space="preserve"> </w:t>
      </w:r>
      <w:r>
        <w:t xml:space="preserve">“Curation Algorithms and Filter Bubbles in Social Networks.”</w:t>
      </w:r>
      <w:r>
        <w:t xml:space="preserve"> </w:t>
      </w:r>
      <w:r>
        <w:rPr>
          <w:i/>
          <w:iCs/>
        </w:rPr>
        <w:t xml:space="preserve">Marketing Science</w:t>
      </w:r>
      <w:r>
        <w:t xml:space="preserve"> </w:t>
      </w:r>
      <w:r>
        <w:t xml:space="preserve">39 (2): 296–316.</w:t>
      </w:r>
      <w:r>
        <w:t xml:space="preserve"> </w:t>
      </w:r>
      <w:hyperlink r:id="rId82">
        <w:r>
          <w:rPr>
            <w:rStyle w:val="Hyperlink"/>
          </w:rPr>
          <w:t xml:space="preserve">https://doi.org/10.1287/mksc.2019.1208</w:t>
        </w:r>
      </w:hyperlink>
      <w:r>
        <w:t xml:space="preserve">.</w:t>
      </w:r>
    </w:p>
    <w:bookmarkEnd w:id="83"/>
    <w:bookmarkStart w:id="84" w:name="ref-Bucher2018"/>
    <w:p>
      <w:pPr>
        <w:pStyle w:val="Bibliography"/>
      </w:pPr>
      <w:r>
        <w:t xml:space="preserve">Bucher, Taina. 2018.</w:t>
      </w:r>
      <w:r>
        <w:t xml:space="preserve"> </w:t>
      </w:r>
      <w:r>
        <w:rPr>
          <w:i/>
          <w:iCs/>
        </w:rPr>
        <w:t xml:space="preserve">If...then: Algorithmic Power and Politics</w:t>
      </w:r>
      <w:r>
        <w:t xml:space="preserve">. Oxford University Press.</w:t>
      </w:r>
    </w:p>
    <w:bookmarkEnd w:id="84"/>
    <w:bookmarkStart w:id="86" w:name="ref-Chakraborty2016"/>
    <w:p>
      <w:pPr>
        <w:pStyle w:val="Bibliography"/>
      </w:pPr>
      <w:r>
        <w:t xml:space="preserve">Chakraborty, Abhijnan, Bhargavi Paranjape, Sourya Kakarla, and Niloy Ganguly. 2016.</w:t>
      </w:r>
      <w:r>
        <w:t xml:space="preserve"> </w:t>
      </w:r>
      <w:r>
        <w:t xml:space="preserve">“Stop Clickbait: Detecting and Preventing Clickbaits in Online News Media.”</w:t>
      </w:r>
      <w:r>
        <w:t xml:space="preserve"> </w:t>
      </w:r>
      <w:r>
        <w:rPr>
          <w:i/>
          <w:iCs/>
        </w:rPr>
        <w:t xml:space="preserve">Proceedings of the 2016 IEEE/ACM International Conference on Advances in Social Networks Analysis and Mining (ASONAM)</w:t>
      </w:r>
      <w:r>
        <w:t xml:space="preserve">, 9–16.</w:t>
      </w:r>
      <w:r>
        <w:t xml:space="preserve"> </w:t>
      </w:r>
      <w:hyperlink r:id="rId85">
        <w:r>
          <w:rPr>
            <w:rStyle w:val="Hyperlink"/>
          </w:rPr>
          <w:t xml:space="preserve">https://doi.org/10.1109/ASONAM.2016.7752207</w:t>
        </w:r>
      </w:hyperlink>
      <w:r>
        <w:t xml:space="preserve">.</w:t>
      </w:r>
    </w:p>
    <w:bookmarkEnd w:id="86"/>
    <w:bookmarkStart w:id="88" w:name="ref-Chen2015"/>
    <w:p>
      <w:pPr>
        <w:pStyle w:val="Bibliography"/>
      </w:pPr>
      <w:r>
        <w:t xml:space="preserve">Chen, Yimin, Niall J. Conroy, and Victoria L. Rubin. 2015.</w:t>
      </w:r>
      <w:r>
        <w:t xml:space="preserve"> </w:t>
      </w:r>
      <w:r>
        <w:t xml:space="preserve">“Misleading Online Content: Recognizing Clickbait as</w:t>
      </w:r>
      <w:r>
        <w:t xml:space="preserve"> </w:t>
      </w:r>
      <w:r>
        <w:t xml:space="preserve">‘False News’</w:t>
      </w:r>
      <w:r>
        <w:t xml:space="preserve">.”</w:t>
      </w:r>
      <w:r>
        <w:t xml:space="preserve"> </w:t>
      </w:r>
      <w:r>
        <w:rPr>
          <w:i/>
          <w:iCs/>
        </w:rPr>
        <w:t xml:space="preserve">Proceedings of the 2015 ACM Workshop on Multimodal Deception Detection</w:t>
      </w:r>
      <w:r>
        <w:t xml:space="preserve">, 15–19.</w:t>
      </w:r>
      <w:r>
        <w:t xml:space="preserve"> </w:t>
      </w:r>
      <w:hyperlink r:id="rId87">
        <w:r>
          <w:rPr>
            <w:rStyle w:val="Hyperlink"/>
          </w:rPr>
          <w:t xml:space="preserve">https://doi.org/10.1145/2823465.2823467</w:t>
        </w:r>
      </w:hyperlink>
      <w:r>
        <w:t xml:space="preserve">.</w:t>
      </w:r>
    </w:p>
    <w:bookmarkEnd w:id="88"/>
    <w:bookmarkStart w:id="90" w:name="ref-Creemers2022"/>
    <w:p>
      <w:pPr>
        <w:pStyle w:val="Bibliography"/>
      </w:pPr>
      <w:r>
        <w:t xml:space="preserve">Creemers, Rogier. 2022.</w:t>
      </w:r>
      <w:r>
        <w:t xml:space="preserve"> </w:t>
      </w:r>
      <w:r>
        <w:t xml:space="preserve">“China’s Emerging Data Protection Framework.”</w:t>
      </w:r>
      <w:r>
        <w:t xml:space="preserve"> </w:t>
      </w:r>
      <w:r>
        <w:rPr>
          <w:i/>
          <w:iCs/>
        </w:rPr>
        <w:t xml:space="preserve">Journal of Cybersecurity</w:t>
      </w:r>
      <w:r>
        <w:t xml:space="preserve"> </w:t>
      </w:r>
      <w:r>
        <w:t xml:space="preserve">8 (1): tyac011.</w:t>
      </w:r>
      <w:r>
        <w:t xml:space="preserve"> </w:t>
      </w:r>
      <w:hyperlink r:id="rId89">
        <w:r>
          <w:rPr>
            <w:rStyle w:val="Hyperlink"/>
          </w:rPr>
          <w:t xml:space="preserve">https://doi.org/10.1093/cybsec/tyac011</w:t>
        </w:r>
      </w:hyperlink>
      <w:r>
        <w:t xml:space="preserve">.</w:t>
      </w:r>
    </w:p>
    <w:bookmarkEnd w:id="90"/>
    <w:bookmarkStart w:id="91" w:name="ref-Davenport2001"/>
    <w:p>
      <w:pPr>
        <w:pStyle w:val="Bibliography"/>
      </w:pPr>
      <w:r>
        <w:t xml:space="preserve">Davenport, Thomas H., and John C. Beck. 2001.</w:t>
      </w:r>
      <w:r>
        <w:t xml:space="preserve"> </w:t>
      </w:r>
      <w:r>
        <w:rPr>
          <w:i/>
          <w:iCs/>
        </w:rPr>
        <w:t xml:space="preserve">The Attention Economy: Understanding the New Currency of Business</w:t>
      </w:r>
      <w:r>
        <w:t xml:space="preserve">. Harvard Business School Press.</w:t>
      </w:r>
    </w:p>
    <w:bookmarkEnd w:id="91"/>
    <w:bookmarkStart w:id="93" w:name="ref-Diakopoulos2016"/>
    <w:p>
      <w:pPr>
        <w:pStyle w:val="Bibliography"/>
      </w:pPr>
      <w:r>
        <w:t xml:space="preserve">Diakopoulos, Nicholas. 2016.</w:t>
      </w:r>
      <w:r>
        <w:t xml:space="preserve"> </w:t>
      </w:r>
      <w:r>
        <w:t xml:space="preserve">“Accountability in Algorithmic Decision Making.”</w:t>
      </w:r>
      <w:r>
        <w:t xml:space="preserve"> </w:t>
      </w:r>
      <w:r>
        <w:rPr>
          <w:i/>
          <w:iCs/>
        </w:rPr>
        <w:t xml:space="preserve">Communications of the ACM</w:t>
      </w:r>
      <w:r>
        <w:t xml:space="preserve"> </w:t>
      </w:r>
      <w:r>
        <w:t xml:space="preserve">59 (2): 56–62.</w:t>
      </w:r>
      <w:r>
        <w:t xml:space="preserve"> </w:t>
      </w:r>
      <w:hyperlink r:id="rId92">
        <w:r>
          <w:rPr>
            <w:rStyle w:val="Hyperlink"/>
          </w:rPr>
          <w:t xml:space="preserve">https://doi.org/10.1145/2844110</w:t>
        </w:r>
      </w:hyperlink>
      <w:r>
        <w:t xml:space="preserve">.</w:t>
      </w:r>
    </w:p>
    <w:bookmarkEnd w:id="93"/>
    <w:bookmarkStart w:id="95" w:name="ref-Ghazawneh2013"/>
    <w:p>
      <w:pPr>
        <w:pStyle w:val="Bibliography"/>
      </w:pPr>
      <w:r>
        <w:t xml:space="preserve">Ghazawneh, Ahmad, and Ola Henfridsson. 2013.</w:t>
      </w:r>
      <w:r>
        <w:t xml:space="preserve"> </w:t>
      </w:r>
      <w:r>
        <w:t xml:space="preserve">“Balancing Platform Control and External Contribution in Third-Party Development: The Boundary Resources Model.”</w:t>
      </w:r>
      <w:r>
        <w:t xml:space="preserve"> </w:t>
      </w:r>
      <w:r>
        <w:rPr>
          <w:i/>
          <w:iCs/>
        </w:rPr>
        <w:t xml:space="preserve">Information Systems Journal</w:t>
      </w:r>
      <w:r>
        <w:t xml:space="preserve"> </w:t>
      </w:r>
      <w:r>
        <w:t xml:space="preserve">23 (2): 173–92.</w:t>
      </w:r>
      <w:r>
        <w:t xml:space="preserve"> </w:t>
      </w:r>
      <w:hyperlink r:id="rId94">
        <w:r>
          <w:rPr>
            <w:rStyle w:val="Hyperlink"/>
          </w:rPr>
          <w:t xml:space="preserve">https://doi.org/10.1111/j.1365-2575.2012.00406.x</w:t>
        </w:r>
      </w:hyperlink>
      <w:r>
        <w:t xml:space="preserve">.</w:t>
      </w:r>
    </w:p>
    <w:bookmarkEnd w:id="95"/>
    <w:bookmarkStart w:id="96" w:name="ref-Gillespie2014"/>
    <w:p>
      <w:pPr>
        <w:pStyle w:val="Bibliography"/>
      </w:pPr>
      <w:r>
        <w:t xml:space="preserve">Gillespie, Tarleton. 2014.</w:t>
      </w:r>
      <w:r>
        <w:t xml:space="preserve"> </w:t>
      </w:r>
      <w:r>
        <w:t xml:space="preserve">“The Relevance of Algorithms.”</w:t>
      </w:r>
      <w:r>
        <w:t xml:space="preserve"> </w:t>
      </w:r>
      <w:r>
        <w:rPr>
          <w:i/>
          <w:iCs/>
        </w:rPr>
        <w:t xml:space="preserve">Media Technologies: Essays on Communication, Materiality, and Society</w:t>
      </w:r>
      <w:r>
        <w:t xml:space="preserve">, 167–94.</w:t>
      </w:r>
    </w:p>
    <w:bookmarkEnd w:id="96"/>
    <w:bookmarkStart w:id="97" w:name="ref-Gillespie2018"/>
    <w:p>
      <w:pPr>
        <w:pStyle w:val="Bibliography"/>
      </w:pPr>
      <w:r>
        <w:t xml:space="preserve">Gillespie, Tarleton. 2018.</w:t>
      </w:r>
      <w:r>
        <w:t xml:space="preserve"> </w:t>
      </w:r>
      <w:r>
        <w:rPr>
          <w:i/>
          <w:iCs/>
        </w:rPr>
        <w:t xml:space="preserve">Custodians of the Internet: Platforms, Content Moderation, and the Hidden Decisions That Shape Social Media</w:t>
      </w:r>
      <w:r>
        <w:t xml:space="preserve">. (New Haven, CT).</w:t>
      </w:r>
    </w:p>
    <w:bookmarkEnd w:id="97"/>
    <w:bookmarkStart w:id="99" w:name="ref-Golman2018"/>
    <w:p>
      <w:pPr>
        <w:pStyle w:val="Bibliography"/>
      </w:pPr>
      <w:r>
        <w:t xml:space="preserve">Golman, Russell, and George Loewenstein. 2018.</w:t>
      </w:r>
      <w:r>
        <w:t xml:space="preserve"> </w:t>
      </w:r>
      <w:r>
        <w:t xml:space="preserve">“Information Gaps: A Theory of Preferences Regarding the Presence and Absence of Information.”</w:t>
      </w:r>
      <w:r>
        <w:t xml:space="preserve"> </w:t>
      </w:r>
      <w:r>
        <w:rPr>
          <w:i/>
          <w:iCs/>
        </w:rPr>
        <w:t xml:space="preserve">Decision</w:t>
      </w:r>
      <w:r>
        <w:t xml:space="preserve"> </w:t>
      </w:r>
      <w:r>
        <w:t xml:space="preserve">5 (3): 143–64.</w:t>
      </w:r>
      <w:r>
        <w:t xml:space="preserve"> </w:t>
      </w:r>
      <w:hyperlink r:id="rId98">
        <w:r>
          <w:rPr>
            <w:rStyle w:val="Hyperlink"/>
          </w:rPr>
          <w:t xml:space="preserve">https://doi.org/10.1037/dec0000068</w:t>
        </w:r>
      </w:hyperlink>
      <w:r>
        <w:t xml:space="preserve">.</w:t>
      </w:r>
    </w:p>
    <w:bookmarkEnd w:id="99"/>
    <w:bookmarkStart w:id="101" w:name="ref-Gorwa2020"/>
    <w:p>
      <w:pPr>
        <w:pStyle w:val="Bibliography"/>
      </w:pPr>
      <w:r>
        <w:t xml:space="preserve">Gorwa, Robert, Reuben Binns, and Christian Katzenbach. 2020.</w:t>
      </w:r>
      <w:r>
        <w:t xml:space="preserve"> </w:t>
      </w:r>
      <w:r>
        <w:t xml:space="preserve">“Algorithmic Content Moderation: Technical and Political Challenges in the Automation of Platform Governance.”</w:t>
      </w:r>
      <w:r>
        <w:t xml:space="preserve"> </w:t>
      </w:r>
      <w:r>
        <w:rPr>
          <w:i/>
          <w:iCs/>
        </w:rPr>
        <w:t xml:space="preserve">Big Data &amp; Society</w:t>
      </w:r>
      <w:r>
        <w:t xml:space="preserve"> </w:t>
      </w:r>
      <w:r>
        <w:t xml:space="preserve">7 (1): 1–15.</w:t>
      </w:r>
      <w:r>
        <w:t xml:space="preserve"> </w:t>
      </w:r>
      <w:hyperlink r:id="rId100">
        <w:r>
          <w:rPr>
            <w:rStyle w:val="Hyperlink"/>
          </w:rPr>
          <w:t xml:space="preserve">https://doi.org/10.1177/2053951719897945</w:t>
        </w:r>
      </w:hyperlink>
      <w:r>
        <w:t xml:space="preserve">.</w:t>
      </w:r>
    </w:p>
    <w:bookmarkEnd w:id="101"/>
    <w:bookmarkStart w:id="103" w:name="ref-Gritsenko2022"/>
    <w:p>
      <w:pPr>
        <w:pStyle w:val="Bibliography"/>
      </w:pPr>
      <w:r>
        <w:t xml:space="preserve">Gritsenko, Daria, and Matthew Wood. 2022.</w:t>
      </w:r>
      <w:r>
        <w:t xml:space="preserve"> </w:t>
      </w:r>
      <w:r>
        <w:t xml:space="preserve">“Algorithmic Governance: A Modes of Governance Approach.”</w:t>
      </w:r>
      <w:r>
        <w:t xml:space="preserve"> </w:t>
      </w:r>
      <w:r>
        <w:rPr>
          <w:i/>
          <w:iCs/>
        </w:rPr>
        <w:t xml:space="preserve">Regulation &amp; Governance</w:t>
      </w:r>
      <w:r>
        <w:t xml:space="preserve"> </w:t>
      </w:r>
      <w:r>
        <w:t xml:space="preserve">16 (1): 45–62.</w:t>
      </w:r>
      <w:r>
        <w:t xml:space="preserve"> </w:t>
      </w:r>
      <w:hyperlink r:id="rId102">
        <w:r>
          <w:rPr>
            <w:rStyle w:val="Hyperlink"/>
          </w:rPr>
          <w:t xml:space="preserve">https://doi.org/10.1111/rego.12367</w:t>
        </w:r>
      </w:hyperlink>
      <w:r>
        <w:t xml:space="preserve">.</w:t>
      </w:r>
    </w:p>
    <w:bookmarkEnd w:id="103"/>
    <w:bookmarkStart w:id="105" w:name="ref-Guess2023"/>
    <w:p>
      <w:pPr>
        <w:pStyle w:val="Bibliography"/>
      </w:pPr>
      <w:r>
        <w:t xml:space="preserve">Guess, Andrew M., Neil Malhotra, Jennifer Pan, et al.</w:t>
      </w:r>
      <w:r>
        <w:t xml:space="preserve"> 2023.</w:t>
      </w:r>
      <w:r>
        <w:t xml:space="preserve"> </w:t>
      </w:r>
      <w:r>
        <w:t xml:space="preserve">“How Do Social Media Feed Algorithms Affect Attitudes and Behavior in an Election Campaign?”</w:t>
      </w:r>
      <w:r>
        <w:t xml:space="preserve"> </w:t>
      </w:r>
      <w:r>
        <w:rPr>
          <w:i/>
          <w:iCs/>
        </w:rPr>
        <w:t xml:space="preserve">Science</w:t>
      </w:r>
      <w:r>
        <w:t xml:space="preserve"> </w:t>
      </w:r>
      <w:r>
        <w:t xml:space="preserve">381 (6656): 398–404.</w:t>
      </w:r>
      <w:r>
        <w:t xml:space="preserve"> </w:t>
      </w:r>
      <w:hyperlink r:id="rId104">
        <w:r>
          <w:rPr>
            <w:rStyle w:val="Hyperlink"/>
          </w:rPr>
          <w:t xml:space="preserve">https://doi.org/10.1126/science.abp9364</w:t>
        </w:r>
      </w:hyperlink>
      <w:r>
        <w:t xml:space="preserve">.</w:t>
      </w:r>
    </w:p>
    <w:bookmarkEnd w:id="105"/>
    <w:bookmarkStart w:id="107" w:name="ref-He2022"/>
    <w:p>
      <w:pPr>
        <w:pStyle w:val="Bibliography"/>
      </w:pPr>
      <w:r>
        <w:t xml:space="preserve">He, Sherry, Brett Hollenbeck, and Davide Proserpio. 2022.</w:t>
      </w:r>
      <w:r>
        <w:t xml:space="preserve"> </w:t>
      </w:r>
      <w:r>
        <w:t xml:space="preserve">“The Market for Fake Reviews.”</w:t>
      </w:r>
      <w:r>
        <w:t xml:space="preserve"> </w:t>
      </w:r>
      <w:r>
        <w:rPr>
          <w:i/>
          <w:iCs/>
        </w:rPr>
        <w:t xml:space="preserve">Marketing Science</w:t>
      </w:r>
      <w:r>
        <w:t xml:space="preserve"> </w:t>
      </w:r>
      <w:r>
        <w:t xml:space="preserve">41 (5): 896–921.</w:t>
      </w:r>
      <w:r>
        <w:t xml:space="preserve"> </w:t>
      </w:r>
      <w:hyperlink r:id="rId106">
        <w:r>
          <w:rPr>
            <w:rStyle w:val="Hyperlink"/>
          </w:rPr>
          <w:t xml:space="preserve">https://doi.org/10.1287/mksc.2022.1353</w:t>
        </w:r>
      </w:hyperlink>
      <w:r>
        <w:t xml:space="preserve">.</w:t>
      </w:r>
    </w:p>
    <w:bookmarkEnd w:id="107"/>
    <w:bookmarkStart w:id="108" w:name="ref-Hindman2018"/>
    <w:p>
      <w:pPr>
        <w:pStyle w:val="Bibliography"/>
      </w:pPr>
      <w:r>
        <w:t xml:space="preserve">Hindman, Matthew. 2018.</w:t>
      </w:r>
      <w:r>
        <w:t xml:space="preserve"> </w:t>
      </w:r>
      <w:r>
        <w:rPr>
          <w:i/>
          <w:iCs/>
        </w:rPr>
        <w:t xml:space="preserve">The Internet Trap: How the Digital Economy Builds Monopolies and Undermines Democracy</w:t>
      </w:r>
      <w:r>
        <w:t xml:space="preserve">. Princeton University Press.</w:t>
      </w:r>
    </w:p>
    <w:bookmarkEnd w:id="108"/>
    <w:bookmarkStart w:id="110" w:name="ref-Hosanagar2014"/>
    <w:p>
      <w:pPr>
        <w:pStyle w:val="Bibliography"/>
      </w:pPr>
      <w:r>
        <w:t xml:space="preserve">Hosanagar, Kartik, Daniel Fleder, Dokyun Lee, and Andreas Buja. 2014.</w:t>
      </w:r>
      <w:r>
        <w:t xml:space="preserve"> </w:t>
      </w:r>
      <w:r>
        <w:t xml:space="preserve">“Will the Global Village Fracture into Tribes? Recommender Systems and Their Effects on Consumer Fragmentation.”</w:t>
      </w:r>
      <w:r>
        <w:t xml:space="preserve"> </w:t>
      </w:r>
      <w:r>
        <w:rPr>
          <w:i/>
          <w:iCs/>
        </w:rPr>
        <w:t xml:space="preserve">Management Science</w:t>
      </w:r>
      <w:r>
        <w:t xml:space="preserve"> </w:t>
      </w:r>
      <w:r>
        <w:t xml:space="preserve">60 (4): 805–23.</w:t>
      </w:r>
      <w:r>
        <w:t xml:space="preserve"> </w:t>
      </w:r>
      <w:hyperlink r:id="rId109">
        <w:r>
          <w:rPr>
            <w:rStyle w:val="Hyperlink"/>
          </w:rPr>
          <w:t xml:space="preserve">https://doi.org/10.1287/mnsc.2013.1808</w:t>
        </w:r>
      </w:hyperlink>
      <w:r>
        <w:t xml:space="preserve">.</w:t>
      </w:r>
    </w:p>
    <w:bookmarkEnd w:id="110"/>
    <w:bookmarkStart w:id="112" w:name="ref-Huber2013"/>
    <w:p>
      <w:pPr>
        <w:pStyle w:val="Bibliography"/>
      </w:pPr>
      <w:r>
        <w:t xml:space="preserve">Huber, Thomas L., Thomas A. Fischer, Jens Dibbern, and Rudy Hirschheim. 2013.</w:t>
      </w:r>
      <w:r>
        <w:t xml:space="preserve"> </w:t>
      </w:r>
      <w:r>
        <w:t xml:space="preserve">“A Process Model of Complementarity and Substitution of Contractual and Relational Governance in</w:t>
      </w:r>
      <w:r>
        <w:t xml:space="preserve"> </w:t>
      </w:r>
      <w:r>
        <w:t xml:space="preserve">IS</w:t>
      </w:r>
      <w:r>
        <w:t xml:space="preserve"> </w:t>
      </w:r>
      <w:r>
        <w:t xml:space="preserve">Outsourcing.”</w:t>
      </w:r>
      <w:r>
        <w:t xml:space="preserve"> </w:t>
      </w:r>
      <w:r>
        <w:rPr>
          <w:i/>
          <w:iCs/>
        </w:rPr>
        <w:t xml:space="preserve">Journal of Management Information Systems</w:t>
      </w:r>
      <w:r>
        <w:t xml:space="preserve"> </w:t>
      </w:r>
      <w:r>
        <w:t xml:space="preserve">30 (3): 81–114.</w:t>
      </w:r>
      <w:r>
        <w:t xml:space="preserve"> </w:t>
      </w:r>
      <w:hyperlink r:id="rId111">
        <w:r>
          <w:rPr>
            <w:rStyle w:val="Hyperlink"/>
          </w:rPr>
          <w:t xml:space="preserve">https://doi.org/10.2753/MIS0742-1222300304</w:t>
        </w:r>
      </w:hyperlink>
      <w:r>
        <w:t xml:space="preserve">.</w:t>
      </w:r>
    </w:p>
    <w:bookmarkEnd w:id="112"/>
    <w:bookmarkStart w:id="114" w:name="ref-Jacobides2018"/>
    <w:p>
      <w:pPr>
        <w:pStyle w:val="Bibliography"/>
      </w:pPr>
      <w:r>
        <w:t xml:space="preserve">Jacobides, Michael G., Carmelo Cennamo, and Annabelle Gawer. 2018.</w:t>
      </w:r>
      <w:r>
        <w:t xml:space="preserve"> </w:t>
      </w:r>
      <w:r>
        <w:t xml:space="preserve">“Towards a Theory of Ecosystems.”</w:t>
      </w:r>
      <w:r>
        <w:t xml:space="preserve"> </w:t>
      </w:r>
      <w:r>
        <w:rPr>
          <w:i/>
          <w:iCs/>
        </w:rPr>
        <w:t xml:space="preserve">Strategic Management Journal</w:t>
      </w:r>
      <w:r>
        <w:t xml:space="preserve"> </w:t>
      </w:r>
      <w:r>
        <w:t xml:space="preserve">39 (8): 2255–76.</w:t>
      </w:r>
      <w:r>
        <w:t xml:space="preserve"> </w:t>
      </w:r>
      <w:hyperlink r:id="rId113">
        <w:r>
          <w:rPr>
            <w:rStyle w:val="Hyperlink"/>
          </w:rPr>
          <w:t xml:space="preserve">https://doi.org/10.1002/smj.2904</w:t>
        </w:r>
      </w:hyperlink>
      <w:r>
        <w:t xml:space="preserve">.</w:t>
      </w:r>
    </w:p>
    <w:bookmarkEnd w:id="114"/>
    <w:bookmarkStart w:id="116" w:name="ref-Jhaver2019"/>
    <w:p>
      <w:pPr>
        <w:pStyle w:val="Bibliography"/>
      </w:pPr>
      <w:r>
        <w:t xml:space="preserve">Jhaver, Shagun, Amy Bruckman, and Eric Gilbert. 2019.</w:t>
      </w:r>
      <w:r>
        <w:t xml:space="preserve"> </w:t>
      </w:r>
      <w:r>
        <w:t xml:space="preserve">“Does Transparency in Moderation Really Matter? User Behavior After Content Removal Explanations on</w:t>
      </w:r>
      <w:r>
        <w:t xml:space="preserve"> </w:t>
      </w:r>
      <w:r>
        <w:t xml:space="preserve">Reddit</w:t>
      </w:r>
      <w:r>
        <w:t xml:space="preserve">.”</w:t>
      </w:r>
      <w:r>
        <w:t xml:space="preserve"> </w:t>
      </w:r>
      <w:r>
        <w:rPr>
          <w:i/>
          <w:iCs/>
        </w:rPr>
        <w:t xml:space="preserve">Proceedings of the ACM on Human-Computer Interaction</w:t>
      </w:r>
      <w:r>
        <w:t xml:space="preserve"> </w:t>
      </w:r>
      <w:r>
        <w:t xml:space="preserve">3 (CSCW): 1–27.</w:t>
      </w:r>
      <w:r>
        <w:t xml:space="preserve"> </w:t>
      </w:r>
      <w:hyperlink r:id="rId115">
        <w:r>
          <w:rPr>
            <w:rStyle w:val="Hyperlink"/>
          </w:rPr>
          <w:t xml:space="preserve">https://doi.org/10.1145/3359252</w:t>
        </w:r>
      </w:hyperlink>
      <w:r>
        <w:t xml:space="preserve">.</w:t>
      </w:r>
    </w:p>
    <w:bookmarkEnd w:id="116"/>
    <w:bookmarkStart w:id="117" w:name="ref-Katyal2019"/>
    <w:p>
      <w:pPr>
        <w:pStyle w:val="Bibliography"/>
      </w:pPr>
      <w:r>
        <w:t xml:space="preserve">Katyal, Sonia K. 2019.</w:t>
      </w:r>
      <w:r>
        <w:t xml:space="preserve"> </w:t>
      </w:r>
      <w:r>
        <w:t xml:space="preserve">“Private Accountability in the Age of Artificial Intelligence.”</w:t>
      </w:r>
      <w:r>
        <w:t xml:space="preserve"> </w:t>
      </w:r>
      <w:r>
        <w:rPr>
          <w:i/>
          <w:iCs/>
        </w:rPr>
        <w:t xml:space="preserve">UCLA Law Review</w:t>
      </w:r>
      <w:r>
        <w:t xml:space="preserve"> </w:t>
      </w:r>
      <w:r>
        <w:t xml:space="preserve">66: 54–141.</w:t>
      </w:r>
    </w:p>
    <w:bookmarkEnd w:id="117"/>
    <w:bookmarkStart w:id="119" w:name="ref-Leskovec2009"/>
    <w:p>
      <w:pPr>
        <w:pStyle w:val="Bibliography"/>
      </w:pPr>
      <w:r>
        <w:t xml:space="preserve">Leskovec, Jure, Lars Backstrom, and Jon Kleinberg. 2009.</w:t>
      </w:r>
      <w:r>
        <w:t xml:space="preserve"> </w:t>
      </w:r>
      <w:r>
        <w:rPr>
          <w:i/>
          <w:iCs/>
        </w:rPr>
        <w:t xml:space="preserve">Meme-Tracking and the Dynamics of the News Cycle</w:t>
      </w:r>
      <w:r>
        <w:t xml:space="preserve">. 497–506.</w:t>
      </w:r>
      <w:r>
        <w:t xml:space="preserve"> </w:t>
      </w:r>
      <w:hyperlink r:id="rId118">
        <w:r>
          <w:rPr>
            <w:rStyle w:val="Hyperlink"/>
          </w:rPr>
          <w:t xml:space="preserve">https://doi.org/10.1145/1557019.1557077</w:t>
        </w:r>
      </w:hyperlink>
      <w:r>
        <w:t xml:space="preserve">.</w:t>
      </w:r>
    </w:p>
    <w:bookmarkEnd w:id="119"/>
    <w:bookmarkStart w:id="121" w:name="ref-Loewenstein1994"/>
    <w:p>
      <w:pPr>
        <w:pStyle w:val="Bibliography"/>
      </w:pPr>
      <w:r>
        <w:t xml:space="preserve">Loewenstein, George. 1994.</w:t>
      </w:r>
      <w:r>
        <w:t xml:space="preserve"> </w:t>
      </w:r>
      <w:r>
        <w:t xml:space="preserve">“The Psychology of Curiosity: A Review and Reinterpretation.”</w:t>
      </w:r>
      <w:r>
        <w:t xml:space="preserve"> </w:t>
      </w:r>
      <w:r>
        <w:rPr>
          <w:i/>
          <w:iCs/>
        </w:rPr>
        <w:t xml:space="preserve">Psychological Bulletin</w:t>
      </w:r>
      <w:r>
        <w:t xml:space="preserve"> </w:t>
      </w:r>
      <w:r>
        <w:t xml:space="preserve">116 (1): 75–98.</w:t>
      </w:r>
      <w:r>
        <w:t xml:space="preserve"> </w:t>
      </w:r>
      <w:hyperlink r:id="rId120">
        <w:r>
          <w:rPr>
            <w:rStyle w:val="Hyperlink"/>
          </w:rPr>
          <w:t xml:space="preserve">https://doi.org/10.1037/0033-2909.116.1.75</w:t>
        </w:r>
      </w:hyperlink>
      <w:r>
        <w:t xml:space="preserve">.</w:t>
      </w:r>
    </w:p>
    <w:bookmarkEnd w:id="121"/>
    <w:bookmarkStart w:id="123" w:name="ref-Munger2020"/>
    <w:p>
      <w:pPr>
        <w:pStyle w:val="Bibliography"/>
      </w:pPr>
      <w:r>
        <w:t xml:space="preserve">Munger, Kevin. 2020.</w:t>
      </w:r>
      <w:r>
        <w:t xml:space="preserve"> </w:t>
      </w:r>
      <w:r>
        <w:t xml:space="preserve">“All the News That’s Fit to Click: The Economics of Clickbait Media.”</w:t>
      </w:r>
      <w:r>
        <w:t xml:space="preserve"> </w:t>
      </w:r>
      <w:r>
        <w:rPr>
          <w:i/>
          <w:iCs/>
        </w:rPr>
        <w:t xml:space="preserve">Political Communication</w:t>
      </w:r>
      <w:r>
        <w:t xml:space="preserve"> </w:t>
      </w:r>
      <w:r>
        <w:t xml:space="preserve">37 (3): 376–97.</w:t>
      </w:r>
      <w:r>
        <w:t xml:space="preserve"> </w:t>
      </w:r>
      <w:hyperlink r:id="rId122">
        <w:r>
          <w:rPr>
            <w:rStyle w:val="Hyperlink"/>
          </w:rPr>
          <w:t xml:space="preserve">https://doi.org/10.1080/10584609.2019.1687626</w:t>
        </w:r>
      </w:hyperlink>
      <w:r>
        <w:t xml:space="preserve">.</w:t>
      </w:r>
    </w:p>
    <w:bookmarkEnd w:id="123"/>
    <w:bookmarkStart w:id="125" w:name="ref-OestreicherSinger2012"/>
    <w:p>
      <w:pPr>
        <w:pStyle w:val="Bibliography"/>
      </w:pPr>
      <w:r>
        <w:t xml:space="preserve">Oestreicher-Singer, Gal, and Arun Sundararajan. 2012.</w:t>
      </w:r>
      <w:r>
        <w:t xml:space="preserve"> </w:t>
      </w:r>
      <w:r>
        <w:t xml:space="preserve">“The Visible Hand? Demand Effects of Recommendation Networks in Electronic Markets.”</w:t>
      </w:r>
      <w:r>
        <w:t xml:space="preserve"> </w:t>
      </w:r>
      <w:r>
        <w:rPr>
          <w:i/>
          <w:iCs/>
        </w:rPr>
        <w:t xml:space="preserve">Management Science</w:t>
      </w:r>
      <w:r>
        <w:t xml:space="preserve"> </w:t>
      </w:r>
      <w:r>
        <w:t xml:space="preserve">58 (11): 1963–81.</w:t>
      </w:r>
      <w:r>
        <w:t xml:space="preserve"> </w:t>
      </w:r>
      <w:hyperlink r:id="rId124">
        <w:r>
          <w:rPr>
            <w:rStyle w:val="Hyperlink"/>
          </w:rPr>
          <w:t xml:space="preserve">https://doi.org/10.1287/mnsc.1120.1536</w:t>
        </w:r>
      </w:hyperlink>
      <w:r>
        <w:t xml:space="preserve">.</w:t>
      </w:r>
    </w:p>
    <w:bookmarkEnd w:id="125"/>
    <w:bookmarkStart w:id="126" w:name="ref-Pariser2011"/>
    <w:p>
      <w:pPr>
        <w:pStyle w:val="Bibliography"/>
      </w:pPr>
      <w:r>
        <w:t xml:space="preserve">Pariser, Eli. 2011.</w:t>
      </w:r>
      <w:r>
        <w:t xml:space="preserve"> </w:t>
      </w:r>
      <w:r>
        <w:rPr>
          <w:i/>
          <w:iCs/>
        </w:rPr>
        <w:t xml:space="preserve">The Filter Bubble: What the Internet Is Hiding from You</w:t>
      </w:r>
      <w:r>
        <w:t xml:space="preserve">. Penguin Press.</w:t>
      </w:r>
    </w:p>
    <w:bookmarkEnd w:id="126"/>
    <w:bookmarkStart w:id="128" w:name="ref-Parker2018"/>
    <w:p>
      <w:pPr>
        <w:pStyle w:val="Bibliography"/>
      </w:pPr>
      <w:r>
        <w:t xml:space="preserve">Parker, Geoffrey G., and Marshall W. Van Alstyne. 2018.</w:t>
      </w:r>
      <w:r>
        <w:t xml:space="preserve"> </w:t>
      </w:r>
      <w:r>
        <w:t xml:space="preserve">“Innovation, Openness, and Platform Control.”</w:t>
      </w:r>
      <w:r>
        <w:t xml:space="preserve"> </w:t>
      </w:r>
      <w:r>
        <w:rPr>
          <w:i/>
          <w:iCs/>
        </w:rPr>
        <w:t xml:space="preserve">Management Science</w:t>
      </w:r>
      <w:r>
        <w:t xml:space="preserve"> </w:t>
      </w:r>
      <w:r>
        <w:t xml:space="preserve">64 (7): 3015–32.</w:t>
      </w:r>
      <w:r>
        <w:t xml:space="preserve"> </w:t>
      </w:r>
      <w:hyperlink r:id="rId127">
        <w:r>
          <w:rPr>
            <w:rStyle w:val="Hyperlink"/>
          </w:rPr>
          <w:t xml:space="preserve">https://doi.org/10.1287/mnsc.2017.2757</w:t>
        </w:r>
      </w:hyperlink>
      <w:r>
        <w:t xml:space="preserve">.</w:t>
      </w:r>
    </w:p>
    <w:bookmarkEnd w:id="128"/>
    <w:bookmarkStart w:id="129" w:name="ref-Pfeffer1978"/>
    <w:p>
      <w:pPr>
        <w:pStyle w:val="Bibliography"/>
      </w:pPr>
      <w:r>
        <w:t xml:space="preserve">Pfeffer, Jeffrey, and Gerald R. Salancik. 1978.</w:t>
      </w:r>
      <w:r>
        <w:t xml:space="preserve"> </w:t>
      </w:r>
      <w:r>
        <w:rPr>
          <w:i/>
          <w:iCs/>
        </w:rPr>
        <w:t xml:space="preserve">The External Control of Organizations: A Resource Dependence Perspective</w:t>
      </w:r>
      <w:r>
        <w:t xml:space="preserve">. Harper &amp; Row.</w:t>
      </w:r>
    </w:p>
    <w:bookmarkEnd w:id="129"/>
    <w:bookmarkStart w:id="130" w:name="ref-Renda2023"/>
    <w:p>
      <w:pPr>
        <w:pStyle w:val="Bibliography"/>
      </w:pPr>
      <w:r>
        <w:t xml:space="preserve">Renda, Andrea. 2023.</w:t>
      </w:r>
      <w:r>
        <w:t xml:space="preserve"> </w:t>
      </w:r>
      <w:r>
        <w:t xml:space="preserve">“Making the Digital Services Act Work.”</w:t>
      </w:r>
      <w:r>
        <w:t xml:space="preserve"> </w:t>
      </w:r>
      <w:r>
        <w:rPr>
          <w:i/>
          <w:iCs/>
        </w:rPr>
        <w:t xml:space="preserve">CEPS Policy Insights</w:t>
      </w:r>
      <w:r>
        <w:t xml:space="preserve">, nos. 2023-02.</w:t>
      </w:r>
    </w:p>
    <w:bookmarkEnd w:id="130"/>
    <w:bookmarkStart w:id="132" w:name="ref-Rochet2003"/>
    <w:p>
      <w:pPr>
        <w:pStyle w:val="Bibliography"/>
      </w:pPr>
      <w:r>
        <w:t xml:space="preserve">Rochet, Jean-Charles, and Jean Tirole. 2003.</w:t>
      </w:r>
      <w:r>
        <w:t xml:space="preserve"> </w:t>
      </w:r>
      <w:r>
        <w:t xml:space="preserve">“Platform Competition in Two-Sided Markets.”</w:t>
      </w:r>
      <w:r>
        <w:t xml:space="preserve"> </w:t>
      </w:r>
      <w:r>
        <w:rPr>
          <w:i/>
          <w:iCs/>
        </w:rPr>
        <w:t xml:space="preserve">Journal of the European Economic Association</w:t>
      </w:r>
      <w:r>
        <w:t xml:space="preserve"> </w:t>
      </w:r>
      <w:r>
        <w:t xml:space="preserve">1 (4): 990–1029.</w:t>
      </w:r>
      <w:r>
        <w:t xml:space="preserve"> </w:t>
      </w:r>
      <w:hyperlink r:id="rId131">
        <w:r>
          <w:rPr>
            <w:rStyle w:val="Hyperlink"/>
          </w:rPr>
          <w:t xml:space="preserve">https://doi.org/10.1162/154247603322493212</w:t>
        </w:r>
      </w:hyperlink>
      <w:r>
        <w:t xml:space="preserve">.</w:t>
      </w:r>
    </w:p>
    <w:bookmarkEnd w:id="132"/>
    <w:bookmarkStart w:id="133" w:name="ref-Sandvig2014"/>
    <w:p>
      <w:pPr>
        <w:pStyle w:val="Bibliography"/>
      </w:pPr>
      <w:r>
        <w:t xml:space="preserve">Sandvig, Christian, Kevin Hamilton, Karrie Karahalios, and Cedric Langbort. 2014.</w:t>
      </w:r>
      <w:r>
        <w:t xml:space="preserve"> </w:t>
      </w:r>
      <w:r>
        <w:t xml:space="preserve">“Auditing Algorithms: Research Methods for Detecting Discrimination on Internet Platforms.”</w:t>
      </w:r>
      <w:r>
        <w:t xml:space="preserve"> </w:t>
      </w:r>
      <w:r>
        <w:rPr>
          <w:i/>
          <w:iCs/>
        </w:rPr>
        <w:t xml:space="preserve">Data and Discrimination: Converting Critical Concerns into Productive Inquiry</w:t>
      </w:r>
      <w:r>
        <w:t xml:space="preserve">.</w:t>
      </w:r>
    </w:p>
    <w:bookmarkEnd w:id="133"/>
    <w:bookmarkStart w:id="134" w:name="ref-Simon1971"/>
    <w:p>
      <w:pPr>
        <w:pStyle w:val="Bibliography"/>
      </w:pPr>
      <w:r>
        <w:t xml:space="preserve">Simon, Herbert A. 1971.</w:t>
      </w:r>
      <w:r>
        <w:t xml:space="preserve"> </w:t>
      </w:r>
      <w:r>
        <w:t xml:space="preserve">“Designing Organizations for an Information-Rich World.”</w:t>
      </w:r>
      <w:r>
        <w:t xml:space="preserve"> </w:t>
      </w:r>
      <w:r>
        <w:rPr>
          <w:i/>
          <w:iCs/>
        </w:rPr>
        <w:t xml:space="preserve">Computers, Communications, and the Public Interest</w:t>
      </w:r>
      <w:r>
        <w:t xml:space="preserve">, 37–72.</w:t>
      </w:r>
    </w:p>
    <w:bookmarkEnd w:id="134"/>
    <w:bookmarkStart w:id="135" w:name="ref-Sunstein2017"/>
    <w:p>
      <w:pPr>
        <w:pStyle w:val="Bibliography"/>
      </w:pPr>
      <w:r>
        <w:t xml:space="preserve">Sunstein, Cass R. 2017.</w:t>
      </w:r>
      <w:r>
        <w:t xml:space="preserve"> </w:t>
      </w:r>
      <w:r>
        <w:rPr>
          <w:i/>
          <w:iCs/>
        </w:rPr>
        <w:t xml:space="preserve">#Republic: Divided Democracy in the Age of Social Media</w:t>
      </w:r>
      <w:r>
        <w:t xml:space="preserve">. Princeton University Press.</w:t>
      </w:r>
    </w:p>
    <w:bookmarkEnd w:id="135"/>
    <w:bookmarkStart w:id="137" w:name="ref-Tiwana2010"/>
    <w:p>
      <w:pPr>
        <w:pStyle w:val="Bibliography"/>
      </w:pPr>
      <w:r>
        <w:t xml:space="preserve">Tiwana, Amrit, Benn Konsynski, and Ashley A. Bush. 2010.</w:t>
      </w:r>
      <w:r>
        <w:t xml:space="preserve"> </w:t>
      </w:r>
      <w:r>
        <w:t xml:space="preserve">“Research Commentary—Platform Evolution: Coevolution of Platform Architecture, Governance, and Environmental Dynamics.”</w:t>
      </w:r>
      <w:r>
        <w:t xml:space="preserve"> </w:t>
      </w:r>
      <w:r>
        <w:rPr>
          <w:i/>
          <w:iCs/>
        </w:rPr>
        <w:t xml:space="preserve">Information Systems Research</w:t>
      </w:r>
      <w:r>
        <w:t xml:space="preserve"> </w:t>
      </w:r>
      <w:r>
        <w:t xml:space="preserve">21 (4): 675–87.</w:t>
      </w:r>
      <w:r>
        <w:t xml:space="preserve"> </w:t>
      </w:r>
      <w:hyperlink r:id="rId136">
        <w:r>
          <w:rPr>
            <w:rStyle w:val="Hyperlink"/>
          </w:rPr>
          <w:t xml:space="preserve">https://doi.org/10.1287/isre.1100.0323</w:t>
        </w:r>
      </w:hyperlink>
      <w:r>
        <w:t xml:space="preserve">.</w:t>
      </w:r>
    </w:p>
    <w:bookmarkEnd w:id="137"/>
    <w:bookmarkStart w:id="139" w:name="ref-Ulbricht2022"/>
    <w:p>
      <w:pPr>
        <w:pStyle w:val="Bibliography"/>
      </w:pPr>
      <w:r>
        <w:t xml:space="preserve">Ulbricht, Lena, and Karen Yeung. 2022.</w:t>
      </w:r>
      <w:r>
        <w:t xml:space="preserve"> </w:t>
      </w:r>
      <w:r>
        <w:t xml:space="preserve">“Algorithmic Regulation: A Maturing Concept for Investigating Regulation of and Through Algorithms.”</w:t>
      </w:r>
      <w:r>
        <w:t xml:space="preserve"> </w:t>
      </w:r>
      <w:r>
        <w:rPr>
          <w:i/>
          <w:iCs/>
        </w:rPr>
        <w:t xml:space="preserve">Regulation &amp; Governance</w:t>
      </w:r>
      <w:r>
        <w:t xml:space="preserve"> </w:t>
      </w:r>
      <w:r>
        <w:t xml:space="preserve">16 (1): 3–22.</w:t>
      </w:r>
      <w:r>
        <w:t xml:space="preserve"> </w:t>
      </w:r>
      <w:hyperlink r:id="rId138">
        <w:r>
          <w:rPr>
            <w:rStyle w:val="Hyperlink"/>
          </w:rPr>
          <w:t xml:space="preserve">https://doi.org/10.1111/rego.12437</w:t>
        </w:r>
      </w:hyperlink>
      <w:r>
        <w:t xml:space="preserve">.</w:t>
      </w:r>
    </w:p>
    <w:bookmarkEnd w:id="139"/>
    <w:bookmarkStart w:id="140" w:name="ref-Webster2014"/>
    <w:p>
      <w:pPr>
        <w:pStyle w:val="Bibliography"/>
      </w:pPr>
      <w:r>
        <w:t xml:space="preserve">Webster, James G. 2014.</w:t>
      </w:r>
      <w:r>
        <w:t xml:space="preserve"> </w:t>
      </w:r>
      <w:r>
        <w:rPr>
          <w:i/>
          <w:iCs/>
        </w:rPr>
        <w:t xml:space="preserve">The Marketplace of Attention: How Audiences Take Shape in a Digital Age</w:t>
      </w:r>
      <w:r>
        <w:t xml:space="preserve">. MIT Press.</w:t>
      </w:r>
    </w:p>
    <w:bookmarkEnd w:id="140"/>
    <w:bookmarkStart w:id="141" w:name="ref-Wu2017"/>
    <w:p>
      <w:pPr>
        <w:pStyle w:val="Bibliography"/>
      </w:pPr>
      <w:r>
        <w:t xml:space="preserve">Wu, Tim. 2017.</w:t>
      </w:r>
      <w:r>
        <w:t xml:space="preserve"> </w:t>
      </w:r>
      <w:r>
        <w:rPr>
          <w:i/>
          <w:iCs/>
        </w:rPr>
        <w:t xml:space="preserve">The Attention Merchants: The Epic Scramble to Get Inside Our Heads</w:t>
      </w:r>
      <w:r>
        <w:t xml:space="preserve">. Vintage Books.</w:t>
      </w:r>
    </w:p>
    <w:bookmarkEnd w:id="141"/>
    <w:bookmarkStart w:id="143" w:name="ref-Yeung2018"/>
    <w:p>
      <w:pPr>
        <w:pStyle w:val="Bibliography"/>
      </w:pPr>
      <w:r>
        <w:t xml:space="preserve">Yeung, Karen. 2018.</w:t>
      </w:r>
      <w:r>
        <w:t xml:space="preserve"> </w:t>
      </w:r>
      <w:r>
        <w:t xml:space="preserve">“Algorithmic Regulation: A Critical Interrogation.”</w:t>
      </w:r>
      <w:r>
        <w:t xml:space="preserve"> </w:t>
      </w:r>
      <w:r>
        <w:rPr>
          <w:i/>
          <w:iCs/>
        </w:rPr>
        <w:t xml:space="preserve">Regulation &amp; Governance</w:t>
      </w:r>
      <w:r>
        <w:t xml:space="preserve"> </w:t>
      </w:r>
      <w:r>
        <w:t xml:space="preserve">12 (4): 505–23.</w:t>
      </w:r>
      <w:r>
        <w:t xml:space="preserve"> </w:t>
      </w:r>
      <w:hyperlink r:id="rId142">
        <w:r>
          <w:rPr>
            <w:rStyle w:val="Hyperlink"/>
          </w:rPr>
          <w:t xml:space="preserve">https://doi.org/10.1111/rego.12158</w:t>
        </w:r>
      </w:hyperlink>
      <w:r>
        <w:t xml:space="preserve">.</w:t>
      </w:r>
    </w:p>
    <w:bookmarkEnd w:id="143"/>
    <w:bookmarkStart w:id="144" w:name="ref-YuGuoming2023"/>
    <w:p>
      <w:pPr>
        <w:pStyle w:val="Bibliography"/>
      </w:pPr>
      <w:r>
        <w:rPr>
          <w:rFonts w:hint="eastAsia"/>
        </w:rPr>
        <w:t xml:space="preserve">喻国明,</w:t>
      </w:r>
      <w:r>
        <w:t xml:space="preserve"> and </w:t>
      </w:r>
      <w:r>
        <w:rPr>
          <w:rFonts w:hint="eastAsia"/>
        </w:rPr>
        <w:t xml:space="preserve">刘彧晗.</w:t>
      </w:r>
      <w:r>
        <w:t xml:space="preserve"> 2023.</w:t>
      </w:r>
      <w:r>
        <w:t xml:space="preserve"> </w:t>
      </w:r>
      <w:r>
        <w:rPr>
          <w:rFonts w:hint="eastAsia"/>
        </w:rPr>
        <w:t xml:space="preserve">“从信息竞争到认知竞争：策略性传播范式全新转型——基于元传播视角的研究.”</w:t>
      </w:r>
      <w:r>
        <w:t xml:space="preserve"> </w:t>
      </w:r>
      <w:r>
        <w:rPr>
          <w:rFonts w:hint="eastAsia"/>
          <w:i/>
          <w:iCs/>
        </w:rPr>
        <w:t xml:space="preserve">现代传播（中国传媒大学学报）</w:t>
      </w:r>
      <w:r>
        <w:t xml:space="preserve"> </w:t>
      </w:r>
      <w:r>
        <w:t xml:space="preserve">45 (2): 128–34.</w:t>
      </w:r>
    </w:p>
    <w:bookmarkEnd w:id="144"/>
    <w:bookmarkStart w:id="145" w:name="ref-YuGuoming2024"/>
    <w:p>
      <w:pPr>
        <w:pStyle w:val="Bibliography"/>
      </w:pPr>
      <w:r>
        <w:rPr>
          <w:rFonts w:hint="eastAsia"/>
        </w:rPr>
        <w:t xml:space="preserve">喻国明,</w:t>
      </w:r>
      <w:r>
        <w:t xml:space="preserve"> and </w:t>
      </w:r>
      <w:r>
        <w:rPr>
          <w:rFonts w:hint="eastAsia"/>
        </w:rPr>
        <w:t xml:space="preserve">刘彧晗.</w:t>
      </w:r>
      <w:r>
        <w:t xml:space="preserve"> 2024.</w:t>
      </w:r>
      <w:r>
        <w:t xml:space="preserve"> </w:t>
      </w:r>
      <w:r>
        <w:rPr>
          <w:rFonts w:hint="eastAsia"/>
        </w:rPr>
        <w:t xml:space="preserve">“个性化推荐≠信息茧房：对算法与茧房效应的误读澄清.”</w:t>
      </w:r>
      <w:r>
        <w:t xml:space="preserve"> </w:t>
      </w:r>
      <w:r>
        <w:rPr>
          <w:rFonts w:hint="eastAsia"/>
          <w:i/>
          <w:iCs/>
        </w:rPr>
        <w:t xml:space="preserve">青年记者</w:t>
      </w:r>
      <w:r>
        <w:t xml:space="preserve">, no. 7: 5–10.</w:t>
      </w:r>
    </w:p>
    <w:bookmarkEnd w:id="145"/>
    <w:bookmarkStart w:id="146" w:name="ref-ShiWen2023"/>
    <w:p>
      <w:pPr>
        <w:pStyle w:val="Bibliography"/>
      </w:pPr>
      <w:r>
        <w:rPr>
          <w:rFonts w:hint="eastAsia"/>
        </w:rPr>
        <w:t xml:space="preserve">师文,</w:t>
      </w:r>
      <w:r>
        <w:t xml:space="preserve"> and </w:t>
      </w:r>
      <w:r>
        <w:rPr>
          <w:rFonts w:hint="eastAsia"/>
        </w:rPr>
        <w:t xml:space="preserve">陈昌凤.</w:t>
      </w:r>
      <w:r>
        <w:t xml:space="preserve"> 2023.</w:t>
      </w:r>
      <w:r>
        <w:t xml:space="preserve"> </w:t>
      </w:r>
      <w:r>
        <w:rPr>
          <w:rFonts w:hint="eastAsia"/>
        </w:rPr>
        <w:t xml:space="preserve">“平台算法的"主流化"偏向与"个性化"特质研究——基于计算实验的算法审计.”</w:t>
      </w:r>
      <w:r>
        <w:t xml:space="preserve"> </w:t>
      </w:r>
      <w:r>
        <w:rPr>
          <w:rFonts w:hint="eastAsia"/>
          <w:i/>
          <w:iCs/>
        </w:rPr>
        <w:t xml:space="preserve">新闻记者</w:t>
      </w:r>
      <w:r>
        <w:t xml:space="preserve">, no. 11: 14–28.</w:t>
      </w:r>
    </w:p>
    <w:bookmarkEnd w:id="146"/>
    <w:bookmarkStart w:id="147" w:name="ref-LiSanxi2023"/>
    <w:p>
      <w:pPr>
        <w:pStyle w:val="Bibliography"/>
      </w:pPr>
      <w:r>
        <w:rPr>
          <w:rFonts w:hint="eastAsia"/>
        </w:rPr>
        <w:t xml:space="preserve">李三希,</w:t>
      </w:r>
      <w:r>
        <w:t xml:space="preserve"> </w:t>
      </w:r>
      <w:r>
        <w:rPr>
          <w:rFonts w:hint="eastAsia"/>
        </w:rPr>
        <w:t xml:space="preserve">张仲元,</w:t>
      </w:r>
      <w:r>
        <w:t xml:space="preserve"> and </w:t>
      </w:r>
      <w:r>
        <w:rPr>
          <w:rFonts w:hint="eastAsia"/>
        </w:rPr>
        <w:t xml:space="preserve">焦倩.</w:t>
      </w:r>
      <w:r>
        <w:t xml:space="preserve"> 2023.</w:t>
      </w:r>
      <w:r>
        <w:t xml:space="preserve"> </w:t>
      </w:r>
      <w:r>
        <w:rPr>
          <w:rFonts w:hint="eastAsia"/>
        </w:rPr>
        <w:t xml:space="preserve">“竞争会降低企业收集消费者信息并增加隐私保护投资吗？.”</w:t>
      </w:r>
      <w:r>
        <w:t xml:space="preserve"> </w:t>
      </w:r>
      <w:r>
        <w:rPr>
          <w:rFonts w:hint="eastAsia"/>
          <w:i/>
          <w:iCs/>
        </w:rPr>
        <w:t xml:space="preserve">管理世界</w:t>
      </w:r>
      <w:r>
        <w:t xml:space="preserve">, no. 7: 130–47.</w:t>
      </w:r>
    </w:p>
    <w:bookmarkEnd w:id="147"/>
    <w:bookmarkStart w:id="148" w:name="ref-JiaoHao2023"/>
    <w:p>
      <w:pPr>
        <w:pStyle w:val="Bibliography"/>
      </w:pPr>
      <w:r>
        <w:rPr>
          <w:rFonts w:hint="eastAsia"/>
        </w:rPr>
        <w:t xml:space="preserve">焦豪.</w:t>
      </w:r>
      <w:r>
        <w:t xml:space="preserve"> 2023.</w:t>
      </w:r>
      <w:r>
        <w:t xml:space="preserve"> </w:t>
      </w:r>
      <w:r>
        <w:rPr>
          <w:rFonts w:hint="eastAsia"/>
        </w:rPr>
        <w:t xml:space="preserve">“数字平台生态观：数字经济时代的管理理论新视角.”</w:t>
      </w:r>
      <w:r>
        <w:t xml:space="preserve"> </w:t>
      </w:r>
      <w:r>
        <w:rPr>
          <w:rFonts w:hint="eastAsia"/>
          <w:i/>
          <w:iCs/>
        </w:rPr>
        <w:t xml:space="preserve">中国工业经济</w:t>
      </w:r>
      <w:r>
        <w:t xml:space="preserve">, no. 7: 135–54.</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hyperlink" Id="rId113" Target="https://doi.org/10.1002/smj.2904" TargetMode="External" /><Relationship Type="http://schemas.openxmlformats.org/officeDocument/2006/relationships/hyperlink" Id="rId120" Target="https://doi.org/10.1037/0033-2909.116.1.75" TargetMode="External" /><Relationship Type="http://schemas.openxmlformats.org/officeDocument/2006/relationships/hyperlink" Id="rId98" Target="https://doi.org/10.1037/dec0000068" TargetMode="External" /><Relationship Type="http://schemas.openxmlformats.org/officeDocument/2006/relationships/hyperlink" Id="rId122" Target="https://doi.org/10.1080/10584609.2019.1687626" TargetMode="External" /><Relationship Type="http://schemas.openxmlformats.org/officeDocument/2006/relationships/hyperlink" Id="rId89" Target="https://doi.org/10.1093/cybsec/tyac011" TargetMode="External" /><Relationship Type="http://schemas.openxmlformats.org/officeDocument/2006/relationships/hyperlink" Id="rId85" Target="https://doi.org/10.1109/ASONAM.2016.7752207" TargetMode="External" /><Relationship Type="http://schemas.openxmlformats.org/officeDocument/2006/relationships/hyperlink" Id="rId94" Target="https://doi.org/10.1111/j.1365-2575.2012.00406.x" TargetMode="External" /><Relationship Type="http://schemas.openxmlformats.org/officeDocument/2006/relationships/hyperlink" Id="rId80" Target="https://doi.org/10.1111/j.1756-2171.2006.tb00037.x" TargetMode="External" /><Relationship Type="http://schemas.openxmlformats.org/officeDocument/2006/relationships/hyperlink" Id="rId142" Target="https://doi.org/10.1111/rego.12158" TargetMode="External" /><Relationship Type="http://schemas.openxmlformats.org/officeDocument/2006/relationships/hyperlink" Id="rId102" Target="https://doi.org/10.1111/rego.12367" TargetMode="External" /><Relationship Type="http://schemas.openxmlformats.org/officeDocument/2006/relationships/hyperlink" Id="rId138" Target="https://doi.org/10.1111/rego.12437" TargetMode="External" /><Relationship Type="http://schemas.openxmlformats.org/officeDocument/2006/relationships/hyperlink" Id="rId104" Target="https://doi.org/10.1126/science.abp9364" TargetMode="External" /><Relationship Type="http://schemas.openxmlformats.org/officeDocument/2006/relationships/hyperlink" Id="rId118" Target="https://doi.org/10.1145/1557019.1557077" TargetMode="External" /><Relationship Type="http://schemas.openxmlformats.org/officeDocument/2006/relationships/hyperlink" Id="rId87" Target="https://doi.org/10.1145/2823465.2823467" TargetMode="External" /><Relationship Type="http://schemas.openxmlformats.org/officeDocument/2006/relationships/hyperlink" Id="rId92" Target="https://doi.org/10.1145/2844110" TargetMode="External" /><Relationship Type="http://schemas.openxmlformats.org/officeDocument/2006/relationships/hyperlink" Id="rId115" Target="https://doi.org/10.1145/3359252" TargetMode="External" /><Relationship Type="http://schemas.openxmlformats.org/officeDocument/2006/relationships/hyperlink" Id="rId131" Target="https://doi.org/10.1162/154247603322493212" TargetMode="External" /><Relationship Type="http://schemas.openxmlformats.org/officeDocument/2006/relationships/hyperlink" Id="rId100" Target="https://doi.org/10.1177/2053951719897945" TargetMode="External" /><Relationship Type="http://schemas.openxmlformats.org/officeDocument/2006/relationships/hyperlink" Id="rId136" Target="https://doi.org/10.1287/isre.1100.0323" TargetMode="External" /><Relationship Type="http://schemas.openxmlformats.org/officeDocument/2006/relationships/hyperlink" Id="rId82" Target="https://doi.org/10.1287/mksc.2019.1208" TargetMode="External" /><Relationship Type="http://schemas.openxmlformats.org/officeDocument/2006/relationships/hyperlink" Id="rId106" Target="https://doi.org/10.1287/mksc.2022.1353" TargetMode="External" /><Relationship Type="http://schemas.openxmlformats.org/officeDocument/2006/relationships/hyperlink" Id="rId124" Target="https://doi.org/10.1287/mnsc.1120.1536" TargetMode="External" /><Relationship Type="http://schemas.openxmlformats.org/officeDocument/2006/relationships/hyperlink" Id="rId109" Target="https://doi.org/10.1287/mnsc.2013.1808" TargetMode="External" /><Relationship Type="http://schemas.openxmlformats.org/officeDocument/2006/relationships/hyperlink" Id="rId127" Target="https://doi.org/10.1287/mnsc.2017.2757" TargetMode="External" /><Relationship Type="http://schemas.openxmlformats.org/officeDocument/2006/relationships/hyperlink" Id="rId111" Target="https://doi.org/10.2753/MIS0742-1222300304" TargetMode="External" /></Relationships>
</file>

<file path=word/_rels/footnotes.xml.rels><?xml version="1.0" encoding="UTF-8"?><Relationships xmlns="http://schemas.openxmlformats.org/package/2006/relationships"><Relationship Type="http://schemas.openxmlformats.org/officeDocument/2006/relationships/hyperlink" Id="rId113" Target="https://doi.org/10.1002/smj.2904" TargetMode="External" /><Relationship Type="http://schemas.openxmlformats.org/officeDocument/2006/relationships/hyperlink" Id="rId120" Target="https://doi.org/10.1037/0033-2909.116.1.75" TargetMode="External" /><Relationship Type="http://schemas.openxmlformats.org/officeDocument/2006/relationships/hyperlink" Id="rId98" Target="https://doi.org/10.1037/dec0000068" TargetMode="External" /><Relationship Type="http://schemas.openxmlformats.org/officeDocument/2006/relationships/hyperlink" Id="rId122" Target="https://doi.org/10.1080/10584609.2019.1687626" TargetMode="External" /><Relationship Type="http://schemas.openxmlformats.org/officeDocument/2006/relationships/hyperlink" Id="rId89" Target="https://doi.org/10.1093/cybsec/tyac011" TargetMode="External" /><Relationship Type="http://schemas.openxmlformats.org/officeDocument/2006/relationships/hyperlink" Id="rId85" Target="https://doi.org/10.1109/ASONAM.2016.7752207" TargetMode="External" /><Relationship Type="http://schemas.openxmlformats.org/officeDocument/2006/relationships/hyperlink" Id="rId94" Target="https://doi.org/10.1111/j.1365-2575.2012.00406.x" TargetMode="External" /><Relationship Type="http://schemas.openxmlformats.org/officeDocument/2006/relationships/hyperlink" Id="rId80" Target="https://doi.org/10.1111/j.1756-2171.2006.tb00037.x" TargetMode="External" /><Relationship Type="http://schemas.openxmlformats.org/officeDocument/2006/relationships/hyperlink" Id="rId142" Target="https://doi.org/10.1111/rego.12158" TargetMode="External" /><Relationship Type="http://schemas.openxmlformats.org/officeDocument/2006/relationships/hyperlink" Id="rId102" Target="https://doi.org/10.1111/rego.12367" TargetMode="External" /><Relationship Type="http://schemas.openxmlformats.org/officeDocument/2006/relationships/hyperlink" Id="rId138" Target="https://doi.org/10.1111/rego.12437" TargetMode="External" /><Relationship Type="http://schemas.openxmlformats.org/officeDocument/2006/relationships/hyperlink" Id="rId104" Target="https://doi.org/10.1126/science.abp9364" TargetMode="External" /><Relationship Type="http://schemas.openxmlformats.org/officeDocument/2006/relationships/hyperlink" Id="rId118" Target="https://doi.org/10.1145/1557019.1557077" TargetMode="External" /><Relationship Type="http://schemas.openxmlformats.org/officeDocument/2006/relationships/hyperlink" Id="rId87" Target="https://doi.org/10.1145/2823465.2823467" TargetMode="External" /><Relationship Type="http://schemas.openxmlformats.org/officeDocument/2006/relationships/hyperlink" Id="rId92" Target="https://doi.org/10.1145/2844110" TargetMode="External" /><Relationship Type="http://schemas.openxmlformats.org/officeDocument/2006/relationships/hyperlink" Id="rId115" Target="https://doi.org/10.1145/3359252" TargetMode="External" /><Relationship Type="http://schemas.openxmlformats.org/officeDocument/2006/relationships/hyperlink" Id="rId131" Target="https://doi.org/10.1162/154247603322493212" TargetMode="External" /><Relationship Type="http://schemas.openxmlformats.org/officeDocument/2006/relationships/hyperlink" Id="rId100" Target="https://doi.org/10.1177/2053951719897945" TargetMode="External" /><Relationship Type="http://schemas.openxmlformats.org/officeDocument/2006/relationships/hyperlink" Id="rId136" Target="https://doi.org/10.1287/isre.1100.0323" TargetMode="External" /><Relationship Type="http://schemas.openxmlformats.org/officeDocument/2006/relationships/hyperlink" Id="rId82" Target="https://doi.org/10.1287/mksc.2019.1208" TargetMode="External" /><Relationship Type="http://schemas.openxmlformats.org/officeDocument/2006/relationships/hyperlink" Id="rId106" Target="https://doi.org/10.1287/mksc.2022.1353" TargetMode="External" /><Relationship Type="http://schemas.openxmlformats.org/officeDocument/2006/relationships/hyperlink" Id="rId124" Target="https://doi.org/10.1287/mnsc.1120.1536" TargetMode="External" /><Relationship Type="http://schemas.openxmlformats.org/officeDocument/2006/relationships/hyperlink" Id="rId109" Target="https://doi.org/10.1287/mnsc.2013.1808" TargetMode="External" /><Relationship Type="http://schemas.openxmlformats.org/officeDocument/2006/relationships/hyperlink" Id="rId127" Target="https://doi.org/10.1287/mnsc.2017.2757" TargetMode="External" /><Relationship Type="http://schemas.openxmlformats.org/officeDocument/2006/relationships/hyperlink" Id="rId111" Target="https://doi.org/10.2753/MIS0742-12223003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算法治理对数字平台生态系统的重构效应 ——基于微博热搜榜的准自然实验 </dc:title>
  <dc:creator/>
  <cp:keywords/>
  <dcterms:created xsi:type="dcterms:W3CDTF">2025-12-17T13:55:34Z</dcterms:created>
  <dcterms:modified xsi:type="dcterms:W3CDTF">2025-12-17T13:55:34Z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ies>
</file>