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3F" w:rsidRPr="00725AC3" w:rsidRDefault="003B123F" w:rsidP="0035322D">
      <w:pPr>
        <w:pStyle w:val="Default"/>
        <w:ind w:right="-518"/>
        <w:rPr>
          <w:rFonts w:ascii="Arial" w:hAnsi="Arial" w:cs="Arial"/>
          <w:sz w:val="36"/>
          <w:szCs w:val="36"/>
        </w:rPr>
      </w:pPr>
    </w:p>
    <w:tbl>
      <w:tblPr>
        <w:tblW w:w="96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8"/>
      </w:tblGrid>
      <w:tr w:rsidR="003B123F" w:rsidRPr="00725AC3" w:rsidTr="003B123F">
        <w:trPr>
          <w:trHeight w:val="850"/>
        </w:trPr>
        <w:tc>
          <w:tcPr>
            <w:tcW w:w="9608" w:type="dxa"/>
          </w:tcPr>
          <w:p w:rsidR="003B123F" w:rsidRPr="00725AC3" w:rsidRDefault="00A650D8" w:rsidP="00535F58">
            <w:pPr>
              <w:pStyle w:val="Default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RECEPCIÓN DE CFDI</w:t>
            </w:r>
            <w:r w:rsidR="003B123F" w:rsidRPr="00725AC3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GUÍA DE IMPLEMENTACIÓN</w:t>
            </w:r>
          </w:p>
          <w:p w:rsidR="003B123F" w:rsidRPr="00725AC3" w:rsidRDefault="00A417F8" w:rsidP="00A417F8">
            <w:pPr>
              <w:pStyle w:val="Default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proofErr w:type="spellStart"/>
            <w:r w:rsidRPr="00A417F8">
              <w:rPr>
                <w:rFonts w:ascii="Arial" w:hAnsi="Arial" w:cs="Arial"/>
                <w:b/>
                <w:bCs/>
                <w:sz w:val="36"/>
                <w:szCs w:val="36"/>
              </w:rPr>
              <w:t>Asonioscos</w:t>
            </w:r>
            <w:proofErr w:type="spellEnd"/>
            <w:r w:rsidRPr="00A417F8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(productos no </w:t>
            </w:r>
            <w:proofErr w:type="spellStart"/>
            <w:r w:rsidRPr="00A417F8">
              <w:rPr>
                <w:rFonts w:ascii="Arial" w:hAnsi="Arial" w:cs="Arial"/>
                <w:b/>
                <w:bCs/>
                <w:sz w:val="36"/>
                <w:szCs w:val="36"/>
              </w:rPr>
              <w:t>inventariables</w:t>
            </w:r>
            <w:proofErr w:type="spellEnd"/>
            <w:r w:rsidRPr="00A417F8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y ordenes de servicio con orden de compra)</w:t>
            </w:r>
          </w:p>
          <w:p w:rsidR="003B123F" w:rsidRPr="00725AC3" w:rsidRDefault="00043B12" w:rsidP="0035322D">
            <w:pPr>
              <w:pStyle w:val="Default"/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-413385</wp:posOffset>
                      </wp:positionH>
                      <wp:positionV relativeFrom="paragraph">
                        <wp:posOffset>198755</wp:posOffset>
                      </wp:positionV>
                      <wp:extent cx="6391275" cy="0"/>
                      <wp:effectExtent l="9525" t="7620" r="9525" b="11430"/>
                      <wp:wrapNone/>
                      <wp:docPr id="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91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D2EC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32.55pt;margin-top:15.65pt;width:50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Lk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rzESJIe&#10;WvR8cCpERqkvz6BtDlal3BmfID3JV/2i6HeLpCpbIhsejN/OGnwT7xG9c/EXqyHIfvisGNgQwA+1&#10;OtWm95BQBXQKLTnfWsJPDlF4nD8sk/RxhhEddRHJR0dtrPvEVY+8UGDrDBFN60olJTRemSSEIccX&#10;6zwtko8OPqpUW9F1of+dRAMUYJbOgoNVnWBe6c2safZlZ9CR+AkKX8gRNPdmRh0kC2AtJ2xzlR0R&#10;3UWG4J30eJAY0LlKlxH5sYyXm8VmkU2ydL6ZZHFVTZ63ZTaZb5PHWfVQlWWV/PTUkixvBWNcenbj&#10;uCbZ343DdXEug3Yb2FsZovfooV5AdvwH0qGzvpmXsdgrdt6ZseMwocH4uk1+Be7vIN/v/PoXAAAA&#10;//8DAFBLAwQUAAYACAAAACEAFiZpFN4AAAAJAQAADwAAAGRycy9kb3ducmV2LnhtbEyPTU/DMAyG&#10;70j8h8hIXNCWZl9iXdNpQuLAkW0S16wxbUfjVE26lv16jDiMo+1Hr583246uERfsQu1Jg5omIJAK&#10;b2sqNRwPr5NnECEasqbxhBq+McA2v7/LTGr9QO942cdScAiF1GioYmxTKUNRoTNh6lskvn36zpnI&#10;Y1dK25mBw10jZ0myks7UxB8q0+JLhcXXvncaMPRLlezWrjy+XYenj9n1PLQHrR8fxt0GRMQx3mD4&#10;1Wd1yNnp5HuyQTQaJqulYlTDXM1BMLBeqAWI099C5pn83yD/AQAA//8DAFBLAQItABQABgAIAAAA&#10;IQC2gziS/gAAAOEBAAATAAAAAAAAAAAAAAAAAAAAAABbQ29udGVudF9UeXBlc10ueG1sUEsBAi0A&#10;FAAGAAgAAAAhADj9If/WAAAAlAEAAAsAAAAAAAAAAAAAAAAALwEAAF9yZWxzLy5yZWxzUEsBAi0A&#10;FAAGAAgAAAAhAMrG4uQeAgAAOwQAAA4AAAAAAAAAAAAAAAAALgIAAGRycy9lMm9Eb2MueG1sUEsB&#10;Ai0AFAAGAAgAAAAhABYmaRTeAAAACQEAAA8AAAAAAAAAAAAAAAAAeAQAAGRycy9kb3ducmV2Lnht&#10;bFBLBQYAAAAABAAEAPMAAACDBQAAAAA=&#10;"/>
                  </w:pict>
                </mc:Fallback>
              </mc:AlternateContent>
            </w:r>
          </w:p>
        </w:tc>
      </w:tr>
      <w:tr w:rsidR="003B123F" w:rsidRPr="00725AC3" w:rsidTr="003B123F">
        <w:trPr>
          <w:trHeight w:val="850"/>
        </w:trPr>
        <w:tc>
          <w:tcPr>
            <w:tcW w:w="9608" w:type="dxa"/>
          </w:tcPr>
          <w:p w:rsidR="003B123F" w:rsidRPr="00725AC3" w:rsidRDefault="003B123F" w:rsidP="0035322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25AC3"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-708660</wp:posOffset>
                  </wp:positionH>
                  <wp:positionV relativeFrom="paragraph">
                    <wp:posOffset>12065</wp:posOffset>
                  </wp:positionV>
                  <wp:extent cx="695325" cy="628650"/>
                  <wp:effectExtent l="19050" t="0" r="9525" b="0"/>
                  <wp:wrapNone/>
                  <wp:docPr id="1" name="0 Imagen" descr="descar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carga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B123F" w:rsidRPr="00725AC3" w:rsidRDefault="003B123F" w:rsidP="0035322D">
            <w:pPr>
              <w:pStyle w:val="Default"/>
              <w:jc w:val="both"/>
              <w:rPr>
                <w:rFonts w:ascii="Arial" w:hAnsi="Arial" w:cs="Arial"/>
                <w:sz w:val="36"/>
                <w:szCs w:val="36"/>
              </w:rPr>
            </w:pPr>
            <w:r w:rsidRPr="00725A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IMPORTANTE. </w:t>
            </w:r>
            <w:r w:rsidRPr="00725AC3">
              <w:rPr>
                <w:rFonts w:ascii="Arial" w:hAnsi="Arial" w:cs="Arial"/>
                <w:sz w:val="22"/>
                <w:szCs w:val="22"/>
              </w:rPr>
              <w:t xml:space="preserve">Este documento está sujeto a cambios, por lo que se recomienda consulte con el área de </w:t>
            </w:r>
            <w:r w:rsidR="002D208C">
              <w:rPr>
                <w:rFonts w:ascii="Arial" w:hAnsi="Arial" w:cs="Arial"/>
                <w:sz w:val="22"/>
                <w:szCs w:val="22"/>
              </w:rPr>
              <w:t>IT Asofarma</w:t>
            </w:r>
            <w:r w:rsidRPr="00725AC3">
              <w:rPr>
                <w:rFonts w:ascii="Arial" w:hAnsi="Arial" w:cs="Arial"/>
                <w:sz w:val="22"/>
                <w:szCs w:val="22"/>
              </w:rPr>
              <w:t xml:space="preserve"> si ésta es la versión más reciente del mismo. De igual forma, agradecemos sus comentarios y sugerencias con respecto al contenido del mismo.</w:t>
            </w:r>
          </w:p>
          <w:p w:rsidR="003B123F" w:rsidRPr="00725AC3" w:rsidRDefault="00043B12" w:rsidP="0035322D">
            <w:pPr>
              <w:pStyle w:val="Default"/>
              <w:jc w:val="both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36"/>
                <w:szCs w:val="3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-403860</wp:posOffset>
                      </wp:positionH>
                      <wp:positionV relativeFrom="paragraph">
                        <wp:posOffset>69850</wp:posOffset>
                      </wp:positionV>
                      <wp:extent cx="6391275" cy="0"/>
                      <wp:effectExtent l="9525" t="12700" r="9525" b="6350"/>
                      <wp:wrapNone/>
                      <wp:docPr id="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91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43FD9" id="AutoShape 3" o:spid="_x0000_s1026" type="#_x0000_t32" style="position:absolute;margin-left:-31.8pt;margin-top:5.5pt;width:50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4T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C8wkqSD&#10;Fj0fnQqR0dSXp9c2A6tC7o1PkJ7lq35R9LtFUhUNkTUPxm8XDb6J94jeufiL1RDk0H9WDGwI4Ida&#10;nSvTeUioAjqHllzuLeFnhyg8zqerZLK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FNKkkd0AAAAJAQAADwAAAGRycy9kb3ducmV2LnhtbEyPQU+DQBCF&#10;7yb9D5tp0otpF1CJIEvTNPHg0baJ1y07AsrOEnYp2F/vGA96nPe+vHmv2M62ExccfOtIQbyJQCBV&#10;zrRUKzgdn9ePIHzQZHTnCBV8oYdtubgpdG7cRK94OYRacAj5XCtoQuhzKX3VoNV+43ok9t7dYHXg&#10;c6ilGfTE4baTSRSl0uqW+EOje9w3WH0eRqsA/fgQR7vM1qeX63T7llw/pv6o1Go5755ABJzDHww/&#10;9bk6lNzp7EYyXnQK1uldyigbMW9iILtPMhDnX0GWhfy/oPwGAAD//wMAUEsBAi0AFAAGAAgAAAAh&#10;ALaDOJL+AAAA4QEAABMAAAAAAAAAAAAAAAAAAAAAAFtDb250ZW50X1R5cGVzXS54bWxQSwECLQAU&#10;AAYACAAAACEAOP0h/9YAAACUAQAACwAAAAAAAAAAAAAAAAAvAQAAX3JlbHMvLnJlbHNQSwECLQAU&#10;AAYACAAAACEAw2fOEx4CAAA7BAAADgAAAAAAAAAAAAAAAAAuAgAAZHJzL2Uyb0RvYy54bWxQSwEC&#10;LQAUAAYACAAAACEAFNKkkd0AAAAJAQAADwAAAAAAAAAAAAAAAAB4BAAAZHJzL2Rvd25yZXYueG1s&#10;UEsFBgAAAAAEAAQA8wAAAIIFAAAAAA==&#10;"/>
                  </w:pict>
                </mc:Fallback>
              </mc:AlternateContent>
            </w:r>
          </w:p>
        </w:tc>
      </w:tr>
      <w:tr w:rsidR="003B123F" w:rsidRPr="00725AC3" w:rsidTr="003B123F">
        <w:trPr>
          <w:trHeight w:val="850"/>
        </w:trPr>
        <w:tc>
          <w:tcPr>
            <w:tcW w:w="9608" w:type="dxa"/>
          </w:tcPr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3B12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1. Introducción. </w:t>
            </w:r>
          </w:p>
          <w:p w:rsidR="00725AC3" w:rsidRPr="003B123F" w:rsidRDefault="00725AC3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En este documento se describen los lineamientos y guías para poder consumir el Web </w:t>
            </w:r>
            <w:proofErr w:type="spellStart"/>
            <w:r w:rsidRPr="003B123F">
              <w:rPr>
                <w:rFonts w:ascii="Arial" w:hAnsi="Arial" w:cs="Arial"/>
                <w:color w:val="000000"/>
              </w:rPr>
              <w:t>Servi</w:t>
            </w:r>
            <w:r w:rsidRPr="00725AC3">
              <w:rPr>
                <w:rFonts w:ascii="Arial" w:hAnsi="Arial" w:cs="Arial"/>
                <w:color w:val="000000"/>
              </w:rPr>
              <w:t>ce</w:t>
            </w:r>
            <w:proofErr w:type="spellEnd"/>
            <w:r w:rsidRPr="00725AC3">
              <w:rPr>
                <w:rFonts w:ascii="Arial" w:hAnsi="Arial" w:cs="Arial"/>
                <w:color w:val="000000"/>
              </w:rPr>
              <w:t xml:space="preserve"> (WS) mediante el cual Asofarma de </w:t>
            </w:r>
            <w:r w:rsidR="0033645D" w:rsidRPr="00725AC3">
              <w:rPr>
                <w:rFonts w:ascii="Arial" w:hAnsi="Arial" w:cs="Arial"/>
                <w:color w:val="000000"/>
              </w:rPr>
              <w:t>México</w:t>
            </w:r>
            <w:r w:rsidRPr="00725AC3">
              <w:rPr>
                <w:rFonts w:ascii="Arial" w:hAnsi="Arial" w:cs="Arial"/>
                <w:color w:val="000000"/>
              </w:rPr>
              <w:t xml:space="preserve"> SA de CV.</w:t>
            </w:r>
            <w:r w:rsidRPr="003B123F">
              <w:rPr>
                <w:rFonts w:ascii="Arial" w:hAnsi="Arial" w:cs="Arial"/>
                <w:color w:val="000000"/>
              </w:rPr>
              <w:t xml:space="preserve"> </w:t>
            </w:r>
            <w:r w:rsidR="0033645D" w:rsidRPr="003B123F">
              <w:rPr>
                <w:rFonts w:ascii="Arial" w:hAnsi="Arial" w:cs="Arial"/>
                <w:color w:val="000000"/>
              </w:rPr>
              <w:t>Recibirá</w:t>
            </w:r>
            <w:r w:rsidRPr="003B123F">
              <w:rPr>
                <w:rFonts w:ascii="Arial" w:hAnsi="Arial" w:cs="Arial"/>
                <w:color w:val="000000"/>
              </w:rPr>
              <w:t xml:space="preserve"> el o los Compr</w:t>
            </w:r>
            <w:r w:rsidR="00A650D8">
              <w:rPr>
                <w:rFonts w:ascii="Arial" w:hAnsi="Arial" w:cs="Arial"/>
                <w:color w:val="000000"/>
              </w:rPr>
              <w:t>obantes Fiscales Digitales (CFDI</w:t>
            </w:r>
            <w:r w:rsidRPr="003B123F">
              <w:rPr>
                <w:rFonts w:ascii="Arial" w:hAnsi="Arial" w:cs="Arial"/>
                <w:color w:val="000000"/>
              </w:rPr>
              <w:t>) emitidos por un Proveedor</w:t>
            </w:r>
            <w:r w:rsidR="00C734C2">
              <w:rPr>
                <w:rFonts w:ascii="Arial" w:hAnsi="Arial" w:cs="Arial"/>
                <w:color w:val="000000"/>
              </w:rPr>
              <w:t xml:space="preserve"> en formatos XML</w:t>
            </w:r>
            <w:r w:rsidRPr="003B123F">
              <w:rPr>
                <w:rFonts w:ascii="Arial" w:hAnsi="Arial" w:cs="Arial"/>
                <w:color w:val="000000"/>
              </w:rPr>
              <w:t xml:space="preserve">.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3B123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1.1 Propósito. </w:t>
            </w:r>
          </w:p>
          <w:p w:rsidR="00725AC3" w:rsidRPr="003B123F" w:rsidRDefault="00725AC3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 w:rsidR="003B123F" w:rsidRPr="00725AC3" w:rsidRDefault="003B123F" w:rsidP="0035322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5AC3">
              <w:rPr>
                <w:rFonts w:ascii="Arial" w:hAnsi="Arial" w:cs="Arial"/>
                <w:sz w:val="22"/>
                <w:szCs w:val="22"/>
              </w:rPr>
              <w:t xml:space="preserve">Describir las guías, reglas y restricciones para el uso correcto del Web </w:t>
            </w:r>
            <w:proofErr w:type="spellStart"/>
            <w:r w:rsidRPr="00725AC3">
              <w:rPr>
                <w:rFonts w:ascii="Arial" w:hAnsi="Arial" w:cs="Arial"/>
                <w:sz w:val="22"/>
                <w:szCs w:val="22"/>
              </w:rPr>
              <w:t>Service</w:t>
            </w:r>
            <w:proofErr w:type="spellEnd"/>
            <w:r w:rsidRPr="00725AC3">
              <w:rPr>
                <w:rFonts w:ascii="Arial" w:hAnsi="Arial" w:cs="Arial"/>
                <w:sz w:val="22"/>
                <w:szCs w:val="22"/>
              </w:rPr>
              <w:t xml:space="preserve"> de Recepción de </w:t>
            </w:r>
            <w:r w:rsidR="00A650D8">
              <w:rPr>
                <w:rFonts w:ascii="Arial" w:hAnsi="Arial" w:cs="Arial"/>
                <w:sz w:val="22"/>
                <w:szCs w:val="22"/>
              </w:rPr>
              <w:t>CFDI</w:t>
            </w:r>
            <w:r w:rsidRPr="00725AC3">
              <w:rPr>
                <w:rFonts w:ascii="Arial" w:hAnsi="Arial" w:cs="Arial"/>
                <w:sz w:val="22"/>
                <w:szCs w:val="22"/>
              </w:rPr>
              <w:t xml:space="preserve"> expuesto a través de Internet por Asofarma de</w:t>
            </w:r>
            <w:r w:rsidR="00C734C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3645D" w:rsidRPr="00725AC3">
              <w:rPr>
                <w:rFonts w:ascii="Arial" w:hAnsi="Arial" w:cs="Arial"/>
                <w:sz w:val="22"/>
                <w:szCs w:val="22"/>
              </w:rPr>
              <w:t>México</w:t>
            </w:r>
            <w:r w:rsidRPr="00725AC3">
              <w:rPr>
                <w:rFonts w:ascii="Arial" w:hAnsi="Arial" w:cs="Arial"/>
                <w:sz w:val="22"/>
                <w:szCs w:val="22"/>
              </w:rPr>
              <w:t xml:space="preserve"> SA de CV.</w:t>
            </w:r>
          </w:p>
          <w:p w:rsidR="003B123F" w:rsidRPr="00725AC3" w:rsidRDefault="003B123F" w:rsidP="0035322D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3B123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1.2 Alcance. </w:t>
            </w:r>
          </w:p>
          <w:p w:rsidR="00725AC3" w:rsidRPr="003B123F" w:rsidRDefault="00725AC3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El presente documento se limita únicamente a: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59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1. Describir el Web </w:t>
            </w:r>
            <w:proofErr w:type="spellStart"/>
            <w:r w:rsidRPr="003B123F">
              <w:rPr>
                <w:rFonts w:ascii="Arial" w:hAnsi="Arial" w:cs="Arial"/>
                <w:color w:val="000000"/>
              </w:rPr>
              <w:t>Service</w:t>
            </w:r>
            <w:proofErr w:type="spellEnd"/>
            <w:r w:rsidRPr="003B123F">
              <w:rPr>
                <w:rFonts w:ascii="Arial" w:hAnsi="Arial" w:cs="Arial"/>
                <w:color w:val="000000"/>
              </w:rPr>
              <w:t xml:space="preserve"> de Recepción de </w:t>
            </w:r>
            <w:r w:rsidR="00A650D8">
              <w:rPr>
                <w:rFonts w:ascii="Arial" w:hAnsi="Arial" w:cs="Arial"/>
                <w:color w:val="000000"/>
              </w:rPr>
              <w:t>CFDI</w:t>
            </w:r>
            <w:r w:rsidRPr="003B123F">
              <w:rPr>
                <w:rFonts w:ascii="Arial" w:hAnsi="Arial" w:cs="Arial"/>
                <w:color w:val="000000"/>
              </w:rPr>
              <w:t xml:space="preserve">.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59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2. Establecer guías para su uso.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59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3. Recomendaciones generales. </w:t>
            </w:r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>4. Desc</w:t>
            </w:r>
            <w:r w:rsidRPr="00725AC3">
              <w:rPr>
                <w:rFonts w:ascii="Arial" w:hAnsi="Arial" w:cs="Arial"/>
                <w:color w:val="000000"/>
              </w:rPr>
              <w:t xml:space="preserve">ripción de la </w:t>
            </w:r>
            <w:proofErr w:type="spellStart"/>
            <w:r w:rsidRPr="00725AC3">
              <w:rPr>
                <w:rFonts w:ascii="Arial" w:hAnsi="Arial" w:cs="Arial"/>
                <w:color w:val="000000"/>
              </w:rPr>
              <w:t>Addenda</w:t>
            </w:r>
            <w:proofErr w:type="spellEnd"/>
            <w:r w:rsidRPr="00725AC3">
              <w:rPr>
                <w:rFonts w:ascii="Arial" w:hAnsi="Arial" w:cs="Arial"/>
                <w:color w:val="000000"/>
              </w:rPr>
              <w:t xml:space="preserve"> de  Asofarma</w:t>
            </w:r>
            <w:r w:rsidRPr="003B123F">
              <w:rPr>
                <w:rFonts w:ascii="Arial" w:hAnsi="Arial" w:cs="Arial"/>
                <w:color w:val="000000"/>
              </w:rPr>
              <w:t>.</w:t>
            </w:r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3B123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1.3 Queda fuera del alcance de este documento. </w:t>
            </w:r>
          </w:p>
          <w:p w:rsidR="00725AC3" w:rsidRPr="003B123F" w:rsidRDefault="00725AC3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Este documento no describe: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58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1. </w:t>
            </w:r>
            <w:proofErr w:type="spellStart"/>
            <w:r w:rsidRPr="003B123F">
              <w:rPr>
                <w:rFonts w:ascii="Arial" w:hAnsi="Arial" w:cs="Arial"/>
                <w:color w:val="000000"/>
              </w:rPr>
              <w:t>Addenda</w:t>
            </w:r>
            <w:proofErr w:type="spellEnd"/>
            <w:r w:rsidRPr="003B123F">
              <w:rPr>
                <w:rFonts w:ascii="Arial" w:hAnsi="Arial" w:cs="Arial"/>
                <w:color w:val="000000"/>
              </w:rPr>
              <w:t xml:space="preserve"> Homologada (definida por GS1/México) ni los criterios para su utilización.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58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>2.</w:t>
            </w:r>
            <w:r w:rsidR="00A650D8">
              <w:rPr>
                <w:rFonts w:ascii="Arial" w:hAnsi="Arial" w:cs="Arial"/>
                <w:color w:val="000000"/>
              </w:rPr>
              <w:t xml:space="preserve"> Describir la estructura de un CFDI</w:t>
            </w:r>
            <w:r w:rsidRPr="003B123F">
              <w:rPr>
                <w:rFonts w:ascii="Arial" w:hAnsi="Arial" w:cs="Arial"/>
                <w:color w:val="000000"/>
              </w:rPr>
              <w:t xml:space="preserve">, esto se puede consultar en el sitio web de la SAT </w:t>
            </w:r>
            <w:hyperlink r:id="rId7" w:history="1">
              <w:r w:rsidR="00725AC3" w:rsidRPr="00725AC3">
                <w:rPr>
                  <w:rStyle w:val="Hipervnculo"/>
                  <w:rFonts w:ascii="Arial" w:hAnsi="Arial" w:cs="Arial"/>
                </w:rPr>
                <w:t>http://www.sat.gob.mx</w:t>
              </w:r>
            </w:hyperlink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>3. Políticas, reglas o acuerdos de trabajo entre el área de Ventas del Proveedo</w:t>
            </w:r>
            <w:r w:rsidRPr="00725AC3">
              <w:rPr>
                <w:rFonts w:ascii="Arial" w:hAnsi="Arial" w:cs="Arial"/>
                <w:color w:val="000000"/>
              </w:rPr>
              <w:t xml:space="preserve">r y el área Comercial de </w:t>
            </w:r>
            <w:r w:rsidR="0035322D" w:rsidRPr="00725AC3">
              <w:rPr>
                <w:rFonts w:ascii="Arial" w:hAnsi="Arial" w:cs="Arial"/>
              </w:rPr>
              <w:t>Asofarma de</w:t>
            </w:r>
            <w:r w:rsidR="0035322D">
              <w:rPr>
                <w:rFonts w:ascii="Arial" w:hAnsi="Arial" w:cs="Arial"/>
              </w:rPr>
              <w:t xml:space="preserve"> </w:t>
            </w:r>
            <w:r w:rsidR="0033645D" w:rsidRPr="00725AC3">
              <w:rPr>
                <w:rFonts w:ascii="Arial" w:hAnsi="Arial" w:cs="Arial"/>
              </w:rPr>
              <w:t>México</w:t>
            </w:r>
            <w:r w:rsidRPr="003B123F">
              <w:rPr>
                <w:rFonts w:ascii="Arial" w:hAnsi="Arial" w:cs="Arial"/>
                <w:color w:val="000000"/>
              </w:rPr>
              <w:t>.</w:t>
            </w:r>
          </w:p>
          <w:p w:rsidR="00725AC3" w:rsidRDefault="00725AC3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5322D" w:rsidRDefault="0035322D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5322D" w:rsidRDefault="0035322D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5322D" w:rsidRDefault="0035322D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5322D" w:rsidRPr="00725AC3" w:rsidRDefault="0035322D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3B123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lastRenderedPageBreak/>
              <w:t xml:space="preserve">1.4 Referencias. </w:t>
            </w:r>
          </w:p>
          <w:p w:rsidR="00725AC3" w:rsidRPr="00725AC3" w:rsidRDefault="00725AC3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Este documento se apoya en las definiciones, guías y especificaciones descritas en las siguientes referencias. </w:t>
            </w:r>
          </w:p>
          <w:p w:rsidR="00725AC3" w:rsidRPr="003B123F" w:rsidRDefault="00725AC3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368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1. SAT. Página de la Secretaría de Administración Tributaria. http://www.sat.gob.mx </w:t>
            </w:r>
          </w:p>
          <w:p w:rsidR="003B123F" w:rsidRPr="00C734C2" w:rsidRDefault="003B123F" w:rsidP="0035322D">
            <w:pPr>
              <w:pStyle w:val="Default"/>
              <w:jc w:val="both"/>
              <w:rPr>
                <w:rFonts w:ascii="Arial" w:hAnsi="Arial" w:cs="Arial"/>
                <w:lang w:val="en-US"/>
              </w:rPr>
            </w:pPr>
            <w:r w:rsidRPr="003B123F">
              <w:rPr>
                <w:rFonts w:ascii="Arial" w:hAnsi="Arial" w:cs="Arial"/>
                <w:szCs w:val="22"/>
                <w:lang w:val="en-US"/>
              </w:rPr>
              <w:t>2. W3C. World Wide Web Consortium</w:t>
            </w:r>
            <w:r w:rsidR="00725AC3" w:rsidRPr="00C734C2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r w:rsidR="004F375D">
              <w:fldChar w:fldCharType="begin"/>
            </w:r>
            <w:r w:rsidR="004F375D" w:rsidRPr="00542BA5">
              <w:rPr>
                <w:lang w:val="en-US"/>
              </w:rPr>
              <w:instrText xml:space="preserve"> HY</w:instrText>
            </w:r>
            <w:r w:rsidR="004F375D" w:rsidRPr="00542BA5">
              <w:rPr>
                <w:lang w:val="en-US"/>
              </w:rPr>
              <w:instrText xml:space="preserve">PERLINK "http://www.w3c.org" </w:instrText>
            </w:r>
            <w:r w:rsidR="004F375D">
              <w:fldChar w:fldCharType="separate"/>
            </w:r>
            <w:r w:rsidR="00725AC3" w:rsidRPr="00C734C2">
              <w:rPr>
                <w:rStyle w:val="Hipervnculo"/>
                <w:rFonts w:ascii="Arial" w:hAnsi="Arial" w:cs="Arial"/>
                <w:szCs w:val="22"/>
                <w:lang w:val="en-US"/>
              </w:rPr>
              <w:t>http://www.w3c.org</w:t>
            </w:r>
            <w:r w:rsidR="004F375D">
              <w:rPr>
                <w:rStyle w:val="Hipervnculo"/>
                <w:rFonts w:ascii="Arial" w:hAnsi="Arial" w:cs="Arial"/>
                <w:szCs w:val="22"/>
                <w:lang w:val="en-US"/>
              </w:rPr>
              <w:fldChar w:fldCharType="end"/>
            </w:r>
            <w:r w:rsidRPr="003B123F">
              <w:rPr>
                <w:rFonts w:ascii="Arial" w:hAnsi="Arial" w:cs="Arial"/>
                <w:szCs w:val="22"/>
                <w:lang w:val="en-US"/>
              </w:rPr>
              <w:t xml:space="preserve">.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368" w:line="240" w:lineRule="auto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:rsidR="00725AC3" w:rsidRPr="003B123F" w:rsidRDefault="003B123F" w:rsidP="0035322D">
            <w:pPr>
              <w:autoSpaceDE w:val="0"/>
              <w:autoSpaceDN w:val="0"/>
              <w:adjustRightInd w:val="0"/>
              <w:spacing w:after="368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>3. GS1/México. Asociación Mexicana de Estándares para el Comercio Electrónic</w:t>
            </w:r>
            <w:r w:rsidR="00725AC3" w:rsidRPr="00725AC3">
              <w:rPr>
                <w:rFonts w:ascii="Arial" w:hAnsi="Arial" w:cs="Arial"/>
                <w:color w:val="000000"/>
              </w:rPr>
              <w:t>o.</w:t>
            </w:r>
            <w:r w:rsidRPr="003B123F">
              <w:rPr>
                <w:rFonts w:ascii="Arial" w:hAnsi="Arial" w:cs="Arial"/>
                <w:color w:val="000000"/>
              </w:rPr>
              <w:t xml:space="preserve"> </w:t>
            </w:r>
            <w:hyperlink r:id="rId8" w:history="1">
              <w:r w:rsidR="00725AC3" w:rsidRPr="00725AC3">
                <w:rPr>
                  <w:rStyle w:val="Hipervnculo"/>
                  <w:rFonts w:ascii="Arial" w:hAnsi="Arial" w:cs="Arial"/>
                </w:rPr>
                <w:t>http://www.gs1mexico.org/site</w:t>
              </w:r>
            </w:hyperlink>
            <w:r w:rsidR="00725AC3" w:rsidRPr="00725AC3">
              <w:rPr>
                <w:rFonts w:ascii="Arial" w:hAnsi="Arial" w:cs="Arial"/>
                <w:color w:val="000000"/>
              </w:rPr>
              <w:t xml:space="preserve"> </w:t>
            </w:r>
          </w:p>
          <w:p w:rsid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3B123F">
              <w:rPr>
                <w:rFonts w:ascii="Arial" w:hAnsi="Arial" w:cs="Arial"/>
                <w:color w:val="000000"/>
              </w:rPr>
              <w:t>4. Recepción de Factura Electróni</w:t>
            </w:r>
            <w:r w:rsidRPr="00725AC3">
              <w:rPr>
                <w:rFonts w:ascii="Arial" w:hAnsi="Arial" w:cs="Arial"/>
                <w:color w:val="000000"/>
              </w:rPr>
              <w:t xml:space="preserve">ca en </w:t>
            </w:r>
            <w:r w:rsidR="00725AC3" w:rsidRPr="00725AC3">
              <w:rPr>
                <w:rFonts w:ascii="Arial" w:hAnsi="Arial" w:cs="Arial"/>
                <w:color w:val="000000"/>
              </w:rPr>
              <w:t>Asofarma</w:t>
            </w:r>
            <w:r w:rsidRPr="00725AC3">
              <w:rPr>
                <w:rFonts w:ascii="Arial" w:hAnsi="Arial" w:cs="Arial"/>
                <w:color w:val="000000"/>
              </w:rPr>
              <w:t>.</w:t>
            </w:r>
            <w:r w:rsidR="00725AC3" w:rsidRPr="00725AC3">
              <w:rPr>
                <w:rFonts w:ascii="Arial" w:hAnsi="Arial" w:cs="Arial"/>
              </w:rPr>
              <w:t xml:space="preserve"> </w:t>
            </w:r>
            <w:hyperlink r:id="rId9" w:history="1">
              <w:r w:rsidR="004778BD" w:rsidRPr="004733AE">
                <w:rPr>
                  <w:rStyle w:val="Hipervnculo"/>
                </w:rPr>
                <w:t>https://proveedores.asofarma.com.mx/</w:t>
              </w:r>
            </w:hyperlink>
          </w:p>
          <w:p w:rsidR="004778BD" w:rsidRPr="00725AC3" w:rsidRDefault="004778BD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B123F" w:rsidRPr="00725AC3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3B123F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1.5 Visión Global. </w:t>
            </w:r>
          </w:p>
          <w:p w:rsidR="00725AC3" w:rsidRPr="003B123F" w:rsidRDefault="00725AC3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>Mediante el WS para la Recepción</w:t>
            </w:r>
            <w:r w:rsidRPr="00725AC3">
              <w:rPr>
                <w:rFonts w:ascii="Arial" w:hAnsi="Arial" w:cs="Arial"/>
                <w:color w:val="000000"/>
              </w:rPr>
              <w:t xml:space="preserve"> de </w:t>
            </w:r>
            <w:r w:rsidR="00A650D8">
              <w:rPr>
                <w:rFonts w:ascii="Arial" w:hAnsi="Arial" w:cs="Arial"/>
                <w:color w:val="000000"/>
              </w:rPr>
              <w:t>CFDI</w:t>
            </w:r>
            <w:r w:rsidRPr="00725AC3">
              <w:rPr>
                <w:rFonts w:ascii="Arial" w:hAnsi="Arial" w:cs="Arial"/>
                <w:color w:val="000000"/>
              </w:rPr>
              <w:t>, un Pro</w:t>
            </w:r>
            <w:r w:rsidR="0035322D">
              <w:rPr>
                <w:rFonts w:ascii="Arial" w:hAnsi="Arial" w:cs="Arial"/>
                <w:color w:val="000000"/>
              </w:rPr>
              <w:t xml:space="preserve">veedor de </w:t>
            </w:r>
            <w:r w:rsidR="0035322D" w:rsidRPr="00725AC3">
              <w:rPr>
                <w:rFonts w:ascii="Arial" w:hAnsi="Arial" w:cs="Arial"/>
              </w:rPr>
              <w:t>Asofarma de</w:t>
            </w:r>
            <w:r w:rsidR="0035322D">
              <w:rPr>
                <w:rFonts w:ascii="Arial" w:hAnsi="Arial" w:cs="Arial"/>
              </w:rPr>
              <w:t xml:space="preserve"> </w:t>
            </w:r>
            <w:r w:rsidR="004778BD" w:rsidRPr="00725AC3">
              <w:rPr>
                <w:rFonts w:ascii="Arial" w:hAnsi="Arial" w:cs="Arial"/>
              </w:rPr>
              <w:t>México</w:t>
            </w:r>
            <w:r w:rsidRPr="003B123F">
              <w:rPr>
                <w:rFonts w:ascii="Arial" w:hAnsi="Arial" w:cs="Arial"/>
                <w:color w:val="000000"/>
              </w:rPr>
              <w:t xml:space="preserve">, podrá enviar </w:t>
            </w:r>
            <w:r w:rsidR="0035322D">
              <w:rPr>
                <w:rFonts w:ascii="Arial" w:hAnsi="Arial" w:cs="Arial"/>
                <w:color w:val="000000"/>
              </w:rPr>
              <w:t xml:space="preserve">su Factura Electrónica a </w:t>
            </w:r>
            <w:r w:rsidR="004778BD">
              <w:rPr>
                <w:rFonts w:ascii="Arial" w:hAnsi="Arial" w:cs="Arial"/>
              </w:rPr>
              <w:t>Asofarma</w:t>
            </w:r>
            <w:r w:rsidRPr="003B123F">
              <w:rPr>
                <w:rFonts w:ascii="Arial" w:hAnsi="Arial" w:cs="Arial"/>
                <w:color w:val="000000"/>
              </w:rPr>
              <w:t xml:space="preserve">, siempre y cuando dicho documento respete los requisitos de contenido del mismo.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>En términos gen</w:t>
            </w:r>
            <w:r w:rsidRPr="00725AC3">
              <w:rPr>
                <w:rFonts w:ascii="Arial" w:hAnsi="Arial" w:cs="Arial"/>
                <w:color w:val="000000"/>
              </w:rPr>
              <w:t xml:space="preserve">erales, un </w:t>
            </w:r>
            <w:r w:rsidR="00A650D8">
              <w:rPr>
                <w:rFonts w:ascii="Arial" w:hAnsi="Arial" w:cs="Arial"/>
                <w:color w:val="000000"/>
              </w:rPr>
              <w:t>CFDI</w:t>
            </w:r>
            <w:r w:rsidRPr="00725AC3">
              <w:rPr>
                <w:rFonts w:ascii="Arial" w:hAnsi="Arial" w:cs="Arial"/>
                <w:color w:val="000000"/>
              </w:rPr>
              <w:t xml:space="preserve"> enviado a Asofarma</w:t>
            </w:r>
            <w:r w:rsidRPr="003B123F">
              <w:rPr>
                <w:rFonts w:ascii="Arial" w:hAnsi="Arial" w:cs="Arial"/>
                <w:color w:val="000000"/>
              </w:rPr>
              <w:t xml:space="preserve">, deberá cumplir a cabalidad los siguientes requisitos: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56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1. Apegarse a los lineamientos establecidos </w:t>
            </w:r>
            <w:r w:rsidR="00A650D8">
              <w:rPr>
                <w:rFonts w:ascii="Arial" w:hAnsi="Arial" w:cs="Arial"/>
                <w:color w:val="000000"/>
              </w:rPr>
              <w:t>por el SAT</w:t>
            </w:r>
            <w:r w:rsidRPr="003B123F">
              <w:rPr>
                <w:rFonts w:ascii="Arial" w:hAnsi="Arial" w:cs="Arial"/>
                <w:color w:val="000000"/>
              </w:rPr>
              <w:t xml:space="preserve">.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56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2. Contener una </w:t>
            </w:r>
            <w:proofErr w:type="spellStart"/>
            <w:r w:rsidRPr="003B123F">
              <w:rPr>
                <w:rFonts w:ascii="Arial" w:hAnsi="Arial" w:cs="Arial"/>
                <w:color w:val="000000"/>
              </w:rPr>
              <w:t>Adde</w:t>
            </w:r>
            <w:r w:rsidR="0035322D">
              <w:rPr>
                <w:rFonts w:ascii="Arial" w:hAnsi="Arial" w:cs="Arial"/>
                <w:color w:val="000000"/>
              </w:rPr>
              <w:t>nda</w:t>
            </w:r>
            <w:proofErr w:type="spellEnd"/>
            <w:r w:rsidR="0035322D">
              <w:rPr>
                <w:rFonts w:ascii="Arial" w:hAnsi="Arial" w:cs="Arial"/>
                <w:color w:val="000000"/>
              </w:rPr>
              <w:t xml:space="preserve"> reconocida por </w:t>
            </w:r>
            <w:r w:rsidR="0035322D" w:rsidRPr="00725AC3">
              <w:rPr>
                <w:rFonts w:ascii="Arial" w:hAnsi="Arial" w:cs="Arial"/>
              </w:rPr>
              <w:t>Asofarma de</w:t>
            </w:r>
            <w:r w:rsidR="0035322D">
              <w:rPr>
                <w:rFonts w:ascii="Arial" w:hAnsi="Arial" w:cs="Arial"/>
              </w:rPr>
              <w:t xml:space="preserve"> </w:t>
            </w:r>
            <w:r w:rsidR="0033645D" w:rsidRPr="00725AC3">
              <w:rPr>
                <w:rFonts w:ascii="Arial" w:hAnsi="Arial" w:cs="Arial"/>
              </w:rPr>
              <w:t>México</w:t>
            </w:r>
            <w:r w:rsidRPr="003B123F">
              <w:rPr>
                <w:rFonts w:ascii="Arial" w:hAnsi="Arial" w:cs="Arial"/>
                <w:color w:val="000000"/>
              </w:rPr>
              <w:t xml:space="preserve">.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3. Entregar en tiempo y forma de acuerdo a su esquema de entrega de mercancía o servicio.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725AC3">
              <w:rPr>
                <w:rFonts w:ascii="Arial" w:hAnsi="Arial" w:cs="Arial"/>
                <w:color w:val="000000"/>
              </w:rPr>
              <w:t xml:space="preserve">Al entregar el </w:t>
            </w:r>
            <w:r w:rsidR="00A650D8">
              <w:rPr>
                <w:rFonts w:ascii="Arial" w:hAnsi="Arial" w:cs="Arial"/>
                <w:color w:val="000000"/>
              </w:rPr>
              <w:t>CFDI</w:t>
            </w:r>
            <w:r w:rsidRPr="00725AC3">
              <w:rPr>
                <w:rFonts w:ascii="Arial" w:hAnsi="Arial" w:cs="Arial"/>
                <w:color w:val="000000"/>
              </w:rPr>
              <w:t xml:space="preserve"> mediante este Web </w:t>
            </w:r>
            <w:proofErr w:type="spellStart"/>
            <w:r w:rsidRPr="00725AC3">
              <w:rPr>
                <w:rFonts w:ascii="Arial" w:hAnsi="Arial" w:cs="Arial"/>
                <w:color w:val="000000"/>
              </w:rPr>
              <w:t>Service</w:t>
            </w:r>
            <w:proofErr w:type="spellEnd"/>
            <w:r w:rsidRPr="00725AC3">
              <w:rPr>
                <w:rFonts w:ascii="Arial" w:hAnsi="Arial" w:cs="Arial"/>
                <w:color w:val="000000"/>
              </w:rPr>
              <w:t xml:space="preserve">, todas las validaciones sobre el documento se realizarán en línea y se responderá mediante un documento APERAK si el </w:t>
            </w:r>
            <w:r w:rsidR="00A650D8">
              <w:rPr>
                <w:rFonts w:ascii="Arial" w:hAnsi="Arial" w:cs="Arial"/>
                <w:color w:val="000000"/>
              </w:rPr>
              <w:t>CFDI</w:t>
            </w:r>
            <w:r w:rsidRPr="00725AC3">
              <w:rPr>
                <w:rFonts w:ascii="Arial" w:hAnsi="Arial" w:cs="Arial"/>
                <w:color w:val="000000"/>
              </w:rPr>
              <w:t xml:space="preserve"> fue aceptado o no.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 </w:t>
            </w:r>
          </w:p>
          <w:tbl>
            <w:tblPr>
              <w:tblW w:w="960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08"/>
            </w:tblGrid>
            <w:tr w:rsidR="003B123F" w:rsidRPr="00725AC3" w:rsidTr="004B0279">
              <w:trPr>
                <w:trHeight w:val="850"/>
              </w:trPr>
              <w:tc>
                <w:tcPr>
                  <w:tcW w:w="9608" w:type="dxa"/>
                </w:tcPr>
                <w:p w:rsidR="003B123F" w:rsidRPr="00725AC3" w:rsidRDefault="003B123F" w:rsidP="0035322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3B123F" w:rsidRPr="00725AC3" w:rsidRDefault="00A650D8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2. Web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Service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de Recepción </w:t>
            </w:r>
            <w:r w:rsidR="003B123F" w:rsidRPr="003B12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CFDI</w:t>
            </w:r>
            <w:r w:rsidR="003B123F" w:rsidRPr="003B123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. </w:t>
            </w: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:rsidR="003B123F" w:rsidRP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Como su nombre lo indica, el Web </w:t>
            </w:r>
            <w:proofErr w:type="spellStart"/>
            <w:r w:rsidRPr="003B123F">
              <w:rPr>
                <w:rFonts w:ascii="Arial" w:hAnsi="Arial" w:cs="Arial"/>
                <w:color w:val="000000"/>
              </w:rPr>
              <w:t>Service</w:t>
            </w:r>
            <w:proofErr w:type="spellEnd"/>
            <w:r w:rsidRPr="003B123F">
              <w:rPr>
                <w:rFonts w:ascii="Arial" w:hAnsi="Arial" w:cs="Arial"/>
                <w:color w:val="000000"/>
              </w:rPr>
              <w:t xml:space="preserve"> le permitirá a un Proveedor o Socio Comercial entregar el </w:t>
            </w:r>
            <w:r w:rsidR="00A650D8">
              <w:rPr>
                <w:rFonts w:ascii="Arial" w:hAnsi="Arial" w:cs="Arial"/>
                <w:color w:val="000000"/>
              </w:rPr>
              <w:t>CFDI</w:t>
            </w:r>
            <w:r w:rsidRPr="003B123F">
              <w:rPr>
                <w:rFonts w:ascii="Arial" w:hAnsi="Arial" w:cs="Arial"/>
                <w:color w:val="000000"/>
              </w:rPr>
              <w:t xml:space="preserve"> que corresponda a la mercan</w:t>
            </w:r>
            <w:r w:rsidR="0035322D">
              <w:rPr>
                <w:rFonts w:ascii="Arial" w:hAnsi="Arial" w:cs="Arial"/>
                <w:color w:val="000000"/>
              </w:rPr>
              <w:t xml:space="preserve">cía que está vendiendo a </w:t>
            </w:r>
            <w:r w:rsidR="0035322D" w:rsidRPr="00725AC3">
              <w:rPr>
                <w:rFonts w:ascii="Arial" w:hAnsi="Arial" w:cs="Arial"/>
              </w:rPr>
              <w:t>Asofarma de</w:t>
            </w:r>
            <w:r w:rsidR="0035322D">
              <w:rPr>
                <w:rFonts w:ascii="Arial" w:hAnsi="Arial" w:cs="Arial"/>
              </w:rPr>
              <w:t xml:space="preserve"> </w:t>
            </w:r>
            <w:r w:rsidR="004778BD" w:rsidRPr="00725AC3">
              <w:rPr>
                <w:rFonts w:ascii="Arial" w:hAnsi="Arial" w:cs="Arial"/>
              </w:rPr>
              <w:t>México</w:t>
            </w:r>
            <w:r w:rsidRPr="003B123F">
              <w:rPr>
                <w:rFonts w:ascii="Arial" w:hAnsi="Arial" w:cs="Arial"/>
                <w:color w:val="000000"/>
              </w:rPr>
              <w:t xml:space="preserve"> y que está por entregar. </w:t>
            </w:r>
          </w:p>
          <w:p w:rsidR="003B123F" w:rsidRDefault="0035322D" w:rsidP="0035322D">
            <w:pPr>
              <w:spacing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Para </w:t>
            </w:r>
            <w:r w:rsidR="004778BD">
              <w:rPr>
                <w:rFonts w:ascii="Arial" w:hAnsi="Arial" w:cs="Arial"/>
              </w:rPr>
              <w:t>Asofarma</w:t>
            </w:r>
            <w:r w:rsidR="003B123F" w:rsidRPr="00725AC3">
              <w:rPr>
                <w:rFonts w:ascii="Arial" w:hAnsi="Arial" w:cs="Arial"/>
                <w:color w:val="000000"/>
              </w:rPr>
              <w:t xml:space="preserve">, el </w:t>
            </w:r>
            <w:r w:rsidR="00A650D8">
              <w:rPr>
                <w:rFonts w:ascii="Arial" w:hAnsi="Arial" w:cs="Arial"/>
                <w:color w:val="000000"/>
              </w:rPr>
              <w:t>CFDI</w:t>
            </w:r>
            <w:r w:rsidR="003B123F" w:rsidRPr="00725AC3">
              <w:rPr>
                <w:rFonts w:ascii="Arial" w:hAnsi="Arial" w:cs="Arial"/>
                <w:color w:val="000000"/>
              </w:rPr>
              <w:t xml:space="preserve"> se integra inmediatamente a la Operación de la Empresa, no solamente en lo Administrativo o Fiscal, sino que inmediatamente se obtienen datos relevantes para el recibo de la mercancía.</w:t>
            </w:r>
          </w:p>
          <w:p w:rsidR="00C734C2" w:rsidRDefault="00C734C2" w:rsidP="0035322D">
            <w:pPr>
              <w:spacing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5322D" w:rsidRDefault="0035322D" w:rsidP="0035322D">
            <w:pPr>
              <w:spacing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35322D" w:rsidRDefault="0035322D" w:rsidP="0035322D">
            <w:pPr>
              <w:spacing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lastRenderedPageBreak/>
              <w:t xml:space="preserve">2.1 </w:t>
            </w:r>
            <w:r w:rsidRPr="00C734C2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Validaciones realiza</w:t>
            </w:r>
            <w:r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 xml:space="preserve">das a un </w:t>
            </w:r>
            <w:r w:rsidR="00A650D8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CFDI</w:t>
            </w:r>
            <w:r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 xml:space="preserve"> que recibe Asofarma.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  <w:p w:rsidR="00C734C2" w:rsidRDefault="00C734C2" w:rsidP="0035322D">
            <w:pPr>
              <w:spacing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 xml:space="preserve">Como se describió en la sección 1.5 – Visión Global, para que un </w:t>
            </w:r>
            <w:r w:rsidR="00A650D8">
              <w:rPr>
                <w:rFonts w:ascii="Calibri" w:hAnsi="Calibri" w:cs="Calibri"/>
                <w:color w:val="000000"/>
              </w:rPr>
              <w:t>CFDI</w:t>
            </w:r>
            <w:r>
              <w:rPr>
                <w:rFonts w:ascii="Calibri" w:hAnsi="Calibri" w:cs="Calibri"/>
                <w:color w:val="000000"/>
              </w:rPr>
              <w:t xml:space="preserve"> pueda ser aceptado por  Asofarma</w:t>
            </w:r>
            <w:r w:rsidRPr="00C734C2">
              <w:rPr>
                <w:rFonts w:ascii="Calibri" w:hAnsi="Calibri" w:cs="Calibri"/>
                <w:color w:val="000000"/>
              </w:rPr>
              <w:t xml:space="preserve">, se deben cumplir con varios requisitos, tanto administrativos, fiscales como operativos. En esta sección se describen las validaciones generales aplicadas a un </w:t>
            </w:r>
            <w:r w:rsidR="00A650D8">
              <w:rPr>
                <w:rFonts w:ascii="Calibri" w:hAnsi="Calibri" w:cs="Calibri"/>
                <w:color w:val="000000"/>
              </w:rPr>
              <w:t>CFDI</w:t>
            </w:r>
            <w:r w:rsidRPr="00C734C2">
              <w:rPr>
                <w:rFonts w:ascii="Calibri" w:hAnsi="Calibri" w:cs="Calibri"/>
                <w:color w:val="000000"/>
              </w:rPr>
              <w:t xml:space="preserve"> para determinar si será aceptado o rechazado.</w:t>
            </w:r>
          </w:p>
          <w:p w:rsidR="00C734C2" w:rsidRDefault="00C734C2" w:rsidP="0035322D">
            <w:pPr>
              <w:pStyle w:val="Default"/>
              <w:jc w:val="both"/>
            </w:pPr>
          </w:p>
          <w:p w:rsidR="00C734C2" w:rsidRDefault="00C734C2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El </w:t>
            </w:r>
            <w:r w:rsidR="00A650D8">
              <w:rPr>
                <w:sz w:val="22"/>
                <w:szCs w:val="22"/>
              </w:rPr>
              <w:t>CFDI</w:t>
            </w:r>
            <w:r>
              <w:rPr>
                <w:sz w:val="22"/>
                <w:szCs w:val="22"/>
              </w:rPr>
              <w:t xml:space="preserve"> debe apegarse a lo</w:t>
            </w:r>
            <w:r w:rsidR="00A650D8">
              <w:rPr>
                <w:sz w:val="22"/>
                <w:szCs w:val="22"/>
              </w:rPr>
              <w:t>s lineamientos requeridos por el</w:t>
            </w:r>
            <w:r>
              <w:rPr>
                <w:sz w:val="22"/>
                <w:szCs w:val="22"/>
              </w:rPr>
              <w:t xml:space="preserve"> SAT. Según sea la versión del </w:t>
            </w:r>
            <w:r w:rsidR="00A650D8">
              <w:rPr>
                <w:sz w:val="22"/>
                <w:szCs w:val="22"/>
              </w:rPr>
              <w:t>CFDI</w:t>
            </w:r>
            <w:r>
              <w:rPr>
                <w:sz w:val="22"/>
                <w:szCs w:val="22"/>
              </w:rPr>
              <w:t xml:space="preserve"> que se esté entregando. </w:t>
            </w:r>
          </w:p>
          <w:p w:rsidR="00C734C2" w:rsidRDefault="00C734C2" w:rsidP="0035322D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El </w:t>
            </w:r>
            <w:r w:rsidR="00A650D8">
              <w:rPr>
                <w:sz w:val="22"/>
                <w:szCs w:val="22"/>
              </w:rPr>
              <w:t>CFDI</w:t>
            </w:r>
            <w:r>
              <w:rPr>
                <w:sz w:val="22"/>
                <w:szCs w:val="22"/>
              </w:rPr>
              <w:t xml:space="preserve"> debe de contener una </w:t>
            </w:r>
            <w:proofErr w:type="spellStart"/>
            <w:r>
              <w:rPr>
                <w:sz w:val="22"/>
                <w:szCs w:val="22"/>
              </w:rPr>
              <w:t>Addenda</w:t>
            </w:r>
            <w:proofErr w:type="spellEnd"/>
            <w:r>
              <w:rPr>
                <w:sz w:val="22"/>
                <w:szCs w:val="22"/>
              </w:rPr>
              <w:t xml:space="preserve"> reconocida por ASOFARMA. </w:t>
            </w:r>
          </w:p>
          <w:p w:rsidR="00C734C2" w:rsidRDefault="00C734C2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Addenda</w:t>
            </w:r>
            <w:proofErr w:type="spellEnd"/>
            <w:r>
              <w:rPr>
                <w:sz w:val="22"/>
                <w:szCs w:val="22"/>
              </w:rPr>
              <w:t xml:space="preserve"> Remisión Electrónica </w:t>
            </w:r>
            <w:proofErr w:type="spellStart"/>
            <w:r>
              <w:rPr>
                <w:sz w:val="22"/>
                <w:szCs w:val="22"/>
              </w:rPr>
              <w:t>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Addenda</w:t>
            </w:r>
            <w:proofErr w:type="spellEnd"/>
            <w:r>
              <w:rPr>
                <w:sz w:val="22"/>
                <w:szCs w:val="22"/>
              </w:rPr>
              <w:t xml:space="preserve"> ASOFARMA. </w:t>
            </w:r>
          </w:p>
          <w:p w:rsidR="00C734C2" w:rsidRDefault="00C734C2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</w:t>
            </w:r>
            <w:proofErr w:type="spellStart"/>
            <w:r>
              <w:rPr>
                <w:sz w:val="22"/>
                <w:szCs w:val="22"/>
              </w:rPr>
              <w:t>Addenda</w:t>
            </w:r>
            <w:proofErr w:type="spellEnd"/>
            <w:r>
              <w:rPr>
                <w:sz w:val="22"/>
                <w:szCs w:val="22"/>
              </w:rPr>
              <w:t xml:space="preserve"> Homologada. </w:t>
            </w:r>
          </w:p>
          <w:p w:rsidR="00C734C2" w:rsidRDefault="00C734C2" w:rsidP="0035322D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 </w:t>
            </w:r>
            <w:proofErr w:type="spellStart"/>
            <w:r>
              <w:rPr>
                <w:sz w:val="22"/>
                <w:szCs w:val="22"/>
              </w:rPr>
              <w:t>Addenda</w:t>
            </w:r>
            <w:proofErr w:type="spellEnd"/>
            <w:r>
              <w:rPr>
                <w:sz w:val="22"/>
                <w:szCs w:val="22"/>
              </w:rPr>
              <w:t xml:space="preserve"> ASOFARMA de Servicios. </w:t>
            </w:r>
          </w:p>
          <w:p w:rsidR="00C734C2" w:rsidRDefault="00C734C2" w:rsidP="0035322D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Entregar el </w:t>
            </w:r>
            <w:r w:rsidR="00A650D8">
              <w:rPr>
                <w:sz w:val="22"/>
                <w:szCs w:val="22"/>
              </w:rPr>
              <w:t>CFDI</w:t>
            </w:r>
            <w:r>
              <w:rPr>
                <w:sz w:val="22"/>
                <w:szCs w:val="22"/>
              </w:rPr>
              <w:t xml:space="preserve"> oportunamente de acuerdo a su condición de entrega de mercancía. </w:t>
            </w:r>
          </w:p>
          <w:p w:rsidR="00C734C2" w:rsidRDefault="00C734C2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Entrega por Cedis </w:t>
            </w:r>
            <w:r w:rsidRPr="00535F58">
              <w:rPr>
                <w:sz w:val="22"/>
                <w:szCs w:val="22"/>
              </w:rPr>
              <w:t xml:space="preserve">(Secos o Perecederos). </w:t>
            </w:r>
            <w:r w:rsidRPr="00535F58">
              <w:rPr>
                <w:i/>
                <w:iCs/>
                <w:sz w:val="22"/>
                <w:szCs w:val="22"/>
              </w:rPr>
              <w:t>El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 w:rsidR="00A650D8">
              <w:rPr>
                <w:i/>
                <w:iCs/>
                <w:sz w:val="22"/>
                <w:szCs w:val="22"/>
              </w:rPr>
              <w:t>CFDI</w:t>
            </w:r>
            <w:r>
              <w:rPr>
                <w:i/>
                <w:iCs/>
                <w:sz w:val="22"/>
                <w:szCs w:val="22"/>
              </w:rPr>
              <w:t xml:space="preserve"> deberá ser entregado al menos 4 horas antes de entregar la mercancía en Cedis.  </w:t>
            </w:r>
          </w:p>
          <w:p w:rsidR="00C734C2" w:rsidRDefault="00A650D8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Que el CFDI</w:t>
            </w:r>
            <w:r w:rsidR="00C734C2">
              <w:rPr>
                <w:sz w:val="22"/>
                <w:szCs w:val="22"/>
              </w:rPr>
              <w:t xml:space="preserve"> contenga en su sección de Emisor los datos de Domicilio Fiscal y Nombre o Razón Social. </w:t>
            </w:r>
          </w:p>
          <w:p w:rsidR="00C734C2" w:rsidRDefault="00C734C2" w:rsidP="0035322D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El único medio para recibir el </w:t>
            </w:r>
            <w:r w:rsidR="00A650D8">
              <w:rPr>
                <w:sz w:val="22"/>
                <w:szCs w:val="22"/>
              </w:rPr>
              <w:t>CFDI</w:t>
            </w:r>
            <w:r>
              <w:rPr>
                <w:sz w:val="22"/>
                <w:szCs w:val="22"/>
              </w:rPr>
              <w:t xml:space="preserve"> es mediante el Web </w:t>
            </w:r>
            <w:proofErr w:type="spellStart"/>
            <w:r>
              <w:rPr>
                <w:sz w:val="22"/>
                <w:szCs w:val="22"/>
              </w:rPr>
              <w:t>Service</w:t>
            </w:r>
            <w:proofErr w:type="spellEnd"/>
            <w:r>
              <w:rPr>
                <w:sz w:val="22"/>
                <w:szCs w:val="22"/>
              </w:rPr>
              <w:t xml:space="preserve"> de Recepción de </w:t>
            </w:r>
            <w:r w:rsidR="00A650D8">
              <w:rPr>
                <w:sz w:val="22"/>
                <w:szCs w:val="22"/>
              </w:rPr>
              <w:t>CFDI</w:t>
            </w:r>
            <w:r>
              <w:rPr>
                <w:sz w:val="22"/>
                <w:szCs w:val="22"/>
              </w:rPr>
              <w:t xml:space="preserve">. </w:t>
            </w:r>
          </w:p>
          <w:p w:rsidR="00C734C2" w:rsidRDefault="00C734C2" w:rsidP="0035322D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Las validaciones generales aplicadas al </w:t>
            </w:r>
            <w:r w:rsidR="00A650D8">
              <w:rPr>
                <w:sz w:val="22"/>
                <w:szCs w:val="22"/>
              </w:rPr>
              <w:t>CFDI</w:t>
            </w:r>
            <w:r>
              <w:rPr>
                <w:sz w:val="22"/>
                <w:szCs w:val="22"/>
              </w:rPr>
              <w:t xml:space="preserve"> y su </w:t>
            </w:r>
            <w:proofErr w:type="spellStart"/>
            <w:r>
              <w:rPr>
                <w:sz w:val="22"/>
                <w:szCs w:val="22"/>
              </w:rPr>
              <w:t>Addenda</w:t>
            </w:r>
            <w:proofErr w:type="spellEnd"/>
            <w:r>
              <w:rPr>
                <w:sz w:val="22"/>
                <w:szCs w:val="22"/>
              </w:rPr>
              <w:t xml:space="preserve"> son: </w:t>
            </w:r>
          </w:p>
          <w:p w:rsidR="00C734C2" w:rsidRDefault="00C734C2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Que el </w:t>
            </w:r>
            <w:r w:rsidR="00A650D8">
              <w:rPr>
                <w:sz w:val="22"/>
                <w:szCs w:val="22"/>
              </w:rPr>
              <w:t>CFDI</w:t>
            </w:r>
            <w:r>
              <w:rPr>
                <w:sz w:val="22"/>
                <w:szCs w:val="22"/>
              </w:rPr>
              <w:t xml:space="preserve"> sea entregado a tiempo. </w:t>
            </w:r>
          </w:p>
          <w:p w:rsidR="00C734C2" w:rsidRDefault="00C734C2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 Folio de Pedido corresponda al Emisor del </w:t>
            </w:r>
            <w:r w:rsidR="00A650D8">
              <w:rPr>
                <w:sz w:val="22"/>
                <w:szCs w:val="22"/>
              </w:rPr>
              <w:t>CFDI</w:t>
            </w:r>
            <w:r>
              <w:rPr>
                <w:sz w:val="22"/>
                <w:szCs w:val="22"/>
              </w:rPr>
              <w:t xml:space="preserve">. </w:t>
            </w:r>
          </w:p>
          <w:p w:rsidR="00C734C2" w:rsidRDefault="00C734C2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 Que el Pedido no esté vencido. </w:t>
            </w:r>
          </w:p>
          <w:p w:rsidR="00C734C2" w:rsidRDefault="00C734C2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d. Que la fecha de entrega mercancía esté dentro del rango de embarque del pedido (fecha inicial y final de entrega de mercancía). </w:t>
            </w:r>
          </w:p>
          <w:p w:rsidR="00C734C2" w:rsidRDefault="00C734C2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e. Que el importe del </w:t>
            </w:r>
            <w:r w:rsidR="00A650D8">
              <w:rPr>
                <w:sz w:val="22"/>
                <w:szCs w:val="22"/>
              </w:rPr>
              <w:t>CFDI</w:t>
            </w:r>
            <w:r>
              <w:rPr>
                <w:sz w:val="22"/>
                <w:szCs w:val="22"/>
              </w:rPr>
              <w:t xml:space="preserve"> corresponda al importe de la Remisión Electrónica. </w:t>
            </w:r>
          </w:p>
          <w:p w:rsidR="00C734C2" w:rsidRDefault="00C734C2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f. Los artículos incluidos en la Remisión Electrónica pertenezcan al Pedido que se indica en el documento. </w:t>
            </w:r>
          </w:p>
          <w:p w:rsidR="00C734C2" w:rsidRDefault="00C734C2" w:rsidP="0035322D">
            <w:pPr>
              <w:pStyle w:val="Default"/>
              <w:spacing w:after="58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g. Que no se haya agotado el Pedido, es decir, la cantidad facturada sea menor o igual a la cantidad disponible a facturar del pedido. </w:t>
            </w:r>
          </w:p>
          <w:p w:rsidR="00C734C2" w:rsidRDefault="00C734C2" w:rsidP="0035322D">
            <w:pPr>
              <w:pStyle w:val="Default"/>
              <w:spacing w:after="58"/>
              <w:rPr>
                <w:sz w:val="22"/>
                <w:szCs w:val="22"/>
              </w:rPr>
            </w:pPr>
          </w:p>
          <w:p w:rsidR="00C734C2" w:rsidRDefault="00764B5F" w:rsidP="00353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2.2</w:t>
            </w:r>
            <w:r w:rsidR="00C734C2" w:rsidRPr="00C734C2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 xml:space="preserve"> URL del Web </w:t>
            </w:r>
            <w:proofErr w:type="spellStart"/>
            <w:r w:rsidR="00C734C2" w:rsidRPr="00C734C2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Service</w:t>
            </w:r>
            <w:proofErr w:type="spellEnd"/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6"/>
                <w:szCs w:val="26"/>
              </w:rPr>
            </w:pPr>
            <w:r w:rsidRPr="00C734C2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 xml:space="preserve">El Web </w:t>
            </w:r>
            <w:proofErr w:type="spellStart"/>
            <w:r w:rsidRPr="00C734C2">
              <w:rPr>
                <w:rFonts w:ascii="Calibri" w:hAnsi="Calibri" w:cs="Calibri"/>
                <w:color w:val="000000"/>
              </w:rPr>
              <w:t>Service</w:t>
            </w:r>
            <w:proofErr w:type="spellEnd"/>
            <w:r w:rsidRPr="00C734C2">
              <w:rPr>
                <w:rFonts w:ascii="Calibri" w:hAnsi="Calibri" w:cs="Calibri"/>
                <w:color w:val="000000"/>
              </w:rPr>
              <w:t xml:space="preserve"> de Recepción de </w:t>
            </w:r>
            <w:r w:rsidR="00A650D8">
              <w:rPr>
                <w:rFonts w:ascii="Calibri" w:hAnsi="Calibri" w:cs="Calibri"/>
                <w:color w:val="000000"/>
              </w:rPr>
              <w:t>CFDI</w:t>
            </w:r>
            <w:r w:rsidRPr="00C734C2">
              <w:rPr>
                <w:rFonts w:ascii="Calibri" w:hAnsi="Calibri" w:cs="Calibri"/>
                <w:color w:val="000000"/>
              </w:rPr>
              <w:t xml:space="preserve"> se en</w:t>
            </w:r>
            <w:r>
              <w:rPr>
                <w:rFonts w:ascii="Calibri" w:hAnsi="Calibri" w:cs="Calibri"/>
                <w:color w:val="000000"/>
              </w:rPr>
              <w:t>cuentra publicado en la URL</w:t>
            </w:r>
            <w:r w:rsidRPr="00C734C2">
              <w:rPr>
                <w:rFonts w:ascii="Calibri" w:hAnsi="Calibri" w:cs="Calibri"/>
                <w:color w:val="000000"/>
              </w:rPr>
              <w:t xml:space="preserve">, está trabajando en un ambiente productivo. </w:t>
            </w:r>
          </w:p>
          <w:p w:rsid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 xml:space="preserve">1. URL del ambiente de integración: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  <w:p w:rsidR="004778BD" w:rsidRDefault="004778BD" w:rsidP="0035322D">
            <w:pPr>
              <w:pStyle w:val="Default"/>
              <w:spacing w:after="58"/>
            </w:pPr>
          </w:p>
          <w:p w:rsidR="0035322D" w:rsidRDefault="004778BD" w:rsidP="0035322D">
            <w:pPr>
              <w:pStyle w:val="Default"/>
              <w:spacing w:after="58"/>
              <w:rPr>
                <w:sz w:val="22"/>
                <w:szCs w:val="22"/>
              </w:rPr>
            </w:pPr>
            <w:r w:rsidRPr="004778BD">
              <w:t>https://proveedores.asofarma.com.mx/</w:t>
            </w:r>
          </w:p>
          <w:p w:rsidR="0035322D" w:rsidRDefault="0035322D" w:rsidP="0035322D">
            <w:pPr>
              <w:pStyle w:val="Default"/>
              <w:spacing w:after="58"/>
              <w:rPr>
                <w:sz w:val="22"/>
                <w:szCs w:val="22"/>
              </w:rPr>
            </w:pPr>
          </w:p>
          <w:p w:rsidR="004778BD" w:rsidRDefault="004778BD" w:rsidP="0035322D">
            <w:pPr>
              <w:pStyle w:val="Default"/>
              <w:spacing w:after="58"/>
              <w:rPr>
                <w:sz w:val="22"/>
                <w:szCs w:val="22"/>
              </w:rPr>
            </w:pPr>
          </w:p>
          <w:p w:rsidR="00A417F8" w:rsidRDefault="00A417F8" w:rsidP="0035322D">
            <w:pPr>
              <w:pStyle w:val="Default"/>
              <w:spacing w:after="58"/>
              <w:rPr>
                <w:sz w:val="22"/>
                <w:szCs w:val="22"/>
              </w:rPr>
            </w:pPr>
          </w:p>
          <w:p w:rsidR="00C734C2" w:rsidRDefault="00C734C2" w:rsidP="0035322D">
            <w:pPr>
              <w:pStyle w:val="Default"/>
              <w:spacing w:after="58"/>
              <w:rPr>
                <w:sz w:val="22"/>
                <w:szCs w:val="22"/>
              </w:rPr>
            </w:pPr>
          </w:p>
          <w:p w:rsidR="00C734C2" w:rsidRDefault="00764B5F" w:rsidP="00353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lastRenderedPageBreak/>
              <w:t>2.3</w:t>
            </w:r>
            <w:r w:rsidR="00C734C2" w:rsidRPr="00C734C2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 xml:space="preserve"> Seguridad del Web </w:t>
            </w:r>
            <w:proofErr w:type="spellStart"/>
            <w:r w:rsidR="00C734C2" w:rsidRPr="00C734C2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Service</w:t>
            </w:r>
            <w:proofErr w:type="spellEnd"/>
            <w:r w:rsidR="00C734C2" w:rsidRPr="00C734C2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  <w:p w:rsidR="00C734C2" w:rsidRDefault="00C734C2" w:rsidP="0035322D">
            <w:pPr>
              <w:pStyle w:val="Default"/>
              <w:spacing w:after="58"/>
              <w:rPr>
                <w:sz w:val="22"/>
                <w:szCs w:val="22"/>
              </w:rPr>
            </w:pPr>
            <w:r w:rsidRPr="00C734C2">
              <w:rPr>
                <w:sz w:val="22"/>
                <w:szCs w:val="22"/>
              </w:rPr>
              <w:t xml:space="preserve">Debido a que se </w:t>
            </w:r>
            <w:r w:rsidR="00A650D8">
              <w:rPr>
                <w:sz w:val="22"/>
                <w:szCs w:val="22"/>
              </w:rPr>
              <w:t xml:space="preserve">utilizan los lineamientos del </w:t>
            </w:r>
            <w:r w:rsidRPr="00C734C2">
              <w:rPr>
                <w:sz w:val="22"/>
                <w:szCs w:val="22"/>
              </w:rPr>
              <w:t xml:space="preserve">SAT para reconocer que un </w:t>
            </w:r>
            <w:r w:rsidR="00A650D8">
              <w:rPr>
                <w:sz w:val="22"/>
                <w:szCs w:val="22"/>
              </w:rPr>
              <w:t>CFDI</w:t>
            </w:r>
            <w:r w:rsidRPr="00C734C2">
              <w:rPr>
                <w:sz w:val="22"/>
                <w:szCs w:val="22"/>
              </w:rPr>
              <w:t xml:space="preserve"> ha sido emitido por el RFC emisor, no se restringe el envío a un certificado adicional de la aplicación.</w:t>
            </w:r>
          </w:p>
          <w:p w:rsidR="00C734C2" w:rsidRDefault="00C734C2" w:rsidP="0035322D">
            <w:pPr>
              <w:pStyle w:val="Default"/>
              <w:rPr>
                <w:sz w:val="22"/>
                <w:szCs w:val="22"/>
              </w:rPr>
            </w:pPr>
          </w:p>
          <w:p w:rsidR="00C734C2" w:rsidRDefault="00764B5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</w:rPr>
              <w:t>2.3</w:t>
            </w:r>
            <w:r w:rsidR="00C734C2" w:rsidRPr="00C734C2">
              <w:rPr>
                <w:rFonts w:ascii="Cambria" w:hAnsi="Cambria" w:cs="Cambria"/>
                <w:b/>
                <w:bCs/>
                <w:color w:val="000000"/>
              </w:rPr>
              <w:t xml:space="preserve">.1 Validación del Emisor del documento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color w:val="000000"/>
              </w:rPr>
            </w:pP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>Diariam</w:t>
            </w:r>
            <w:r w:rsidR="00A650D8">
              <w:rPr>
                <w:rFonts w:ascii="Calibri" w:hAnsi="Calibri" w:cs="Calibri"/>
                <w:color w:val="000000"/>
              </w:rPr>
              <w:t xml:space="preserve">ente se están descargando del </w:t>
            </w:r>
            <w:r w:rsidRPr="00C734C2">
              <w:rPr>
                <w:rFonts w:ascii="Calibri" w:hAnsi="Calibri" w:cs="Calibri"/>
                <w:color w:val="000000"/>
              </w:rPr>
              <w:t xml:space="preserve">SAT los archivos que contienen: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58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 xml:space="preserve">1. Número de Certificado de Sello Digital por Emisor.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 xml:space="preserve">2. Rangos de Folio y Serie por Emisor.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>Estos datos, adem</w:t>
            </w:r>
            <w:r w:rsidR="00A650D8">
              <w:rPr>
                <w:rFonts w:ascii="Calibri" w:hAnsi="Calibri" w:cs="Calibri"/>
                <w:color w:val="000000"/>
              </w:rPr>
              <w:t>ás del algoritmo indicado por el</w:t>
            </w:r>
            <w:r w:rsidRPr="00C734C2">
              <w:rPr>
                <w:rFonts w:ascii="Calibri" w:hAnsi="Calibri" w:cs="Calibri"/>
                <w:color w:val="000000"/>
              </w:rPr>
              <w:t xml:space="preserve"> SAT, se valida por cada </w:t>
            </w:r>
            <w:r w:rsidR="00A650D8">
              <w:rPr>
                <w:rFonts w:ascii="Calibri" w:hAnsi="Calibri" w:cs="Calibri"/>
                <w:color w:val="000000"/>
              </w:rPr>
              <w:t>CFDI</w:t>
            </w:r>
            <w:r w:rsidRPr="00C734C2">
              <w:rPr>
                <w:rFonts w:ascii="Calibri" w:hAnsi="Calibri" w:cs="Calibri"/>
                <w:color w:val="000000"/>
              </w:rPr>
              <w:t xml:space="preserve"> que se recibe el Sello Digital incluido en el mismo, de esta forma el Servicio Web se asegura que el </w:t>
            </w:r>
            <w:r w:rsidR="00A650D8">
              <w:rPr>
                <w:rFonts w:ascii="Calibri" w:hAnsi="Calibri" w:cs="Calibri"/>
                <w:color w:val="000000"/>
              </w:rPr>
              <w:t>CFDI</w:t>
            </w:r>
            <w:r w:rsidRPr="00C734C2">
              <w:rPr>
                <w:rFonts w:ascii="Calibri" w:hAnsi="Calibri" w:cs="Calibri"/>
                <w:color w:val="000000"/>
              </w:rPr>
              <w:t xml:space="preserve"> ha sido emitido por el RFC y que dicho documento no ha sido alterado.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>De igual forma, se mantiene actualizado el li</w:t>
            </w:r>
            <w:r w:rsidR="00A650D8">
              <w:rPr>
                <w:rFonts w:ascii="Calibri" w:hAnsi="Calibri" w:cs="Calibri"/>
                <w:color w:val="000000"/>
              </w:rPr>
              <w:t xml:space="preserve">stado de </w:t>
            </w:r>
            <w:proofErr w:type="spellStart"/>
            <w:r w:rsidR="00A650D8">
              <w:rPr>
                <w:rFonts w:ascii="Calibri" w:hAnsi="Calibri" w:cs="Calibri"/>
                <w:color w:val="000000"/>
              </w:rPr>
              <w:t>PACs</w:t>
            </w:r>
            <w:proofErr w:type="spellEnd"/>
            <w:r w:rsidR="00A650D8">
              <w:rPr>
                <w:rFonts w:ascii="Calibri" w:hAnsi="Calibri" w:cs="Calibri"/>
                <w:color w:val="000000"/>
              </w:rPr>
              <w:t xml:space="preserve"> reconocidos por el</w:t>
            </w:r>
            <w:r w:rsidRPr="00C734C2">
              <w:rPr>
                <w:rFonts w:ascii="Calibri" w:hAnsi="Calibri" w:cs="Calibri"/>
                <w:color w:val="000000"/>
              </w:rPr>
              <w:t xml:space="preserve"> SAT para validar el Timbrado de un </w:t>
            </w:r>
            <w:r w:rsidR="00A650D8">
              <w:rPr>
                <w:rFonts w:ascii="Calibri" w:hAnsi="Calibri" w:cs="Calibri"/>
                <w:color w:val="000000"/>
              </w:rPr>
              <w:t>CFDI</w:t>
            </w:r>
            <w:r w:rsidRPr="00C734C2">
              <w:rPr>
                <w:rFonts w:ascii="Calibri" w:hAnsi="Calibri" w:cs="Calibri"/>
                <w:color w:val="000000"/>
              </w:rPr>
              <w:t xml:space="preserve"> cuando aplique. </w:t>
            </w:r>
          </w:p>
          <w:p w:rsidR="00C734C2" w:rsidRDefault="00C734C2" w:rsidP="0035322D">
            <w:pPr>
              <w:pStyle w:val="Default"/>
              <w:jc w:val="both"/>
              <w:rPr>
                <w:sz w:val="22"/>
                <w:szCs w:val="22"/>
              </w:rPr>
            </w:pPr>
            <w:r w:rsidRPr="00C734C2">
              <w:rPr>
                <w:sz w:val="22"/>
                <w:szCs w:val="22"/>
              </w:rPr>
              <w:t>En caso d</w:t>
            </w:r>
            <w:r w:rsidR="00A650D8">
              <w:rPr>
                <w:sz w:val="22"/>
                <w:szCs w:val="22"/>
              </w:rPr>
              <w:t>e presentar diferencias, el CFDI</w:t>
            </w:r>
            <w:r w:rsidRPr="00C734C2">
              <w:rPr>
                <w:sz w:val="22"/>
                <w:szCs w:val="22"/>
              </w:rPr>
              <w:t xml:space="preserve"> es rechazado y se indica su motivo en la respuesta.</w:t>
            </w:r>
          </w:p>
          <w:p w:rsidR="00C734C2" w:rsidRDefault="00C734C2" w:rsidP="0035322D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</w:pPr>
            <w:r w:rsidRPr="00C734C2"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 xml:space="preserve">2.4 Argumentos y resultados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color w:val="000000"/>
                <w:sz w:val="26"/>
                <w:szCs w:val="26"/>
              </w:rPr>
            </w:pPr>
          </w:p>
          <w:p w:rsidR="00C734C2" w:rsidRDefault="00C734C2" w:rsidP="0035322D">
            <w:pPr>
              <w:pStyle w:val="Default"/>
              <w:jc w:val="both"/>
              <w:rPr>
                <w:sz w:val="22"/>
                <w:szCs w:val="22"/>
              </w:rPr>
            </w:pPr>
            <w:r w:rsidRPr="00C734C2">
              <w:rPr>
                <w:sz w:val="22"/>
                <w:szCs w:val="22"/>
              </w:rPr>
              <w:t xml:space="preserve">El Web </w:t>
            </w:r>
            <w:proofErr w:type="spellStart"/>
            <w:r w:rsidRPr="00C734C2">
              <w:rPr>
                <w:sz w:val="22"/>
                <w:szCs w:val="22"/>
              </w:rPr>
              <w:t>Service</w:t>
            </w:r>
            <w:proofErr w:type="spellEnd"/>
            <w:r w:rsidRPr="00C734C2">
              <w:rPr>
                <w:sz w:val="22"/>
                <w:szCs w:val="22"/>
              </w:rPr>
              <w:t xml:space="preserve"> de Recepción de </w:t>
            </w:r>
            <w:r w:rsidR="00A650D8">
              <w:rPr>
                <w:sz w:val="22"/>
                <w:szCs w:val="22"/>
              </w:rPr>
              <w:t>CFDI</w:t>
            </w:r>
            <w:r w:rsidRPr="00C734C2">
              <w:rPr>
                <w:sz w:val="22"/>
                <w:szCs w:val="22"/>
              </w:rPr>
              <w:t xml:space="preserve"> recibe como único argumento un </w:t>
            </w:r>
            <w:r w:rsidR="00A650D8">
              <w:rPr>
                <w:sz w:val="22"/>
                <w:szCs w:val="22"/>
              </w:rPr>
              <w:t>CFDI</w:t>
            </w:r>
            <w:r w:rsidRPr="00C734C2">
              <w:rPr>
                <w:sz w:val="22"/>
                <w:szCs w:val="22"/>
              </w:rPr>
              <w:t xml:space="preserve"> que cumpla con todos los requisitos expuestos en la sección 2.1 de este mismo documento.</w:t>
            </w:r>
          </w:p>
          <w:p w:rsidR="00C734C2" w:rsidRDefault="00C734C2" w:rsidP="0035322D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b/>
                <w:bCs/>
                <w:color w:val="000000"/>
              </w:rPr>
            </w:pPr>
            <w:r w:rsidRPr="00C734C2">
              <w:rPr>
                <w:rFonts w:ascii="Cambria" w:hAnsi="Cambria" w:cs="Cambria"/>
                <w:b/>
                <w:bCs/>
                <w:color w:val="000000"/>
              </w:rPr>
              <w:t xml:space="preserve">2.4.1 Resultados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Cambria"/>
                <w:color w:val="000000"/>
              </w:rPr>
            </w:pP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 xml:space="preserve">El Web </w:t>
            </w:r>
            <w:proofErr w:type="spellStart"/>
            <w:r w:rsidRPr="00C734C2">
              <w:rPr>
                <w:rFonts w:ascii="Calibri" w:hAnsi="Calibri" w:cs="Calibri"/>
                <w:color w:val="000000"/>
              </w:rPr>
              <w:t>Service</w:t>
            </w:r>
            <w:proofErr w:type="spellEnd"/>
            <w:r w:rsidRPr="00C734C2">
              <w:rPr>
                <w:rFonts w:ascii="Calibri" w:hAnsi="Calibri" w:cs="Calibri"/>
                <w:color w:val="000000"/>
              </w:rPr>
              <w:t xml:space="preserve"> de Recepción de </w:t>
            </w:r>
            <w:r w:rsidR="00A650D8">
              <w:rPr>
                <w:rFonts w:ascii="Calibri" w:hAnsi="Calibri" w:cs="Calibri"/>
                <w:color w:val="000000"/>
              </w:rPr>
              <w:t>CFDI</w:t>
            </w:r>
            <w:r w:rsidRPr="00C734C2">
              <w:rPr>
                <w:rFonts w:ascii="Calibri" w:hAnsi="Calibri" w:cs="Calibri"/>
                <w:color w:val="000000"/>
              </w:rPr>
              <w:t xml:space="preserve"> siempre contestará con un APERAK, según el esquema definido por GS1 / México.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 xml:space="preserve">Actualmente, el Web </w:t>
            </w:r>
            <w:proofErr w:type="spellStart"/>
            <w:r w:rsidRPr="00C734C2">
              <w:rPr>
                <w:rFonts w:ascii="Calibri" w:hAnsi="Calibri" w:cs="Calibri"/>
                <w:color w:val="000000"/>
              </w:rPr>
              <w:t>Service</w:t>
            </w:r>
            <w:proofErr w:type="spellEnd"/>
            <w:r w:rsidRPr="00C734C2">
              <w:rPr>
                <w:rFonts w:ascii="Calibri" w:hAnsi="Calibri" w:cs="Calibri"/>
                <w:color w:val="000000"/>
              </w:rPr>
              <w:t xml:space="preserve"> de Recepción de </w:t>
            </w:r>
            <w:r w:rsidR="00A650D8">
              <w:rPr>
                <w:rFonts w:ascii="Calibri" w:hAnsi="Calibri" w:cs="Calibri"/>
                <w:color w:val="000000"/>
              </w:rPr>
              <w:t>CFDI</w:t>
            </w:r>
            <w:r w:rsidRPr="00C734C2">
              <w:rPr>
                <w:rFonts w:ascii="Calibri" w:hAnsi="Calibri" w:cs="Calibri"/>
                <w:color w:val="000000"/>
              </w:rPr>
              <w:t xml:space="preserve"> es capaz de emitir dos diferentes versiones del APERAK (varían únicamente en las etiquetas utilizadas pero ambas ‘versiones’ se apegan al esquema definido por GS1 / México).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>El APERAK expresará en su segmento raíz (</w:t>
            </w:r>
            <w:proofErr w:type="spellStart"/>
            <w:r w:rsidRPr="00C734C2">
              <w:rPr>
                <w:rFonts w:ascii="Calibri" w:hAnsi="Calibri" w:cs="Calibri"/>
                <w:color w:val="000000"/>
              </w:rPr>
              <w:t>AckErrorApplication</w:t>
            </w:r>
            <w:proofErr w:type="spellEnd"/>
            <w:r w:rsidRPr="00C734C2">
              <w:rPr>
                <w:rFonts w:ascii="Calibri" w:hAnsi="Calibri" w:cs="Calibri"/>
                <w:color w:val="000000"/>
              </w:rPr>
              <w:t>) en su atributo ‘</w:t>
            </w:r>
            <w:proofErr w:type="spellStart"/>
            <w:r w:rsidRPr="00C734C2">
              <w:rPr>
                <w:rFonts w:ascii="Calibri" w:hAnsi="Calibri" w:cs="Calibri"/>
                <w:color w:val="000000"/>
              </w:rPr>
              <w:t>documentStatus</w:t>
            </w:r>
            <w:proofErr w:type="spellEnd"/>
            <w:r w:rsidRPr="00C734C2">
              <w:rPr>
                <w:rFonts w:ascii="Calibri" w:hAnsi="Calibri" w:cs="Calibri"/>
                <w:color w:val="000000"/>
              </w:rPr>
              <w:t xml:space="preserve">’ si el </w:t>
            </w:r>
            <w:r w:rsidR="00A650D8">
              <w:rPr>
                <w:rFonts w:ascii="Calibri" w:hAnsi="Calibri" w:cs="Calibri"/>
                <w:color w:val="000000"/>
              </w:rPr>
              <w:t>CFDI</w:t>
            </w:r>
            <w:r w:rsidRPr="00C734C2">
              <w:rPr>
                <w:rFonts w:ascii="Calibri" w:hAnsi="Calibri" w:cs="Calibri"/>
                <w:color w:val="000000"/>
              </w:rPr>
              <w:t xml:space="preserve"> fue aceptado o rechazado (ACCEPTED, REJECTED respectivamente). </w:t>
            </w:r>
          </w:p>
          <w:p w:rsidR="00C734C2" w:rsidRPr="00C734C2" w:rsidRDefault="00C734C2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 w:rsidRPr="00C734C2">
              <w:rPr>
                <w:rFonts w:ascii="Calibri" w:hAnsi="Calibri" w:cs="Calibri"/>
                <w:color w:val="000000"/>
              </w:rPr>
              <w:t xml:space="preserve">En el Diagrama 2 se podrá apreciar el esquema (XSD) completo para un APERAK. </w:t>
            </w:r>
          </w:p>
          <w:p w:rsidR="00C734C2" w:rsidRDefault="00C734C2" w:rsidP="0035322D">
            <w:pPr>
              <w:pStyle w:val="Default"/>
              <w:jc w:val="both"/>
              <w:rPr>
                <w:sz w:val="22"/>
                <w:szCs w:val="22"/>
              </w:rPr>
            </w:pPr>
            <w:r w:rsidRPr="00C734C2">
              <w:rPr>
                <w:sz w:val="22"/>
                <w:szCs w:val="22"/>
              </w:rPr>
              <w:t>Del esquema completo, únicamente se utilizan los siguientes segmentos:</w:t>
            </w:r>
          </w:p>
          <w:p w:rsidR="00C734C2" w:rsidRPr="00725AC3" w:rsidRDefault="00C734C2" w:rsidP="0035322D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  <w:p w:rsidR="003B123F" w:rsidRDefault="003B123F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3B123F">
              <w:rPr>
                <w:rFonts w:ascii="Arial" w:hAnsi="Arial" w:cs="Arial"/>
                <w:color w:val="000000"/>
              </w:rPr>
              <w:t xml:space="preserve"> </w:t>
            </w:r>
          </w:p>
          <w:p w:rsidR="00C9275D" w:rsidRPr="003B123F" w:rsidRDefault="00C9275D" w:rsidP="003532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</w:p>
          <w:p w:rsidR="00C9275D" w:rsidRDefault="00C9275D" w:rsidP="0035322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9275D" w:rsidRDefault="00C9275D" w:rsidP="0035322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9275D" w:rsidRDefault="00C9275D" w:rsidP="0035322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9275D" w:rsidRDefault="00C9275D" w:rsidP="0035322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9275D" w:rsidRDefault="00C9275D" w:rsidP="0035322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9275D" w:rsidRDefault="00C9275D" w:rsidP="0035322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9275D" w:rsidRDefault="00C9275D" w:rsidP="0035322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9275D" w:rsidRDefault="00C9275D" w:rsidP="0035322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9275D" w:rsidRDefault="00C9275D" w:rsidP="0035322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9275D" w:rsidRDefault="00C9275D" w:rsidP="0035322D">
            <w:pPr>
              <w:pStyle w:val="Default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9275D" w:rsidRDefault="00A417F8" w:rsidP="0035322D">
            <w:pPr>
              <w:pStyle w:val="Default"/>
              <w:jc w:val="both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2.4.2 Estructura y esquema.</w:t>
            </w:r>
          </w:p>
          <w:p w:rsidR="00764B5F" w:rsidRPr="00725AC3" w:rsidRDefault="00C9275D" w:rsidP="00C9275D">
            <w:pPr>
              <w:pStyle w:val="Default"/>
              <w:jc w:val="both"/>
              <w:rPr>
                <w:rFonts w:ascii="Arial" w:hAnsi="Arial" w:cs="Arial"/>
                <w:b/>
                <w:bCs/>
                <w:noProof/>
                <w:sz w:val="22"/>
                <w:szCs w:val="22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5D2F5C7" wp14:editId="0D4DF3B1">
                  <wp:extent cx="5657850" cy="730567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116" t="13974" r="42074" b="6774"/>
                          <a:stretch/>
                        </pic:blipFill>
                        <pic:spPr bwMode="auto">
                          <a:xfrm>
                            <a:off x="0" y="0"/>
                            <a:ext cx="5676376" cy="7329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CDA" w:rsidRDefault="00505CDA" w:rsidP="0035322D">
      <w:pPr>
        <w:spacing w:line="240" w:lineRule="auto"/>
        <w:jc w:val="both"/>
        <w:rPr>
          <w:rFonts w:ascii="Arial" w:hAnsi="Arial" w:cs="Arial"/>
        </w:rPr>
      </w:pPr>
    </w:p>
    <w:p w:rsidR="00764B5F" w:rsidRDefault="00764B5F" w:rsidP="0035322D">
      <w:pPr>
        <w:spacing w:line="240" w:lineRule="auto"/>
        <w:jc w:val="both"/>
        <w:rPr>
          <w:rFonts w:ascii="Arial" w:hAnsi="Arial" w:cs="Arial"/>
        </w:rPr>
      </w:pPr>
    </w:p>
    <w:p w:rsidR="00764B5F" w:rsidRDefault="00764B5F" w:rsidP="0035322D">
      <w:pPr>
        <w:spacing w:line="240" w:lineRule="auto"/>
        <w:jc w:val="both"/>
        <w:rPr>
          <w:rFonts w:ascii="Arial" w:hAnsi="Arial" w:cs="Arial"/>
        </w:rPr>
      </w:pPr>
    </w:p>
    <w:tbl>
      <w:tblPr>
        <w:tblW w:w="9296" w:type="dxa"/>
        <w:tblInd w:w="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4"/>
        <w:gridCol w:w="960"/>
        <w:gridCol w:w="1607"/>
        <w:gridCol w:w="1165"/>
        <w:gridCol w:w="1014"/>
        <w:gridCol w:w="16"/>
      </w:tblGrid>
      <w:tr w:rsidR="00542BA5" w:rsidTr="001A29DC">
        <w:trPr>
          <w:trHeight w:val="391"/>
        </w:trPr>
        <w:tc>
          <w:tcPr>
            <w:tcW w:w="92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542BA5" w:rsidRDefault="00542BA5" w:rsidP="001A29DC">
            <w:pPr>
              <w:jc w:val="center"/>
              <w:rPr>
                <w:color w:val="000000"/>
                <w:sz w:val="32"/>
                <w:szCs w:val="32"/>
                <w:lang w:eastAsia="es-MX"/>
              </w:rPr>
            </w:pPr>
            <w:r>
              <w:rPr>
                <w:color w:val="000000"/>
                <w:sz w:val="32"/>
                <w:szCs w:val="32"/>
                <w:lang w:eastAsia="es-MX"/>
              </w:rPr>
              <w:lastRenderedPageBreak/>
              <w:t xml:space="preserve">Tipo de Datos </w:t>
            </w:r>
            <w:proofErr w:type="spellStart"/>
            <w:r>
              <w:rPr>
                <w:color w:val="000000"/>
                <w:sz w:val="32"/>
                <w:szCs w:val="32"/>
                <w:lang w:eastAsia="es-MX"/>
              </w:rPr>
              <w:t>Addenda</w:t>
            </w:r>
            <w:proofErr w:type="spellEnd"/>
            <w:r>
              <w:rPr>
                <w:color w:val="000000"/>
                <w:sz w:val="32"/>
                <w:szCs w:val="32"/>
                <w:lang w:eastAsia="es-MX"/>
              </w:rPr>
              <w:t xml:space="preserve"> </w:t>
            </w:r>
            <w:r>
              <w:rPr>
                <w:rFonts w:ascii="Arial" w:hAnsi="Arial" w:cs="Arial"/>
              </w:rPr>
              <w:t>ASONIOSCOC</w:t>
            </w:r>
            <w:r>
              <w:rPr>
                <w:color w:val="000000"/>
                <w:sz w:val="32"/>
                <w:szCs w:val="32"/>
                <w:lang w:eastAsia="es-MX"/>
              </w:rPr>
              <w:t xml:space="preserve"> </w:t>
            </w: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color w:val="000000"/>
                <w:sz w:val="32"/>
                <w:szCs w:val="32"/>
                <w:lang w:eastAsia="es-MX"/>
              </w:rPr>
            </w:pPr>
          </w:p>
        </w:tc>
      </w:tr>
      <w:tr w:rsidR="00542BA5" w:rsidTr="001A29DC">
        <w:trPr>
          <w:trHeight w:val="449"/>
        </w:trPr>
        <w:tc>
          <w:tcPr>
            <w:tcW w:w="0" w:type="auto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2BA5" w:rsidRDefault="00542BA5" w:rsidP="001A29DC">
            <w:pPr>
              <w:rPr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542BA5" w:rsidTr="001A29DC">
        <w:trPr>
          <w:trHeight w:val="300"/>
        </w:trPr>
        <w:tc>
          <w:tcPr>
            <w:tcW w:w="4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Nombre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 xml:space="preserve">datos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 xml:space="preserve">valores 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longitud</w:t>
            </w: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</w:tr>
      <w:tr w:rsidR="00542BA5" w:rsidTr="001A29DC">
        <w:trPr>
          <w:trHeight w:val="300"/>
        </w:trPr>
        <w:tc>
          <w:tcPr>
            <w:tcW w:w="4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tipoProveedor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required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 99</w:t>
            </w: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</w:tr>
      <w:tr w:rsidR="00542BA5" w:rsidTr="001A29DC">
        <w:trPr>
          <w:trHeight w:val="300"/>
        </w:trPr>
        <w:tc>
          <w:tcPr>
            <w:tcW w:w="4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noProveedor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string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required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 xml:space="preserve">X(10) </w:t>
            </w: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</w:tr>
      <w:tr w:rsidR="00542BA5" w:rsidTr="001A29DC">
        <w:trPr>
          <w:trHeight w:val="300"/>
        </w:trPr>
        <w:tc>
          <w:tcPr>
            <w:tcW w:w="4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serie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string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required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X(25)</w:t>
            </w: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</w:tr>
      <w:tr w:rsidR="00542BA5" w:rsidTr="001A29DC">
        <w:trPr>
          <w:trHeight w:val="300"/>
        </w:trPr>
        <w:tc>
          <w:tcPr>
            <w:tcW w:w="4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folio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string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required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X(20)</w:t>
            </w: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</w:tr>
      <w:tr w:rsidR="00542BA5" w:rsidTr="001A29DC">
        <w:trPr>
          <w:trHeight w:val="300"/>
        </w:trPr>
        <w:tc>
          <w:tcPr>
            <w:tcW w:w="4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ordenCompra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string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required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X(12)</w:t>
            </w: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542BA5" w:rsidTr="001A29DC">
        <w:trPr>
          <w:trHeight w:val="300"/>
        </w:trPr>
        <w:tc>
          <w:tcPr>
            <w:tcW w:w="4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noPartida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Int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required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 </w:t>
            </w: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</w:tr>
      <w:tr w:rsidR="00542BA5" w:rsidTr="001A29DC">
        <w:trPr>
          <w:trHeight w:val="300"/>
        </w:trPr>
        <w:tc>
          <w:tcPr>
            <w:tcW w:w="4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ivaAcreditable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decimal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required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 </w:t>
            </w: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</w:tr>
      <w:tr w:rsidR="00542BA5" w:rsidTr="001A29DC">
        <w:trPr>
          <w:trHeight w:val="300"/>
        </w:trPr>
        <w:tc>
          <w:tcPr>
            <w:tcW w:w="4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ivaDevengado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decimal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required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 </w:t>
            </w: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</w:tr>
      <w:tr w:rsidR="00542BA5" w:rsidTr="001A29DC">
        <w:trPr>
          <w:trHeight w:val="300"/>
        </w:trPr>
        <w:tc>
          <w:tcPr>
            <w:tcW w:w="4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Otros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string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proofErr w:type="spellStart"/>
            <w:r>
              <w:rPr>
                <w:color w:val="000000"/>
                <w:lang w:eastAsia="es-MX"/>
              </w:rPr>
              <w:t>required</w:t>
            </w:r>
            <w:proofErr w:type="spellEnd"/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  <w:r>
              <w:rPr>
                <w:color w:val="000000"/>
                <w:lang w:eastAsia="es-MX"/>
              </w:rPr>
              <w:t> </w:t>
            </w:r>
          </w:p>
        </w:tc>
        <w:tc>
          <w:tcPr>
            <w:tcW w:w="16" w:type="dxa"/>
            <w:vAlign w:val="center"/>
            <w:hideMark/>
          </w:tcPr>
          <w:p w:rsidR="00542BA5" w:rsidRDefault="00542BA5" w:rsidP="001A29DC">
            <w:pPr>
              <w:rPr>
                <w:color w:val="000000"/>
                <w:lang w:eastAsia="es-MX"/>
              </w:rPr>
            </w:pPr>
          </w:p>
        </w:tc>
      </w:tr>
    </w:tbl>
    <w:p w:rsidR="00764B5F" w:rsidRDefault="00764B5F" w:rsidP="0035322D">
      <w:pPr>
        <w:spacing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764B5F" w:rsidRDefault="00764B5F" w:rsidP="0035322D">
      <w:pPr>
        <w:spacing w:line="240" w:lineRule="auto"/>
        <w:jc w:val="both"/>
        <w:rPr>
          <w:rFonts w:ascii="Arial" w:hAnsi="Arial" w:cs="Arial"/>
        </w:rPr>
      </w:pPr>
    </w:p>
    <w:p w:rsidR="00764B5F" w:rsidRDefault="00764B5F" w:rsidP="0035322D">
      <w:pPr>
        <w:spacing w:line="240" w:lineRule="auto"/>
        <w:jc w:val="both"/>
        <w:rPr>
          <w:rFonts w:ascii="Arial" w:hAnsi="Arial" w:cs="Arial"/>
        </w:rPr>
      </w:pPr>
    </w:p>
    <w:p w:rsidR="00764B5F" w:rsidRDefault="00764B5F" w:rsidP="0035322D">
      <w:pPr>
        <w:spacing w:line="240" w:lineRule="auto"/>
        <w:jc w:val="both"/>
        <w:rPr>
          <w:rFonts w:ascii="Arial" w:hAnsi="Arial" w:cs="Arial"/>
        </w:rPr>
      </w:pPr>
    </w:p>
    <w:p w:rsidR="00764B5F" w:rsidRDefault="00764B5F" w:rsidP="0035322D">
      <w:pPr>
        <w:spacing w:line="240" w:lineRule="auto"/>
        <w:jc w:val="both"/>
        <w:rPr>
          <w:rFonts w:ascii="Arial" w:hAnsi="Arial" w:cs="Arial"/>
        </w:rPr>
      </w:pPr>
    </w:p>
    <w:p w:rsidR="00764B5F" w:rsidRPr="00725AC3" w:rsidRDefault="00764B5F" w:rsidP="0035322D">
      <w:pPr>
        <w:spacing w:line="240" w:lineRule="auto"/>
        <w:jc w:val="both"/>
        <w:rPr>
          <w:rFonts w:ascii="Arial" w:hAnsi="Arial" w:cs="Arial"/>
        </w:rPr>
      </w:pPr>
    </w:p>
    <w:sectPr w:rsidR="00764B5F" w:rsidRPr="00725AC3" w:rsidSect="003B123F">
      <w:footerReference w:type="default" r:id="rId11"/>
      <w:pgSz w:w="12240" w:h="15840" w:code="1"/>
      <w:pgMar w:top="1418" w:right="1701" w:bottom="1418" w:left="1701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75D" w:rsidRPr="003B123F" w:rsidRDefault="004F375D" w:rsidP="003B123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endnote>
  <w:endnote w:type="continuationSeparator" w:id="0">
    <w:p w:rsidR="004F375D" w:rsidRPr="003B123F" w:rsidRDefault="004F375D" w:rsidP="003B123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C5D" w:rsidRDefault="00125C5D" w:rsidP="00125C5D">
    <w:pPr>
      <w:pStyle w:val="Piedepgina"/>
      <w:jc w:val="right"/>
    </w:pPr>
    <w:r>
      <w:t>Elaborado por ASOFARMA DE MEXICO SA DE CV.</w:t>
    </w:r>
    <w:r>
      <w:rPr>
        <w:noProof/>
        <w:lang w:eastAsia="es-MX"/>
      </w:rPr>
      <w:drawing>
        <wp:inline distT="0" distB="0" distL="0" distR="0">
          <wp:extent cx="376735" cy="248642"/>
          <wp:effectExtent l="19050" t="0" r="4265" b="0"/>
          <wp:docPr id="6" name="1 Imagen" descr="a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6838" cy="24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25C5D" w:rsidRDefault="00125C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75D" w:rsidRPr="003B123F" w:rsidRDefault="004F375D" w:rsidP="003B123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footnote>
  <w:footnote w:type="continuationSeparator" w:id="0">
    <w:p w:rsidR="004F375D" w:rsidRPr="003B123F" w:rsidRDefault="004F375D" w:rsidP="003B123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3F"/>
    <w:rsid w:val="0001636A"/>
    <w:rsid w:val="00022063"/>
    <w:rsid w:val="00043B12"/>
    <w:rsid w:val="00055A54"/>
    <w:rsid w:val="00096348"/>
    <w:rsid w:val="00125C5D"/>
    <w:rsid w:val="001D08DD"/>
    <w:rsid w:val="002878C0"/>
    <w:rsid w:val="002D208C"/>
    <w:rsid w:val="002F7B4D"/>
    <w:rsid w:val="0033645D"/>
    <w:rsid w:val="0035322D"/>
    <w:rsid w:val="003B123F"/>
    <w:rsid w:val="004778BD"/>
    <w:rsid w:val="004F375D"/>
    <w:rsid w:val="00505CDA"/>
    <w:rsid w:val="00535F58"/>
    <w:rsid w:val="00542BA5"/>
    <w:rsid w:val="00547F33"/>
    <w:rsid w:val="005739BB"/>
    <w:rsid w:val="006664B3"/>
    <w:rsid w:val="00725AC3"/>
    <w:rsid w:val="00735319"/>
    <w:rsid w:val="00754A59"/>
    <w:rsid w:val="00764B5F"/>
    <w:rsid w:val="008568D3"/>
    <w:rsid w:val="00897FFB"/>
    <w:rsid w:val="00A417F8"/>
    <w:rsid w:val="00A650D8"/>
    <w:rsid w:val="00C24901"/>
    <w:rsid w:val="00C734C2"/>
    <w:rsid w:val="00C9275D"/>
    <w:rsid w:val="00CD1EF9"/>
    <w:rsid w:val="00D34C08"/>
    <w:rsid w:val="00F01625"/>
    <w:rsid w:val="00F32A28"/>
    <w:rsid w:val="00F6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C2760-96A3-49AA-BD8E-F4DFD2C4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B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B12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2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B12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B123F"/>
  </w:style>
  <w:style w:type="paragraph" w:styleId="Piedepgina">
    <w:name w:val="footer"/>
    <w:basedOn w:val="Normal"/>
    <w:link w:val="PiedepginaCar"/>
    <w:uiPriority w:val="99"/>
    <w:semiHidden/>
    <w:unhideWhenUsed/>
    <w:rsid w:val="003B12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B123F"/>
  </w:style>
  <w:style w:type="character" w:styleId="Hipervnculo">
    <w:name w:val="Hyperlink"/>
    <w:basedOn w:val="Fuentedeprrafopredeter"/>
    <w:uiPriority w:val="99"/>
    <w:unhideWhenUsed/>
    <w:rsid w:val="00725A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1mexico.org/si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at.gob.m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proveedores.asofarma.com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 Perez, Mario</dc:creator>
  <cp:lastModifiedBy>Cruz Perez, Mario</cp:lastModifiedBy>
  <cp:revision>2</cp:revision>
  <cp:lastPrinted>2015-10-26T21:48:00Z</cp:lastPrinted>
  <dcterms:created xsi:type="dcterms:W3CDTF">2016-05-06T13:37:00Z</dcterms:created>
  <dcterms:modified xsi:type="dcterms:W3CDTF">2016-05-06T13:37:00Z</dcterms:modified>
</cp:coreProperties>
</file>