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E1F6F" w14:textId="77777777" w:rsidR="00345748" w:rsidRDefault="00000000">
      <w:pPr>
        <w:pStyle w:val="Heading1"/>
      </w:pPr>
      <w:r>
        <w:t>Key Insights from Sales Dashboard</w:t>
      </w:r>
    </w:p>
    <w:p w14:paraId="1368EED2" w14:textId="77777777" w:rsidR="00345748" w:rsidRDefault="00000000">
      <w:r>
        <w:t>1. Sales Trend by Month:</w:t>
      </w:r>
      <w:r>
        <w:br/>
        <w:t>- Sales increased significantly in October and December, showing seasonal spikes.</w:t>
      </w:r>
      <w:r>
        <w:br/>
        <w:t>- Lowest sales occurred in February, suggesting possible off-season dips.</w:t>
      </w:r>
      <w:r>
        <w:br/>
      </w:r>
    </w:p>
    <w:p w14:paraId="3B9EADC1" w14:textId="77777777" w:rsidR="00345748" w:rsidRDefault="00000000">
      <w:r>
        <w:t>2. Sales by Region:</w:t>
      </w:r>
      <w:r>
        <w:br/>
        <w:t>- East and West regions contribute the most — together making up over 60% of total sales.</w:t>
      </w:r>
      <w:r>
        <w:br/>
        <w:t>- South has the lowest sales among all four regions.</w:t>
      </w:r>
      <w:r>
        <w:br/>
      </w:r>
    </w:p>
    <w:p w14:paraId="517C992F" w14:textId="77777777" w:rsidR="00345748" w:rsidRDefault="00000000">
      <w:r>
        <w:t>3. Sales by Segment and Region:</w:t>
      </w:r>
      <w:r>
        <w:br/>
        <w:t>- The Consumer segment dominates sales in all regions, especially in the East.</w:t>
      </w:r>
      <w:r>
        <w:br/>
        <w:t>- Home Office segment performs relatively lower in all regions.</w:t>
      </w:r>
      <w:r>
        <w:br/>
      </w:r>
    </w:p>
    <w:p w14:paraId="49335313" w14:textId="77777777" w:rsidR="009802EE" w:rsidRDefault="00000000" w:rsidP="009802EE">
      <w:r>
        <w:t>4. Sales by Category and Ship Mode:</w:t>
      </w:r>
      <w:r>
        <w:br/>
        <w:t>- Technology is the highest-selling category, with Standard Class as the most used shipping method.</w:t>
      </w:r>
      <w:r>
        <w:br/>
        <w:t xml:space="preserve">- Furniture and Office Supplies also heavily rely on Standard Class and </w:t>
      </w:r>
      <w:r w:rsidR="009802EE">
        <w:t>Second-Class</w:t>
      </w:r>
      <w:r>
        <w:t xml:space="preserve"> shipping.</w:t>
      </w:r>
    </w:p>
    <w:p w14:paraId="02E5A4E0" w14:textId="5106DA31" w:rsidR="00345748" w:rsidRDefault="00000000" w:rsidP="009802EE">
      <w:r>
        <w:br/>
      </w:r>
      <w:r w:rsidR="009802EE">
        <w:rPr>
          <w:noProof/>
        </w:rPr>
        <w:drawing>
          <wp:inline distT="0" distB="0" distL="0" distR="0" wp14:anchorId="32168913" wp14:editId="2EE37C55">
            <wp:extent cx="5486400" cy="3036570"/>
            <wp:effectExtent l="0" t="0" r="0" b="0"/>
            <wp:docPr id="191381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17593" name="Picture 19138175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7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898074">
    <w:abstractNumId w:val="8"/>
  </w:num>
  <w:num w:numId="2" w16cid:durableId="618148953">
    <w:abstractNumId w:val="6"/>
  </w:num>
  <w:num w:numId="3" w16cid:durableId="1848328012">
    <w:abstractNumId w:val="5"/>
  </w:num>
  <w:num w:numId="4" w16cid:durableId="187333249">
    <w:abstractNumId w:val="4"/>
  </w:num>
  <w:num w:numId="5" w16cid:durableId="731851318">
    <w:abstractNumId w:val="7"/>
  </w:num>
  <w:num w:numId="6" w16cid:durableId="508519823">
    <w:abstractNumId w:val="3"/>
  </w:num>
  <w:num w:numId="7" w16cid:durableId="1136526844">
    <w:abstractNumId w:val="2"/>
  </w:num>
  <w:num w:numId="8" w16cid:durableId="1631322956">
    <w:abstractNumId w:val="1"/>
  </w:num>
  <w:num w:numId="9" w16cid:durableId="167922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C40"/>
    <w:rsid w:val="00034616"/>
    <w:rsid w:val="0006063C"/>
    <w:rsid w:val="0015074B"/>
    <w:rsid w:val="0029639D"/>
    <w:rsid w:val="00326F90"/>
    <w:rsid w:val="00345748"/>
    <w:rsid w:val="009802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C441B"/>
  <w14:defaultImageDpi w14:val="300"/>
  <w15:docId w15:val="{5EE13D4C-2363-46E0-A042-6D176B0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vansh goyal</cp:lastModifiedBy>
  <cp:revision>2</cp:revision>
  <dcterms:created xsi:type="dcterms:W3CDTF">2013-12-23T23:15:00Z</dcterms:created>
  <dcterms:modified xsi:type="dcterms:W3CDTF">2025-06-03T10:49:00Z</dcterms:modified>
  <cp:category/>
</cp:coreProperties>
</file>