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80"/>
        <w:jc w:val="center"/>
      </w:pPr>
      <w:r>
        <w:rPr>
          <w:rFonts w:ascii="Calibri" w:hAnsi="Calibri"/>
          <w:b/>
          <w:color w:val="2E74B5"/>
          <w:sz w:val="20"/>
        </w:rPr>
        <w:t>MANUSCRIPT WORKING DRAFT</w:t>
      </w:r>
    </w:p>
    <w:p>
      <w:pPr>
        <w:keepLines/>
        <w:spacing w:after="240"/>
        <w:jc w:val="center"/>
      </w:pPr>
      <w:r>
        <w:rPr>
          <w:rFonts w:ascii="Calibri" w:hAnsi="Calibri"/>
          <w:b/>
          <w:color w:val="1F4D78"/>
          <w:sz w:val="50"/>
        </w:rPr>
        <w:t>Physics-Guided Interpretation of Spatially Written Plasmonic Inks for Nonlinear Pesticide Mixture Analysis</w:t>
      </w:r>
    </w:p>
    <w:p>
      <w:pPr>
        <w:spacing w:after="560"/>
        <w:jc w:val="center"/>
      </w:pPr>
      <w:r>
        <w:rPr>
          <w:rFonts w:ascii="Calibri" w:hAnsi="Calibri"/>
          <w:i/>
          <w:color w:val="5A626C"/>
          <w:sz w:val="25"/>
        </w:rPr>
        <w:t>Integrated Materials and Methods, Results and Discussion, and Figure Captions</w:t>
      </w:r>
    </w:p>
    <w:p>
      <w:pPr>
        <w:spacing w:before="960" w:after="120"/>
        <w:jc w:val="center"/>
      </w:pPr>
      <w:r>
        <w:rPr>
          <w:rFonts w:ascii="Calibri" w:hAnsi="Calibri"/>
          <w:b/>
          <w:color w:val="5A626C"/>
          <w:sz w:val="21"/>
        </w:rPr>
        <w:t>Status: Working draft for author review</w:t>
      </w:r>
    </w:p>
    <w:p>
      <w:pPr>
        <w:jc w:val="center"/>
      </w:pPr>
      <w:r>
        <w:rPr>
          <w:rFonts w:ascii="Calibri" w:hAnsi="Calibri"/>
          <w:i/>
          <w:color w:val="5A626C"/>
          <w:sz w:val="19"/>
        </w:rPr>
        <w:t>Bracketed text identifies experimental details or figure labels that require confirmation.</w:t>
      </w:r>
    </w:p>
    <w:p>
      <w:r>
        <w:br w:type="page"/>
      </w:r>
    </w:p>
    <w:p>
      <w:pPr>
        <w:pStyle w:val="Heading1"/>
      </w:pPr>
      <w:r>
        <w:t>2. Materials and Methods</w:t>
      </w:r>
    </w:p>
    <w:p>
      <w:pPr>
        <w:pStyle w:val="Heading2"/>
      </w:pPr>
      <w:r>
        <w:t>2.1. Materials</w:t>
      </w:r>
    </w:p>
    <w:p>
      <w:r>
        <w:rPr>
          <w:rFonts w:ascii="Calibri" w:hAnsi="Calibri"/>
          <w:color w:val="000000"/>
          <w:sz w:val="22"/>
        </w:rPr>
        <w:t>Cellulose nanofibers [surface chemistry, solid content, supplier, and catalogue number], gold(III) precursor [chemical form, purity, supplier, and catalogue number], and hydroxylamine [chemical form, concentration, purity, supplier, and catalogue number] were used to prepare the plasmonic ink. Diquat [salt form, purity, supplier, and catalogue number], thiabendazole [purity, supplier, and catalogue number], and thiram [purity, supplier, and catalogue number] were used as model pesticide analytes. Malachite green [purity and supplier] was used to evaluate Raman enhancement. All aqueous solutions were prepared using ultrapure water with a resistivity of [value] megaohm centimetres.</w:t>
      </w:r>
    </w:p>
    <w:p>
      <w:pPr>
        <w:pStyle w:val="Heading2"/>
      </w:pPr>
      <w:r>
        <w:t>2.2. Preparation of Gold-Cellulose Nanofiber Ink</w:t>
      </w:r>
    </w:p>
    <w:p>
      <w:r>
        <w:rPr>
          <w:rFonts w:ascii="Calibri" w:hAnsi="Calibri"/>
          <w:color w:val="000000"/>
          <w:sz w:val="22"/>
        </w:rPr>
        <w:t>An aqueous cellulose nanofiber dispersion at [concentration] weight percent was combined with gold(III) precursor at a final concentration of [value] millimolar and equilibrated for [time]. During this step, gold ions were adsorbed onto oxygen-containing groups at the cellulose nanofiber surface. Hydroxylamine was subsequently added at final concentrations of [20, 40, 60, 80, and 100 millimolar; replace with the exact series] to initiate interfacial reduction and growth of gold nanostructures. The reaction proceeded for [time] at [temperature] under [mixing conditions]. The resulting composites were washed by [centrifugation, dialysis, or filtration] and redispersed at a final solid content of [value]. The formulation used in subsequent experiments was selected by considering nanostructure morphology, optical extinction, rheological behavior, writing fidelity, and Raman enhancement together.</w:t>
      </w:r>
    </w:p>
    <w:p>
      <w:r>
        <w:rPr>
          <w:rFonts w:ascii="Calibri" w:hAnsi="Calibri"/>
          <w:color w:val="000000"/>
          <w:sz w:val="22"/>
        </w:rPr>
        <w:t>Diquat, thiabendazole, and thiram were separately added to the optimized gold-cellulose nanofiber ink at final concentrations of [values]. An identically prepared ink containing no pesticide was used as the blank. Letter patterns were written on [substrate] using [pen, nozzle, printer, or other method] and dried for [time] at [temperature and relative humidity]. At least [number] independently prepared patterns were produced for each pesticide and mixture.</w:t>
      </w:r>
    </w:p>
    <w:p>
      <w:pPr>
        <w:pStyle w:val="Heading2"/>
      </w:pPr>
      <w:r>
        <w:t>2.3. Structural and Optical Characterization</w:t>
      </w:r>
    </w:p>
    <w:p>
      <w:r>
        <w:rPr>
          <w:rFonts w:ascii="Calibri" w:hAnsi="Calibri"/>
          <w:color w:val="000000"/>
          <w:sz w:val="22"/>
        </w:rPr>
        <w:t>The hydroxylamine-dependent evolution of the gold structures was examined by field-emission scanning electron microscopy using [instrument model] at an accelerating voltage of [value]. Particle or cluster size, protrusion density, and aggregate dimensions were quantified from at least [number] independently acquired images. Transmission electron microscopy and scanning transmission electron microscopy coupled with energy-dispersive X-ray spectroscopy were performed using [instrument model] to examine internal morphology and the spatial distributions of gold, carbon, oxygen, and nitrogen. Crystalline phases were analyzed by X-ray diffraction using [instrument model and radiation source] over a two-theta range of [value] to [value] degrees. Optical extinction spectra were recorded from 400 to 800 nanometres using [instrument model], with an identically diluted cellulose nanofiber dispersion as the reference.</w:t>
      </w:r>
    </w:p>
    <w:p>
      <w:pPr>
        <w:pStyle w:val="Heading2"/>
      </w:pPr>
      <w:r>
        <w:t>2.4. Surface and Molecular Characterization</w:t>
      </w:r>
    </w:p>
    <w:p>
      <w:r>
        <w:rPr>
          <w:rFonts w:ascii="Calibri" w:hAnsi="Calibri"/>
          <w:color w:val="000000"/>
          <w:sz w:val="22"/>
        </w:rPr>
        <w:t>Surface elemental composition and gold oxidation state were analyzed by X-ray photoelectron spectroscopy using [instrument and X-ray source]. Survey spectra and high-resolution gold 4f, carbon 1s, oxygen 1s, and, where detectable, nitrogen 1s spectra were collected from pristine cellulose nanofibers, gold-ion-loaded cellulose nanofibers before reduction, hydroxylamine-treated cellulose nanofibers prepared without gold precursor, and the final gold-cellulose nanofiber composite. Binding energies were referenced to [state the reference]. Background functions, line shapes, peak constraints, fitting residuals, and atomic percentages were reported. The analysis was designed to determine whether the final product was dominated by metallic gold and whether gold loading altered the electronic environment of the cellulose surface. A small binding-energy shift alone was not treated as proof of a specific covalent gold-oxygen bond.</w:t>
      </w:r>
    </w:p>
    <w:p>
      <w:r>
        <w:rPr>
          <w:rFonts w:ascii="Calibri" w:hAnsi="Calibri"/>
          <w:color w:val="000000"/>
          <w:sz w:val="22"/>
        </w:rPr>
        <w:t>Fourier transform infrared spectra were recorded using [instrument model] in [attenuated total reflection or transmission] mode from [lower] to [upper] inverse centimetres at a resolution of [value] inverse centimetres with [number] scans. The same four material states used for the surface analysis were measured under identical conditions. Changes in the hydroxyl stretching region and carbon-oxygen and carbon-oxygen-carbon vibrations were used to evaluate changes in hydrogen bonding and local surface environment while confirming retention of the cellulose backbone. The hydroxylamine-only control distinguished changes caused by reducing treatment from those associated with gold loading.</w:t>
      </w:r>
    </w:p>
    <w:p>
      <w:pPr>
        <w:pStyle w:val="Heading2"/>
      </w:pPr>
      <w:r>
        <w:t>2.5. Rheological Characterization and Direct-Writing Performance</w:t>
      </w:r>
    </w:p>
    <w:p>
      <w:r>
        <w:rPr>
          <w:rFonts w:ascii="Calibri" w:hAnsi="Calibri"/>
          <w:color w:val="000000"/>
          <w:sz w:val="22"/>
        </w:rPr>
        <w:t>Rheological measurements were performed using a stress-controlled rheometer [manufacturer and model] equipped with a [parallel-plate or cone-and-plate] geometry of [diameter] and a gap of [value] at [temperature]. A solvent trap was used to minimize evaporation. Each sample was subjected to the same preshear, resting, loading, and temperature-equilibration procedure.</w:t>
      </w:r>
    </w:p>
    <w:p>
      <w:r>
        <w:rPr>
          <w:rFonts w:ascii="Calibri" w:hAnsi="Calibri"/>
          <w:color w:val="000000"/>
          <w:sz w:val="22"/>
        </w:rPr>
        <w:t>Steady-shear viscosity was measured over shear rates from [lower] to [upper] reciprocal seconds. Flow curves were fitted using a power-law relation and, when supported by the data, the Herschel-Bulkley relation. An oscillatory strain sweep defined the linear viscoelastic region, after which a frequency sweep determined the storage and loss moduli. Time-dependent structural recovery was measured using a three-interval thixotropy test comprising low shear, high shear, and a second low-shear recovery interval. Recovery was calculated from the ratio between the recovered and initial viscosity or storage modulus at a prespecified time.</w:t>
      </w:r>
    </w:p>
    <w:p>
      <w:r>
        <w:rPr>
          <w:rFonts w:ascii="Calibri" w:hAnsi="Calibri"/>
          <w:color w:val="000000"/>
          <w:sz w:val="22"/>
        </w:rPr>
        <w:t>Pristine cellulose nanofiber ink, selected nonoptimized gold-cellulose nanofiber formulations, and the final formulation were compared. Shear-thinning and thixotropy were treated as separate properties: a decrease in viscosity with shear rate demonstrated shear-thinning, whereas thixotropy required measurable time-dependent recovery after removal of high shear.</w:t>
      </w:r>
    </w:p>
    <w:p>
      <w:r>
        <w:rPr>
          <w:rFonts w:ascii="Calibri" w:hAnsi="Calibri"/>
          <w:color w:val="000000"/>
          <w:sz w:val="22"/>
        </w:rPr>
        <w:t>Writing performance was evaluated by depositing straight lines and intersecting patterns at a fixed writing speed using a [pen or nozzle diameter]. Line width, edge roughness, spreading ratio, and dimensional retention after drying were quantified from optical images. These measurements were related to low-shear viscosity, storage modulus, and recovery rate to establish the material basis of pattern retention.</w:t>
      </w:r>
    </w:p>
    <w:p>
      <w:pPr>
        <w:pStyle w:val="Heading2"/>
      </w:pPr>
      <w:r>
        <w:t>2.6. Electromagnetic Simulation</w:t>
      </w:r>
    </w:p>
    <w:p>
      <w:r>
        <w:rPr>
          <w:rFonts w:ascii="Calibri" w:hAnsi="Calibri"/>
          <w:color w:val="000000"/>
          <w:sz w:val="22"/>
        </w:rPr>
        <w:t>Electromagnetic field distributions were calculated using the finite-difference time-domain method in [software and version]. A representative cluster of protruded gold nanostructures was reconstructed from electron microscopy dimensions. Perfectly matched layers were applied along [directions], and a total-field scattered-field source was propagated along [direction] with polarization along [direction]. The dielectric function of gold was obtained from [source], and the surrounding refractive index was set to [value]. A nonuniform mesh with a minimum size of [value] nanometres was used around protrusions and interparticle gaps. The local electric-field distribution was calculated at 785 nanometres, and wavelength-dependent mean field enhancement and the fourth power of the local electric-field ratio were evaluated from [range] nanometres. The calculation was used to identify plausible hotspot locations rather than as an exact representation of the disordered experimental ink.</w:t>
      </w:r>
    </w:p>
    <w:p>
      <w:pPr>
        <w:pStyle w:val="Heading2"/>
      </w:pPr>
      <w:r>
        <w:t>2.7. Raman Measurements and Analytical Evaluation</w:t>
      </w:r>
    </w:p>
    <w:p>
      <w:r>
        <w:rPr>
          <w:rFonts w:ascii="Calibri" w:hAnsi="Calibri"/>
          <w:color w:val="000000"/>
          <w:sz w:val="22"/>
        </w:rPr>
        <w:t>Raman spectra were acquired using a [manufacturer and model] instrument equipped with a 785-nanometre excitation laser, a [magnification and numerical aperture] objective, and a [grating] grating. The laser power at the sample was [value], the integration time was [value], and [number] accumulations were collected. Malachite green solutions from [lowest] to [highest concentration] were deposited on independently prepared substrates. The intensity of the band at [value] inverse centimetres was used to construct the calibration curve. The limit of detection was calculated using [state method]. Spatial uniformity was assessed over [area and number of points], and both within-map and between-substrate relative standard deviations were calculated.</w:t>
      </w:r>
    </w:p>
    <w:p>
      <w:r>
        <w:rPr>
          <w:rFonts w:ascii="Calibri" w:hAnsi="Calibri"/>
          <w:color w:val="000000"/>
          <w:sz w:val="22"/>
        </w:rPr>
        <w:t>For pesticide measurements, the spectral region from 300 to 1800 inverse centimetres was used. Each pixel spectrum was corrected by asymmetric least-squares baseline estimation with [parameters], after which negative values were clipped to zero. Compound-selective maps were reconstructed at 1370 inverse centimetres for thiram, 1270 inverse centimetres for thiabendazole, and 1570 inverse centimetres for diquat.</w:t>
      </w:r>
    </w:p>
    <w:p>
      <w:pPr>
        <w:pStyle w:val="Heading2"/>
      </w:pPr>
      <w:r>
        <w:t>2.8. Single-Component Classification</w:t>
      </w:r>
    </w:p>
    <w:p>
      <w:r>
        <w:rPr>
          <w:rFonts w:ascii="Calibri" w:hAnsi="Calibri"/>
          <w:color w:val="000000"/>
          <w:sz w:val="22"/>
        </w:rPr>
        <w:t>For single-component classification, each baseline-corrected pixel spectrum was normalized by its Euclidean norm. A random forest classifier containing 300 decision trees was trained to distinguish blank ink, diquat, thiabendazole, and thiram. Bootstrap sampling and out-of-bag predictions were used during fitting. Primary generalization performance was assessed using [a spatially contiguous holdout or leave-one-batch-out cross-validation]. Pixels from one map were not randomly divided across training and test sets. Performance was summarized using the confusion matrix, class-wise precision, recall, F1 score, overall accuracy, and macro-averaged F1 score.</w:t>
      </w:r>
    </w:p>
    <w:p>
      <w:pPr>
        <w:pStyle w:val="Heading2"/>
      </w:pPr>
      <w:r>
        <w:t>2.9. Preparation of Binary and Ternary Pesticide Mixtures</w:t>
      </w:r>
    </w:p>
    <w:p>
      <w:r>
        <w:rPr>
          <w:rFonts w:ascii="Calibri" w:hAnsi="Calibri"/>
          <w:color w:val="000000"/>
          <w:sz w:val="22"/>
        </w:rPr>
        <w:t>Individual stock solutions were prepared at [concentrations] in [solvent]. For the low-concentration factorial experiment, final concentrations of diquat, thiabendazole, and thiram were independently varied at 3, 6, 12, and 24 micromolar, yielding 64 concentration combinations. [Describe the additional reference condition included in the 65-condition analysis.] Equal-volume dilution during mixing was incorporated when calculating final component concentrations. Equimolar ternary mixtures containing [confirm: 10, 30, 100, and 300 micromolar or 10, 33, 100, and 333 micromolar] of each pesticide were prepared separately to probe the upper analytical boundary. Binary mixtures used for method comparison are summarized in Table [S1]. Each condition was measured using [number] independently prepared substrates and [number] maps per substrate.</w:t>
      </w:r>
    </w:p>
    <w:p>
      <w:pPr>
        <w:pStyle w:val="Heading2"/>
      </w:pPr>
      <w:r>
        <w:t>2.10. Linear Spectral Decomposition and Calibration</w:t>
      </w:r>
    </w:p>
    <w:p>
      <w:r>
        <w:rPr>
          <w:rFonts w:ascii="Calibri" w:hAnsi="Calibri"/>
          <w:color w:val="000000"/>
          <w:sz w:val="22"/>
        </w:rPr>
        <w:t>Pure-component reference spectra were baseline corrected, averaged by class, and normalized by their Euclidean norms. Each mixture spectrum was represented as a non-negative combination of blank, ink, diquat, thiabendazole, and thiram templates using the Lawson-Hanson non-negative least-squares algorithm implemented in the SciPy software package. A component was considered surface-visible when its relative fitted contribution exceeded 0.15 [confirm for the final analysis]. Because fitted coefficients contain compound-dependent Raman response, local enhancement, adsorption, and competition, they were interpreted as apparent surface spectral contributions rather than direct solution concentrations.</w:t>
      </w:r>
    </w:p>
    <w:p>
      <w:r>
        <w:rPr>
          <w:rFonts w:ascii="Calibri" w:hAnsi="Calibri"/>
          <w:color w:val="000000"/>
          <w:sz w:val="22"/>
        </w:rPr>
        <w:t>Single-component dilution series were fitted using the selected adsorption-response function. The limit of detection was calculated as 3.3 times the between-map standard deviation of seven blank maps divided by the low-concentration slope. The limit of quantification was calculated using a multiplier of ten. The same response functions were subsequently used to generate physics-informed synthetic mixtures for model pretraining.</w:t>
      </w:r>
    </w:p>
    <w:p>
      <w:pPr>
        <w:pStyle w:val="Heading2"/>
      </w:pPr>
      <w:r>
        <w:t>2.11. Physics-Guided Nonlinear Mixture Model</w:t>
      </w:r>
    </w:p>
    <w:p>
      <w:r>
        <w:rPr>
          <w:rFonts w:ascii="Calibri" w:hAnsi="Calibri"/>
          <w:color w:val="000000"/>
          <w:sz w:val="22"/>
        </w:rPr>
        <w:t>The nonlinear model combined spectral gating, calibration-informed pretraining, and supervised learning from measured mixtures. Non-negative least-squares regression first excluded background spectra. The retained baseline-corrected spectra were transformed using the logarithm of one plus raw intensity without Euclidean normalization, preserving spectral shape and response magnitude.</w:t>
      </w:r>
    </w:p>
    <w:p>
      <w:r>
        <w:rPr>
          <w:rFonts w:ascii="Calibri" w:hAnsi="Calibri"/>
          <w:color w:val="000000"/>
          <w:sz w:val="22"/>
        </w:rPr>
        <w:t>The multilayer perceptron comprised a fully connected layer with 256 hidden units, batch normalization, a rectified linear activation, dropout with probability 0.15, a second fully connected layer with 64 hidden units, a second rectified linear activation, and a three-unit output layer. A softmax transformation constrained predicted fractions to be non-negative and sum to unity. Optimization used Adam with a learning rate of 0.0003, weight decay of 0.001, and a fixed training duration of 300 epochs. A weighted absolute composition loss assigned greater weight to minor components.</w:t>
      </w:r>
    </w:p>
    <w:p>
      <w:r>
        <w:rPr>
          <w:rFonts w:ascii="Calibri" w:hAnsi="Calibri"/>
          <w:color w:val="000000"/>
          <w:sz w:val="22"/>
        </w:rPr>
        <w:t>Before supervised refinement, synthetic mixtures generated from single-component calibration functions were used for physics-guided pretraining. Predictive evaluation left out one complete concentration condition at a time. Every map and pixel associated with the held-out condition was excluded from model fitting, preprocessing selection, and training-duration selection.</w:t>
      </w:r>
    </w:p>
    <w:p>
      <w:r>
        <w:rPr>
          <w:rFonts w:ascii="Calibri" w:hAnsi="Calibri"/>
          <w:color w:val="000000"/>
          <w:sz w:val="22"/>
        </w:rPr>
        <w:t>For spatial mixture reconstruction, the trained model was applied to analyte-positive pixel spectra selected by the non-negative least-squares gate. The three component fractions were predicted for each retained pixel and displayed using fixed compound colors. Map-integrated composition was obtained by [state mean, median, or weighted aggregation] across accepted pixels. Figure 5 results must state whether the mapped samples were fully held out during model training or were processed using a model fitted to the complete calibration data.</w:t>
      </w:r>
    </w:p>
    <w:p>
      <w:pPr>
        <w:pStyle w:val="Heading2"/>
      </w:pPr>
      <w:r>
        <w:t>2.12. Model Comparison and Statistical Analysis</w:t>
      </w:r>
    </w:p>
    <w:p>
      <w:r>
        <w:rPr>
          <w:rFonts w:ascii="Calibri" w:hAnsi="Calibri"/>
          <w:color w:val="000000"/>
          <w:sz w:val="22"/>
        </w:rPr>
        <w:t>Random forest regression, non-negative least-squares regression, one-dimensional convolutional neural-network regression, partial least-squares [confirm regression or discriminant analysis], and multilayer-perceptron regression were compared using the same mixture conditions, preprocessing definition, and held-out folds. For a three-component composition vector, composition error was defined as</w:t>
      </w:r>
    </w:p>
    <w:p>
      <w:pPr>
        <w:pStyle w:val="Equation"/>
      </w:pPr>
      <w:r>
        <w:rPr>
          <w:rFonts w:ascii="Cambria Math" w:hAnsi="Cambria Math"/>
          <w:color w:val="000000"/>
          <w:sz w:val="22"/>
        </w:rPr>
        <w:t>E_{{composition}}=frac{1}{2}Σ_{i=1}^{3}|hat{y}_i-y_i|,</w:t>
      </w:r>
    </w:p>
    <w:p>
      <w:r>
        <w:rPr>
          <w:rFonts w:ascii="Calibri" w:hAnsi="Calibri"/>
          <w:color w:val="000000"/>
          <w:sz w:val="22"/>
        </w:rPr>
        <w:t>where \(y_i\) and \(\hat{y}_i\) are prepared and predicted component percentages. Concentration error was summarized as</w:t>
      </w:r>
    </w:p>
    <w:p>
      <w:pPr>
        <w:pStyle w:val="Equation"/>
      </w:pPr>
      <w:r>
        <w:rPr>
          <w:rFonts w:ascii="Cambria Math" w:hAnsi="Cambria Math"/>
          <w:color w:val="000000"/>
          <w:sz w:val="22"/>
        </w:rPr>
        <w:t>E_{{fold}}=\max(frac{hat{C}}{C},frac{C}{hat{C}}).</w:t>
      </w:r>
    </w:p>
    <w:p>
      <w:r>
        <w:rPr>
          <w:rFonts w:ascii="Calibri" w:hAnsi="Calibri"/>
          <w:color w:val="000000"/>
          <w:sz w:val="22"/>
        </w:rPr>
        <w:t>The median fold error and fraction of estimates within a factor of two were reported. Confidence intervals were calculated by resampling independent maps or independently prepared substrates rather than individual pixels. All analyses were performed using Python [version], NumPy [version], SciPy [version], scikit-learn [version], and PyTorch [version].</w:t>
      </w:r>
    </w:p>
    <w:p>
      <w:pPr>
        <w:pStyle w:val="Heading1"/>
      </w:pPr>
      <w:r>
        <w:t>3. Results and Discussion</w:t>
      </w:r>
    </w:p>
    <w:p>
      <w:pPr>
        <w:pStyle w:val="Heading2"/>
      </w:pPr>
      <w:r>
        <w:t>3.1. Interfacial Reduction Produces Protruded Gold Architectures on Cellulose Nanofibers</w:t>
      </w:r>
    </w:p>
    <w:p>
      <w:r>
        <w:rPr>
          <w:rFonts w:ascii="Calibri" w:hAnsi="Calibri"/>
          <w:color w:val="000000"/>
          <w:sz w:val="22"/>
        </w:rPr>
        <w:t>The gold-cellulose nanofiber composite was designed to combine plasmonic enhancement and ink-forming behavior within one material. Cellulose nanofibers first acted as a high-area scaffold that concentrated gold ions at oxygen-rich surface groups. Addition of hydroxylamine then initiated interfacial reduction, nucleation, and outward growth of gold domains (Figure 1a). Continued growth generated clustered structures with nanoscale protrusions rather than only isolated spherical particles. These protrusions and narrow junctions between neighboring domains were expected to increase the density of high-curvature regions and electromagnetically coupled gaps.</w:t>
      </w:r>
    </w:p>
    <w:p>
      <w:r>
        <w:rPr>
          <w:rFonts w:ascii="Calibri" w:hAnsi="Calibri"/>
          <w:color w:val="000000"/>
          <w:sz w:val="22"/>
        </w:rPr>
        <w:t>Scanning electron microscopy showed that gold morphology varied with hydroxylamine concentration (Figure 1b). At [lowest concentration], the product showed [insert observation]. Increasing the concentration to [optimized concentration] produced [insert quantified change in domain density, protrusion development, or uniformity]. At [highest concentration], [insert observation]. Optical photographs and extinction spectra changed concurrently with this structural evolution (Figure 1c). The selected formulation displayed a broad optical response extending toward the 785-nanometre excitation wavelength. The final analysis should report peak positions, spectral widths, and replicate variability rather than rely on visible color change alone.</w:t>
      </w:r>
    </w:p>
    <w:p>
      <w:r>
        <w:rPr>
          <w:rFonts w:ascii="Calibri" w:hAnsi="Calibri"/>
          <w:color w:val="000000"/>
          <w:sz w:val="22"/>
        </w:rPr>
        <w:t>X-ray diffraction confirmed crystalline face-centered-cubic gold through reflections corresponding to the (111), (200), (220), (311), and (222) planes (Figure 1d). Transmission electron microscopy and elemental mapping further showed gold-rich protruded domains associated with the carbon- and oxygen-containing nanofiber framework (Figure 1e). Nitrogen mapping requires cautious interpretation because residual nitrogen may originate from hydroxylamine-derived species, preparation artifacts, or background.</w:t>
      </w:r>
    </w:p>
    <w:p>
      <w:r>
        <w:rPr>
          <w:rFonts w:ascii="Calibri" w:hAnsi="Calibri"/>
          <w:color w:val="000000"/>
          <w:sz w:val="22"/>
        </w:rPr>
        <w:t>X-ray photoelectron spectroscopy and Fourier transform infrared spectroscopy will test the chemical sequence proposed in Figure 1a. High-resolution gold 4f spectra will determine whether metallic gold dominates after reduction and washing, while carbon 1s and oxygen 1s spectra will determine whether gold loading alters the electronic environment of the cellulose surface. Complementary infrared spectra will determine whether the polysaccharide backbone remains intact and whether hydroxyl and carbon-oxygen environments change after loading and reduction. These measurements can support interfacial association and modification of hydrogen bonding, but they will not be used alone to claim a specific covalent gold-oxygen bond.</w:t>
      </w:r>
    </w:p>
    <w:p>
      <w:r>
        <w:rPr>
          <w:rFonts w:ascii="Calibri" w:hAnsi="Calibri"/>
          <w:color w:val="000000"/>
          <w:sz w:val="22"/>
        </w:rPr>
        <w:t>Together, the available structural data support a material in which cellulose nanofibers spatially organize gold reduction and stabilize a protruded plasmonic architecture. Final selection of the optimized condition will be based on reproducible structural, optical, rheological, and Raman criteria.</w:t>
      </w:r>
    </w:p>
    <w:p>
      <w:pPr>
        <w:pStyle w:val="Heading2"/>
      </w:pPr>
      <w:r>
        <w:t>3.2. Recoverable Ink Mechanics Couple Direct Writing with Raman Enhancement</w:t>
      </w:r>
    </w:p>
    <w:p>
      <w:r>
        <w:rPr>
          <w:rFonts w:ascii="Calibri" w:hAnsi="Calibri"/>
          <w:color w:val="000000"/>
          <w:sz w:val="22"/>
        </w:rPr>
        <w:t>The cellulose nanofiber network must satisfy two opposing mechanical requirements. The ink should flow under shear generated during writing but should rebuild after deposition to suppress lateral spreading and preserve pattern resolution. Steady-shear measurements will determine whether the optimized ink exhibits decreasing viscosity with increasing shear rate. This behavior will establish shear-thinning, while time-dependent structural recovery after high shear will be required before the material is described as thixotropic.</w:t>
      </w:r>
    </w:p>
    <w:p>
      <w:r>
        <w:rPr>
          <w:rFonts w:ascii="Calibri" w:hAnsi="Calibri"/>
          <w:color w:val="000000"/>
          <w:sz w:val="22"/>
        </w:rPr>
        <w:t>Oscillatory measurements will define the linear viscoelastic region and compare storage and loss moduli at rest. A storage modulus exceeding the loss modulus within the relevant low-strain range would support the presence of a weak solid-like network. A three-interval test will then quantify disruption under high shear and recovery after returning to low shear. Recovery fraction and recovery time will be compared across pristine cellulose nanofiber ink, nonoptimized composites, and the selected formulation. Direct measurements of line width, spreading, edge roughness, and drying-induced dimensional change will connect rheological properties with actual writing performance.</w:t>
      </w:r>
    </w:p>
    <w:p>
      <w:r>
        <w:rPr>
          <w:rFonts w:ascii="Calibri" w:hAnsi="Calibri"/>
          <w:color w:val="000000"/>
          <w:sz w:val="22"/>
        </w:rPr>
        <w:t>Electromagnetic simulation provided a complementary optical rationale for the protruded structure (Figure 2). Under 785-nanometre excitation, enhanced local fields were concentrated at protrusion tips and narrow junctions between neighboring domains. Because the experimental ink contains distributions of shapes, orientations, and gap sizes, these calculations are interpreted as identifying plausible hotspot locations rather than predicting absolute ensemble enhancement.</w:t>
      </w:r>
    </w:p>
    <w:p>
      <w:r>
        <w:rPr>
          <w:rFonts w:ascii="Calibri" w:hAnsi="Calibri"/>
          <w:color w:val="000000"/>
          <w:sz w:val="22"/>
        </w:rPr>
        <w:t>The optimized material produced concentration-dependent Raman spectra of malachite green and a linear response over the tested working range (Figure 2). Spatial mapping yielded a within-map relative standard deviation of 10.8 percent in the current panel. Before publication, this value will be supplemented with the number of mapped points, number of independently prepared substrates, and between-substrate variability. The combined data are intended to support a dual-function material claim: the cellulose nanofiber network provides shear-enabled processability and post-writing recovery, whereas the protruded gold structures provide local electromagnetic enhancement.</w:t>
      </w:r>
    </w:p>
    <w:p>
      <w:pPr>
        <w:pStyle w:val="Heading2"/>
      </w:pPr>
      <w:r>
        <w:t>3.3. Spatially Written Single Components Can Be Identified Using a Conventional Classifier</w:t>
      </w:r>
    </w:p>
    <w:p>
      <w:r>
        <w:rPr>
          <w:rFonts w:ascii="Calibri" w:hAnsi="Calibri"/>
          <w:color w:val="000000"/>
          <w:sz w:val="22"/>
        </w:rPr>
        <w:t>Diquat, thiabendazole, and thiram were separately incorporated into the optimized ink and written as their corresponding letter patterns (Figure 3a). Although the three marks appeared similar under optical imaging, Raman mapping reconstructed each pattern using a distinct compound-selective band. Thiram was mapped at 1370 inverse centimetres, thiabendazole at 1270 inverse centimetres, and diquat at 1570 inverse centimetres. In each case, the Raman image followed the written region with limited response from unwritten background, demonstrating simultaneous spatial patterning and molecularly selective readout.</w:t>
      </w:r>
    </w:p>
    <w:p>
      <w:r>
        <w:rPr>
          <w:rFonts w:ascii="Calibri" w:hAnsi="Calibri"/>
          <w:color w:val="000000"/>
          <w:sz w:val="22"/>
        </w:rPr>
        <w:t>Spectra from the written regions retained the principal vibrational features of the individual pesticides (Figure 3b). Thiram showed pronounced bands near 551 and 1364 inverse centimetres, thiabendazole was distinguished by bands near 780, 1011, and 1270 inverse centimetres, and diquat showed characteristic bands near 1174 and 1574 inverse centimetres. Comparison of six spectral regions revealed compound-specific multiband patterns rather than dependence on one isolated peak (Figure 3c).</w:t>
      </w:r>
    </w:p>
    <w:p>
      <w:r>
        <w:rPr>
          <w:rFonts w:ascii="Calibri" w:hAnsi="Calibri"/>
          <w:color w:val="000000"/>
          <w:sz w:val="22"/>
        </w:rPr>
        <w:t>Principal component analysis provided an unsupervised view of chemical separation (Figure 3d). The first and second principal components explained 36.8 and 33.5 percent of total variance, respectively, and separated the three pesticides from blank ink. A random forest classifier was then used as a conventional supervised benchmark. With [spatially or batch-separated] held-out data, the model achieved an accuracy of [value] and a macro-averaged F1 score of [value]. The single-component problem was therefore readily solvable without a specialized deep-learning architecture. This result also showed that subsequent mixture difficulty did not arise from intrinsically indistinguishable pure spectra.</w:t>
      </w:r>
    </w:p>
    <w:p>
      <w:pPr>
        <w:pStyle w:val="Heading2"/>
      </w:pPr>
      <w:r>
        <w:t>3.4. Concentration-Dependent Surface Competition Defines the Analytical Range of Ternary Mixtures</w:t>
      </w:r>
    </w:p>
    <w:p>
      <w:r>
        <w:rPr>
          <w:rFonts w:ascii="Calibri" w:hAnsi="Calibri"/>
          <w:color w:val="000000"/>
          <w:sz w:val="22"/>
        </w:rPr>
        <w:t>The analytical problem changed fundamentally when the pesticides were combined. In a mixture, the measured spectrum reflected not only concentrations prepared in solution but also compound-dependent Raman response, adsorption, competition for enhancing sites, and local substrate gain. The surface-visible spectrum was therefore not expected to remain directly proportional to solution composition.</w:t>
      </w:r>
    </w:p>
    <w:p>
      <w:r>
        <w:rPr>
          <w:rFonts w:ascii="Calibri" w:hAnsi="Calibri"/>
          <w:color w:val="000000"/>
          <w:sz w:val="22"/>
        </w:rPr>
        <w:t>Single-component calibration first established that the three pesticides entered this inverse problem with different response functions (Figure 4a). Fitted concentration-response curves produced coefficients of determination of 0.916 for diquat, 0.959 for thiabendazole, and 0.985 for thiram. The corresponding limits of detection were 1.56, 1.74, and 0.37 micromolar, respectively. The substantially lower detection limit of thiram was consistent with its strong contribution to mixed spectra.</w:t>
      </w:r>
    </w:p>
    <w:p>
      <w:r>
        <w:rPr>
          <w:rFonts w:ascii="Calibri" w:hAnsi="Calibri"/>
          <w:color w:val="000000"/>
          <w:sz w:val="22"/>
        </w:rPr>
        <w:t>Equimolar ternary mixtures directly demonstrated separation between prepared solution composition and surface spectral contribution (Figure 4b). At 10 micromolar per component, non-negative least-squares regression returned approximately 30 percent diquat, 23 percent thiabendazole, and 47 percent thiram. At [confirm 30 or 33] micromolar per component, corresponding values were approximately 18, 34, and 48 percent. At [confirm 100 and 300 or 333] micromolar per component, the reconstructed spectrum was assigned entirely to thiram despite equal solution concentrations. Once spectral evidence of diquat and thiabendazole approached zero, their original concentrations could not be recovered merely by increasing model complexity. The low-concentration range was therefore retained for model development, whereas the high-concentration series defined an out-of-domain information boundary.</w:t>
      </w:r>
    </w:p>
    <w:p>
      <w:r>
        <w:rPr>
          <w:rFonts w:ascii="Calibri" w:hAnsi="Calibri"/>
          <w:color w:val="000000"/>
          <w:sz w:val="22"/>
        </w:rPr>
        <w:t>Non-negative least-squares regression remained valuable because it transparently reported which pure-component signatures were visible at the surface. It did not, however, provide a general conversion from surface contribution to prepared composition. Figure 4c compared random forest regression, non-negative least-squares regression, a one-dimensional convolutional neural network, partial least-squares [confirm method], and a multilayer perceptron using binary and ternary mixtures. Error increased for ternary samples across the principal methods, demonstrating the additional information burden introduced by a third competing component. The multilayer perceptron produced the lowest overall error in the current comparison, motivating its use as a nonlinear inverse model. It was introduced because the measurements demonstrated reproducible departure from linear additivity, not merely because a more flexible algorithm was available.</w:t>
      </w:r>
    </w:p>
    <w:p>
      <w:r>
        <w:rPr>
          <w:rFonts w:ascii="Calibri" w:hAnsi="Calibri"/>
          <w:color w:val="000000"/>
          <w:sz w:val="22"/>
        </w:rPr>
        <w:t>Within the low-concentration factorial design, condition-held-out composition errors were mapped across the complete 3, 6, 12, and 24 micromolar concentration grid (Figure 4d). The error landscape was structured rather than random, with the most difficult regions associated with low diquat abundance and combinations dominated by more responsive pesticides. This pattern followed compound-dependent calibration and surface response rather than indicating uniform model failure.</w:t>
      </w:r>
    </w:p>
    <w:p>
      <w:r>
        <w:rPr>
          <w:rFonts w:ascii="Calibri" w:hAnsi="Calibri"/>
          <w:color w:val="000000"/>
          <w:sz w:val="22"/>
        </w:rPr>
        <w:t>Component-wise concentration estimates retained monotonic relationships with prepared values (Figure 4e). Median fold errors were 1.32 for thiram, 1.35 for thiabendazole, and 1.46 for diquat. Fractions within a factor of two were 85, 95, and 77 percent, respectively. The poorer diquat recovery remained consistent with its weaker mixture response. Because a factor-of-two interval is wider than the acceptance range of confirmatory residue analysis, these results support semiquantitative screening within the calibrated design rather than validated quantitative determination.</w:t>
      </w:r>
    </w:p>
    <w:p>
      <w:pPr>
        <w:pStyle w:val="Heading2"/>
      </w:pPr>
      <w:r>
        <w:t>3.5. Physics-Guided Learning Corrects Adsorption-Biased Spectra and Enables Spatial Mixture Reconstruction</w:t>
      </w:r>
    </w:p>
    <w:p>
      <w:r>
        <w:rPr>
          <w:rFonts w:ascii="Calibri" w:hAnsi="Calibri"/>
          <w:color w:val="000000"/>
          <w:sz w:val="22"/>
        </w:rPr>
        <w:t>Figure 5 shows how the nonlinear model improves mixture interpretation at the level of individual spectra and written maps. Two representative spectra were selected to illustrate chemically different error modes (Figure 5a,b). In the first example, the prepared composition contained approximately 57.14 percent diquat, 28.57 percent thiabendazole, and 14.29 percent thiram. Direct non-negative least-squares regression overestimated thiabendazole and underestimated diquat, producing a composition error of 28.9 percent. Incorporation of the learned physical correction shifted the estimate toward the prepared composition and reduced the error to 9.5 percent.</w:t>
      </w:r>
    </w:p>
    <w:p>
      <w:r>
        <w:rPr>
          <w:rFonts w:ascii="Calibri" w:hAnsi="Calibri"/>
          <w:color w:val="000000"/>
          <w:sz w:val="22"/>
        </w:rPr>
        <w:t>In the second example, the prepared mixture contained approximately 16.67 percent diquat, 66.67 percent thiabendazole, and 16.67 percent thiram. The corresponding error decreased from 10.69 percent after direct linear decomposition to 4.13 percent after physics-guided learning. These examples show that the correction is not a fixed rescaling of one dominant pesticide; its magnitude and direction depend on the full measured spectrum and mixture context.</w:t>
      </w:r>
    </w:p>
    <w:p>
      <w:r>
        <w:rPr>
          <w:rFonts w:ascii="Calibri" w:hAnsi="Calibri"/>
          <w:color w:val="000000"/>
          <w:sz w:val="22"/>
        </w:rPr>
        <w:t>The ternary diagrams summarized this improvement across composition space (Figure 5c). Direct non-negative least-squares regression showed pronounced drift away from prepared coordinates and strong compound-dependent recovery. Vertex recovery values were approximately 242 plus or minus 37 percent for thiram, 65 plus or minus 16 percent for thiabendazole, and 44 plus or minus 8 percent for diquat, with biases of plus 24.5, minus 10.2, and minus 14.4 percentage points, respectively. After physics-guided learning, recoveries moved to 117 plus or minus 6 percent for thiram, 129 plus or minus 9 percent for thiabendazole, and 120 plus or minus 7 percent for diquat. Corresponding biases decreased to minus 0.4, plus 2.6, and minus 2.2 percentage points. Remaining recoveries above 100 percent indicate that the inverse problem was not perfectly solved, but the marked reduction in directional bias demonstrates that the model learned a substantial portion of the reproducible surface-to-solution distortion.</w:t>
      </w:r>
    </w:p>
    <w:p>
      <w:r>
        <w:rPr>
          <w:rFonts w:ascii="Calibri" w:hAnsi="Calibri"/>
          <w:color w:val="000000"/>
          <w:sz w:val="22"/>
        </w:rPr>
        <w:t>Spatial maps provided a more stringent demonstration because each written location had to be assigned component-level information rather than only a map-averaged composition (Figure 5d). Direct non-negative least-squares maps were dominated by thiram and contained little visible thiabendazole or diquat contribution. After physics-guided correction, component-resolved maps recovered spatially distributed contributions while retaining the geometry of the written “SERS” pattern. The merged image therefore encoded both written shape and inferred local mixture composition.</w:t>
      </w:r>
    </w:p>
    <w:p>
      <w:r>
        <w:rPr>
          <w:rFonts w:ascii="Calibri" w:hAnsi="Calibri"/>
          <w:color w:val="000000"/>
          <w:sz w:val="22"/>
        </w:rPr>
        <w:t>Two representative written mixture patterns and their map-integrated compositions are shown in Figure 5e. One sample remained strongly thiram dominated, with 88.18 percent assigned to thiram and minor fractions of 7.90 and 3.92 percent assigned to the other components [verify diquat and thiabendazole order]. The second sample produced a more balanced reconstructed composition of 35.40 percent thiram, 29.47 percent thiabendazole, and 35.13 percent diquat [verify color correspondence]. These panels extend the mixture model from numerical regression to spatial chemical imaging.</w:t>
      </w:r>
    </w:p>
    <w:p>
      <w:r>
        <w:rPr>
          <w:rFonts w:ascii="Calibri" w:hAnsi="Calibri"/>
          <w:color w:val="000000"/>
          <w:sz w:val="22"/>
        </w:rPr>
        <w:t>The distinction between Figures 4 and 5 is important. Figure 4 establishes predictive performance across controlled concentration conditions, whereas Figure 5 demonstrates spectral correction and application to spatially encoded mixtures. The model is therefore described as a calibrated inverse mapping within the measured domain. It cannot reconstruct a pesticide whose spectral evidence has been completely removed by surface competition, as observed in the high-concentration stress series.</w:t>
      </w:r>
    </w:p>
    <w:p>
      <w:pPr>
        <w:pStyle w:val="Heading1"/>
      </w:pPr>
      <w:r>
        <w:t>Figure Captions</w:t>
      </w:r>
    </w:p>
    <w:p>
      <w:pPr>
        <w:pStyle w:val="Heading2"/>
      </w:pPr>
      <w:r>
        <w:t>Figure 1. Formation and Physicochemical Characterization of Protruded Gold Architectures on Cellulose Nanofibers</w:t>
      </w:r>
    </w:p>
    <w:p>
      <w:pPr>
        <w:pStyle w:val="Caption"/>
      </w:pPr>
      <w:r>
        <w:rPr>
          <w:rFonts w:ascii="Calibri" w:hAnsi="Calibri"/>
          <w:color w:val="000000"/>
          <w:sz w:val="20"/>
        </w:rPr>
        <w:t>(a) Proposed formation mechanism involving gold-ion adsorption, hydroxylamine-directed interfacial reduction, nucleation, and outward growth of protruded gold architectures. (b) Scanning electron microscopy images of composites prepared at increasing hydroxylamine concentrations. Scale bars, [values]. (c) Optical photographs and extinction spectra showing hydroxylamine-dependent evolution. (d) X-ray diffraction pattern of the optimized composite, with reflections assigned to face-centered-cubic gold. (e) Transmission electron microscopy image and elemental maps of gold, carbon, oxygen, and nitrogen. (f) High-resolution gold 4f, carbon 1s, and oxygen 1s X-ray photoelectron spectra. (g) Fourier transform infrared spectra of material controls and the final composite.</w:t>
      </w:r>
    </w:p>
    <w:p>
      <w:pPr>
        <w:pStyle w:val="Heading2"/>
      </w:pPr>
      <w:r>
        <w:t>Figure 2. Rheological Processability, Electromagnetic Enhancement, and Analytical Performance of Gold-Cellulose Nanofiber Ink</w:t>
      </w:r>
    </w:p>
    <w:p>
      <w:pPr>
        <w:pStyle w:val="Caption"/>
      </w:pPr>
      <w:r>
        <w:rPr>
          <w:rFonts w:ascii="Calibri" w:hAnsi="Calibri"/>
          <w:color w:val="000000"/>
          <w:sz w:val="20"/>
        </w:rPr>
        <w:t>(a) Schematic of the ink network at rest, during writing-induced shear, and after shear removal. (b) Steady-shear viscosity of control and optimized formulations. (c) Storage and loss moduli within the specified oscillatory test. (d) Three-interval thixotropy test showing disruption and recovery. (e) Written-line fidelity and quantitative spreading analysis. (f) Simulated electric-field distribution around protruded gold clusters under 785-nanometre excitation and wavelength-dependent enhancement. (g) Concentration-dependent surface-enhanced Raman spectra of malachite green. (h) Calibration curve. (i) Raman map over [area], with a within-map relative standard deviation of 10.8 percent. Panel order should be finalized after rheological measurements.</w:t>
      </w:r>
    </w:p>
    <w:p>
      <w:pPr>
        <w:pStyle w:val="Heading2"/>
      </w:pPr>
      <w:r>
        <w:t>Figure 3. Spatially Resolved Identification of Pesticide-Containing Surface-Enhanced Raman Scattering Inks</w:t>
      </w:r>
    </w:p>
    <w:p>
      <w:pPr>
        <w:pStyle w:val="Caption"/>
      </w:pPr>
      <w:r>
        <w:rPr>
          <w:rFonts w:ascii="Calibri" w:hAnsi="Calibri"/>
          <w:color w:val="000000"/>
          <w:sz w:val="20"/>
        </w:rPr>
        <w:t>(a) Optical photographs and compound-selective Raman maps of patterns written using thiram, thiabendazole, and diquat inks. Maps were reconstructed at 1370, 1270, and 1570 inverse centimetres, respectively. Scale bars, [value]. (b) Representative spectra acquired from written regions. Asterisks indicate characteristic pesticide bands. (c) Normalized intensities at six discriminating Raman shifts for blank ink, thiram, thiabendazole, and diquat. Boxes indicate [definition], and whiskers indicate [definition]. (d) Principal component projection of pixel spectra. The first and second principal components account for 36.8 and 33.5 percent of total variance, respectively. Ellipses indicate [definition].</w:t>
      </w:r>
    </w:p>
    <w:p>
      <w:pPr>
        <w:pStyle w:val="Heading2"/>
      </w:pPr>
      <w:r>
        <w:t>Figure 4. Quantitative Evaluation of Linear and Learned Approaches for Ternary Pesticide Mixtures</w:t>
      </w:r>
    </w:p>
    <w:p>
      <w:pPr>
        <w:pStyle w:val="Caption"/>
      </w:pPr>
      <w:r>
        <w:rPr>
          <w:rFonts w:ascii="Calibri" w:hAnsi="Calibri"/>
          <w:color w:val="000000"/>
          <w:sz w:val="20"/>
        </w:rPr>
        <w:t>(a) Single-component concentration-response curves for diquat, thiabendazole, and thiram. Fitted curves yielded coefficients of determination of 0.916, 0.959, and 0.985 and limits of detection of 1.56, 1.74, and 0.37 micromolar, respectively. (b) Apparent surface compositions returned by non-negative least-squares regression for equimolar ternary mixtures containing [confirm concentrations] of each component. Dashed lines indicate prepared equal composition. (c) Composition errors of random forest regression, non-negative least-squares regression, a one-dimensional convolutional neural network, partial least-squares [confirm method], and a multilayer perceptron for binary and ternary mixtures and their combined means. Bars and error bars indicate [definition]. (d) Condition-held-out composition-error maps for the full factorial design containing 3, 6, 12, and 24 micromolar of each component. Each panel represents one fixed diquat concentration, while axes show thiram and thiabendazole concentrations. (e) Estimated versus prepared concentrations of thiram, thiabendazole, and diquat. Solid lines indicate equality, and dashed lines indicate factors of two [confirm]. Median fold errors were 1.32, 1.35, and 1.46, with 85, 95, and 77 percent of estimates within a factor of two, respectively.</w:t>
      </w:r>
    </w:p>
    <w:p>
      <w:pPr>
        <w:pStyle w:val="Heading2"/>
      </w:pPr>
      <w:r>
        <w:t>Figure 5. Physics-Guided Correction and Spatial Reconstruction of Written Ternary Mixtures</w:t>
      </w:r>
    </w:p>
    <w:p>
      <w:r>
        <w:rPr>
          <w:rFonts w:ascii="Calibri" w:hAnsi="Calibri"/>
          <w:color w:val="000000"/>
          <w:sz w:val="22"/>
        </w:rPr>
        <w:t>(a,b) Representative mixture spectra and comparison of prepared composition, direct non-negative least-squares estimate, and physics-guided multilayer-perceptron estimate. Colored markers indicate selected compound-associated bands. Composition error decreased from 28.9 to 9.5 percent in (a) and from 10.69 to 4.13 percent in (b). (c) Ternary recovery diagrams obtained by direct non-negative least-squares regression and physics-guided learning, together with component-wise recovery and bias. Arrows connect prepared and estimated compositions. (d) Merged and component-resolved maps of a written “SERS” mixture obtained by direct non-negative least-squares regression and physics-guided learning. (e) Representative written mixture images and map-integrated composition charts. Scale bars, [value]. Component-color assignments and prepared compositions must be stated in the final caption.</w:t>
      </w:r>
    </w:p>
    <w:p>
      <w:pPr>
        <w:pStyle w:val="Heading1"/>
      </w:pPr>
      <w:r>
        <w:t>Items Requiring Confirmation Before Submission</w:t>
      </w:r>
    </w:p>
    <w:p>
      <w:pPr>
        <w:pStyle w:val="ListNumber"/>
      </w:pPr>
      <w:r>
        <w:rPr>
          <w:rFonts w:ascii="Calibri" w:hAnsi="Calibri"/>
          <w:color w:val="000000"/>
          <w:sz w:val="22"/>
        </w:rPr>
        <w:t>Insert exact synthesis, washing, solid-content, writing, and instrument conditions from laboratory records.</w:t>
      </w:r>
    </w:p>
    <w:p>
      <w:pPr>
        <w:pStyle w:val="ListNumber"/>
      </w:pPr>
      <w:r>
        <w:rPr>
          <w:rFonts w:ascii="Calibri" w:hAnsi="Calibri"/>
          <w:color w:val="000000"/>
          <w:sz w:val="22"/>
        </w:rPr>
        <w:t>Quantify microscopy across independent synthesis batches.</w:t>
      </w:r>
    </w:p>
    <w:p>
      <w:pPr>
        <w:pStyle w:val="ListNumber"/>
      </w:pPr>
      <w:r>
        <w:rPr>
          <w:rFonts w:ascii="Calibri" w:hAnsi="Calibri"/>
          <w:color w:val="000000"/>
          <w:sz w:val="22"/>
        </w:rPr>
        <w:t>Complete the required controls before interpreting surface and infrared spectra.</w:t>
      </w:r>
    </w:p>
    <w:p>
      <w:pPr>
        <w:pStyle w:val="ListNumber"/>
      </w:pPr>
      <w:r>
        <w:rPr>
          <w:rFonts w:ascii="Calibri" w:hAnsi="Calibri"/>
          <w:color w:val="000000"/>
          <w:sz w:val="22"/>
        </w:rPr>
        <w:t>Demonstrate time-dependent recovery before using the term thixotropic.</w:t>
      </w:r>
    </w:p>
    <w:p>
      <w:pPr>
        <w:pStyle w:val="ListNumber"/>
      </w:pPr>
      <w:r>
        <w:rPr>
          <w:rFonts w:ascii="Calibri" w:hAnsi="Calibri"/>
          <w:color w:val="000000"/>
          <w:sz w:val="22"/>
        </w:rPr>
        <w:t>Relate rheology to measured line width, spreading, and shape retention.</w:t>
      </w:r>
    </w:p>
    <w:p>
      <w:pPr>
        <w:pStyle w:val="ListNumber"/>
      </w:pPr>
      <w:r>
        <w:rPr>
          <w:rFonts w:ascii="Calibri" w:hAnsi="Calibri"/>
          <w:color w:val="000000"/>
          <w:sz w:val="22"/>
        </w:rPr>
        <w:t>Report between-substrate as well as within-map Raman variability.</w:t>
      </w:r>
    </w:p>
    <w:p>
      <w:pPr>
        <w:pStyle w:val="ListNumber"/>
      </w:pPr>
      <w:r>
        <w:rPr>
          <w:rFonts w:ascii="Calibri" w:hAnsi="Calibri"/>
          <w:color w:val="000000"/>
          <w:sz w:val="22"/>
        </w:rPr>
        <w:t>Insert final spatially or batch-held-out random forest performance.</w:t>
      </w:r>
    </w:p>
    <w:p>
      <w:pPr>
        <w:pStyle w:val="ListNumber"/>
      </w:pPr>
      <w:r>
        <w:rPr>
          <w:rFonts w:ascii="Calibri" w:hAnsi="Calibri"/>
          <w:color w:val="000000"/>
          <w:sz w:val="22"/>
        </w:rPr>
        <w:t>Confirm whether equimolar concentrations are 10, 30, 100, and 300 micromolar or 10, 33, 100, and 333 micromolar.</w:t>
      </w:r>
    </w:p>
    <w:p>
      <w:pPr>
        <w:pStyle w:val="ListNumber"/>
      </w:pPr>
      <w:r>
        <w:rPr>
          <w:rFonts w:ascii="Calibri" w:hAnsi="Calibri"/>
          <w:color w:val="000000"/>
          <w:sz w:val="22"/>
        </w:rPr>
        <w:t>Define all bars and error bars in Figure 4c and confirm the partial least-squares method.</w:t>
      </w:r>
    </w:p>
    <w:p>
      <w:pPr>
        <w:pStyle w:val="ListNumber"/>
      </w:pPr>
      <w:r>
        <w:rPr>
          <w:rFonts w:ascii="Calibri" w:hAnsi="Calibri"/>
          <w:color w:val="000000"/>
          <w:sz w:val="22"/>
        </w:rPr>
        <w:t>Verify every component-color assignment in Figure 5.</w:t>
      </w:r>
    </w:p>
    <w:p>
      <w:pPr>
        <w:pStyle w:val="ListNumber"/>
      </w:pPr>
      <w:r>
        <w:rPr>
          <w:rFonts w:ascii="Calibri" w:hAnsi="Calibri"/>
          <w:color w:val="000000"/>
          <w:sz w:val="22"/>
        </w:rPr>
        <w:t>State whether Figure 5 maps are held-out predictions or results from a model fitted using those samples.</w:t>
      </w:r>
    </w:p>
    <w:p>
      <w:pPr>
        <w:pStyle w:val="ListNumber"/>
      </w:pPr>
      <w:r>
        <w:rPr>
          <w:rFonts w:ascii="Calibri" w:hAnsi="Calibri"/>
          <w:color w:val="000000"/>
          <w:sz w:val="22"/>
        </w:rPr>
        <w:t>Regenerate all Figure 4 and Figure 5 annotations from one locked prediction table.</w:t>
      </w:r>
    </w:p>
    <w:p>
      <w:pPr>
        <w:pStyle w:val="ListNumber"/>
      </w:pPr>
      <w:r>
        <w:rPr>
          <w:rFonts w:ascii="Calibri" w:hAnsi="Calibri"/>
          <w:color w:val="000000"/>
          <w:sz w:val="22"/>
        </w:rPr>
        <w:t>Use independent maps or preparations, not pixels, as the unit for uncertainty estimates.</w:t>
      </w:r>
    </w:p>
    <w:p>
      <w:pPr>
        <w:pStyle w:val="ListNumber"/>
      </w:pPr>
      <w:r>
        <w:rPr>
          <w:rFonts w:ascii="Calibri" w:hAnsi="Calibri"/>
          <w:color w:val="000000"/>
          <w:sz w:val="22"/>
        </w:rPr>
        <w:t>Retain high-concentration collapse as an information boundary rather than presenting extrapolation as successful recovery.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26C"/>
        <w:sz w:val="17"/>
      </w:rPr>
      <w:t>RESEARCH ARTICLE DRAFT  |  FIGURES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both"/>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20" w:after="16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Physics-Guided Interpretation of Spatially Written Plasmonic Inks for Nonlinear Pesticide Mixture Analysis</dc:title>
  <dc:subject>Advanced Science manuscript working draft, Figures 1-5</dc:subject>
  <dc:creator/>
  <cp:keywords>surface-enhanced Raman scattering; cellulose nanofiber; pesticide mixture; physics-guided learning</cp:keywords>
  <dc:description>Generated from the integrated Markdown draft for author review.</dc:description>
  <cp:lastModifiedBy/>
  <cp:revision>1</cp:revision>
  <dcterms:created xsi:type="dcterms:W3CDTF">2013-12-23T23:15:00Z</dcterms:created>
  <dcterms:modified xsi:type="dcterms:W3CDTF">2013-12-23T23:15:00Z</dcterms:modified>
  <cp:category/>
</cp:coreProperties>
</file>