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Yu Gothic" w:hAnsi="Yu Gothic" w:eastAsia="Yu Gothic"/>
          <w:b/>
          <w:color w:val="111827"/>
          <w:sz w:val="44"/>
        </w:rPr>
        <w:t>YAMAGEN 生産管理システム 現行仕様書</w:t>
      </w:r>
    </w:p>
    <w:p>
      <w:pPr>
        <w:spacing w:after="320"/>
        <w:jc w:val="center"/>
      </w:pPr>
      <w:r>
        <w:rPr>
          <w:rFonts w:ascii="Yu Gothic" w:hAnsi="Yu Gothic" w:eastAsia="Yu Gothic"/>
          <w:color w:val="475569"/>
          <w:sz w:val="21"/>
        </w:rPr>
        <w:t>作成日: 2026年7月23日 / 対象: 一通りの実装完了時点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997"/>
        <w:gridCol w:w="4997"/>
      </w:tblGrid>
      <w:tr>
        <w:tc>
          <w:tcPr>
            <w:tcW w:type="dxa" w:w="2200"/>
            <w:shd w:fill="F2F4F7"/>
            <w:vAlign w:val="center"/>
          </w:tcPr>
          <w:p>
            <w:r>
              <w:rPr>
                <w:rFonts w:ascii="Yu Gothic" w:hAnsi="Yu Gothic" w:eastAsia="Yu Gothic"/>
                <w:sz w:val="19"/>
              </w:rPr>
              <w:t>文書区分</w:t>
            </w:r>
          </w:p>
        </w:tc>
        <w:tc>
          <w:tcPr>
            <w:tcW w:type="dxa" w:w="7160"/>
            <w:vAlign w:val="center"/>
          </w:tcPr>
          <w:p>
            <w:r>
              <w:rPr>
                <w:rFonts w:ascii="Yu Gothic" w:hAnsi="Yu Gothic" w:eastAsia="Yu Gothic"/>
                <w:sz w:val="19"/>
              </w:rPr>
              <w:t>現行仕様書</w:t>
            </w:r>
          </w:p>
        </w:tc>
      </w:tr>
      <w:tr>
        <w:tc>
          <w:tcPr>
            <w:tcW w:type="dxa" w:w="2200"/>
            <w:shd w:fill="F2F4F7"/>
            <w:vAlign w:val="center"/>
          </w:tcPr>
          <w:p>
            <w:r>
              <w:rPr>
                <w:rFonts w:ascii="Yu Gothic" w:hAnsi="Yu Gothic" w:eastAsia="Yu Gothic"/>
                <w:sz w:val="19"/>
              </w:rPr>
              <w:t>対象システム</w:t>
            </w:r>
          </w:p>
        </w:tc>
        <w:tc>
          <w:tcPr>
            <w:tcW w:type="dxa" w:w="7160"/>
            <w:vAlign w:val="center"/>
          </w:tcPr>
          <w:p>
            <w:r>
              <w:rPr>
                <w:rFonts w:ascii="Yu Gothic" w:hAnsi="Yu Gothic" w:eastAsia="Yu Gothic"/>
                <w:sz w:val="19"/>
              </w:rPr>
              <w:t>YAMAGEN 生産管理システム</w:t>
            </w:r>
          </w:p>
        </w:tc>
      </w:tr>
      <w:tr>
        <w:tc>
          <w:tcPr>
            <w:tcW w:type="dxa" w:w="2200"/>
            <w:shd w:fill="F2F4F7"/>
            <w:vAlign w:val="center"/>
          </w:tcPr>
          <w:p>
            <w:r>
              <w:rPr>
                <w:rFonts w:ascii="Yu Gothic" w:hAnsi="Yu Gothic" w:eastAsia="Yu Gothic"/>
                <w:sz w:val="19"/>
              </w:rPr>
              <w:t>対象範囲</w:t>
            </w:r>
          </w:p>
        </w:tc>
        <w:tc>
          <w:tcPr>
            <w:tcW w:type="dxa" w:w="7160"/>
            <w:vAlign w:val="center"/>
          </w:tcPr>
          <w:p>
            <w:r>
              <w:rPr>
                <w:rFonts w:ascii="Yu Gothic" w:hAnsi="Yu Gothic" w:eastAsia="Yu Gothic"/>
                <w:sz w:val="19"/>
              </w:rPr>
              <w:t>受注、工程、予定、実績、計量、梱包、在庫、外注、出荷、ロット、各種マスタ</w:t>
            </w:r>
          </w:p>
        </w:tc>
      </w:tr>
      <w:tr>
        <w:tc>
          <w:tcPr>
            <w:tcW w:type="dxa" w:w="2200"/>
            <w:shd w:fill="F2F4F7"/>
            <w:vAlign w:val="center"/>
          </w:tcPr>
          <w:p>
            <w:r>
              <w:rPr>
                <w:rFonts w:ascii="Yu Gothic" w:hAnsi="Yu Gothic" w:eastAsia="Yu Gothic"/>
                <w:sz w:val="19"/>
              </w:rPr>
              <w:t>補足</w:t>
            </w:r>
          </w:p>
        </w:tc>
        <w:tc>
          <w:tcPr>
            <w:tcW w:type="dxa" w:w="7160"/>
            <w:vAlign w:val="center"/>
          </w:tcPr>
          <w:p>
            <w:r>
              <w:rPr>
                <w:rFonts w:ascii="Yu Gothic" w:hAnsi="Yu Gothic" w:eastAsia="Yu Gothic"/>
                <w:sz w:val="19"/>
              </w:rPr>
              <w:t>ロット管理は再設計後の運用を反映済み。ただし実運用での数量補正・材料管理拡張は継続改善対象。</w:t>
            </w:r>
          </w:p>
        </w:tc>
      </w:tr>
    </w:tbl>
    <w:p>
      <w:pPr>
        <w:pStyle w:val="Heading1"/>
      </w:pPr>
      <w:r>
        <w:t>1. システム概要</w:t>
      </w:r>
    </w:p>
    <w:p>
      <w:r>
        <w:t>本システムは、社内の受注登録から工程管理、生産予定、現場実績、計量、梱包後在庫、在庫引当、出荷、ロット追跡までを一元管理するWebアプリケーションである。作業対象の基準は有効な注残とし、削除済み、最終工程完了済み、または全数出荷済みの注残は作業画面から除外する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994"/>
      </w:tblGrid>
      <w:tr>
        <w:tc>
          <w:tcPr>
            <w:tcW w:type="dxa" w:w="9994"/>
            <w:shd w:fill="EEF5FF"/>
          </w:tcPr>
          <w:p>
            <w:r>
              <w:rPr>
                <w:rFonts w:ascii="Yu Gothic" w:hAnsi="Yu Gothic" w:eastAsia="Yu Gothic"/>
                <w:b/>
                <w:color w:val="1F4D78"/>
                <w:sz w:val="20"/>
              </w:rPr>
              <w:t>運用上の基本方針</w:t>
            </w:r>
            <w:r>
              <w:br/>
            </w:r>
            <w:r>
              <w:rPr>
                <w:rFonts w:ascii="Yu Gothic" w:hAnsi="Yu Gothic" w:eastAsia="Yu Gothic"/>
                <w:sz w:val="19"/>
              </w:rPr>
              <w:t>注番単位で工程進捗を管理し、計量以降はロット単位で追跡する。梱包前には必ず計量工程を通す。梱包実績登録時に在庫へ反映する。</w:t>
            </w:r>
          </w:p>
        </w:tc>
      </w:tr>
    </w:tbl>
    <w:p>
      <w:pPr>
        <w:pStyle w:val="Heading1"/>
      </w:pPr>
      <w:r>
        <w:t>2. 利用画面一覧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00"/>
            <w:shd w:fill="E8EEF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8"/>
              </w:rPr>
              <w:t>画面</w:t>
            </w:r>
          </w:p>
        </w:tc>
        <w:tc>
          <w:tcPr>
            <w:tcW w:type="dxa" w:w="1700"/>
            <w:shd w:fill="E8EEF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8"/>
              </w:rPr>
              <w:t>パス</w:t>
            </w:r>
          </w:p>
        </w:tc>
        <w:tc>
          <w:tcPr>
            <w:tcW w:type="dxa" w:w="5960"/>
            <w:shd w:fill="E8EEF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8"/>
              </w:rPr>
              <w:t>主な役割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受注登録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/create</w:t>
            </w:r>
          </w:p>
        </w:tc>
        <w:tc>
          <w:tcPr>
            <w:tcW w:type="dxa" w:w="59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注番、製品、得意先、数量、納期を登録し、製品工程マスタから受注別工程を作成する。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注残管理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/orders</w:t>
            </w:r>
          </w:p>
        </w:tc>
        <w:tc>
          <w:tcPr>
            <w:tcW w:type="dxa" w:w="59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有効注残の確認、在庫引当、注残削除、進捗確認への導線を提供する。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進捗管理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/reservation, /progress/[id]</w:t>
            </w:r>
          </w:p>
        </w:tc>
        <w:tc>
          <w:tcPr>
            <w:tcW w:type="dxa" w:w="59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注番一覧、工程進捗、ガントチャート、材料情報、AI補正後の完了予測を表示する。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デイリー生産予定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/productionSchedules</w:t>
            </w:r>
          </w:p>
        </w:tc>
        <w:tc>
          <w:tcPr>
            <w:tcW w:type="dxa" w:w="59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日別の生産予定を作成・編集・削除する。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現場実績登録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/productionResults</w:t>
            </w:r>
          </w:p>
        </w:tc>
        <w:tc>
          <w:tcPr>
            <w:tcW w:type="dxa" w:w="59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製造、洗浄、検査、外注戻り、梱包などの工程実績を登録する。計量工程は専用画面へ誘導する。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計量登録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/manufacturing</w:t>
            </w:r>
          </w:p>
        </w:tc>
        <w:tc>
          <w:tcPr>
            <w:tcW w:type="dxa" w:w="59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計量実績を登録し、ロットNoを発行する。材料ロット違いは別ロットとして扱う。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計量表出力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/weighingReport</w:t>
            </w:r>
          </w:p>
        </w:tc>
        <w:tc>
          <w:tcPr>
            <w:tcW w:type="dxa" w:w="59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選択した計量実績のみを出力対象にする。履歴画面へ遷移できる。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計量履歴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/weighingHistory</w:t>
            </w:r>
          </w:p>
        </w:tc>
        <w:tc>
          <w:tcPr>
            <w:tcW w:type="dxa" w:w="59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計量履歴を確認し、不要な履歴を削除する。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外注管理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/outsourcing</w:t>
            </w:r>
          </w:p>
        </w:tc>
        <w:tc>
          <w:tcPr>
            <w:tcW w:type="dxa" w:w="59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外注工程の状態、外注日程、メモを管理する。横スクロール・ドラッグスクロールに対応する。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ロット管理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/lots</w:t>
            </w:r>
          </w:p>
        </w:tc>
        <w:tc>
          <w:tcPr>
            <w:tcW w:type="dxa" w:w="59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ロットNo、材料ロット、注番、製品、計量数、梱包数、在庫数、引当数、出荷数を確認する。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ロット履歴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/lots/[id]</w:t>
            </w:r>
          </w:p>
        </w:tc>
        <w:tc>
          <w:tcPr>
            <w:tcW w:type="dxa" w:w="59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ロット基本情報と、工程・計量・梱包・在庫・引当・出荷の時系列履歴を表示する。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削除済みロット一覧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/lots/deleted</w:t>
            </w:r>
          </w:p>
        </w:tc>
        <w:tc>
          <w:tcPr>
            <w:tcW w:type="dxa" w:w="59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削除済みロットの復元または完全削除を行う。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出荷管理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/shipping</w:t>
            </w:r>
          </w:p>
        </w:tc>
        <w:tc>
          <w:tcPr>
            <w:tcW w:type="dxa" w:w="59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引当済み在庫から出荷登録し、出荷後に注残の表示対象を更新する。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設定・マスタ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/settings, /masterSettings</w:t>
            </w:r>
          </w:p>
        </w:tc>
        <w:tc>
          <w:tcPr>
            <w:tcW w:type="dxa" w:w="59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ユーザー、工程、休日、得意先、製品、外注先、製品工程、材料、在庫、ライン能力、AI予測を管理する。</w:t>
            </w:r>
          </w:p>
        </w:tc>
      </w:tr>
    </w:tbl>
    <w:p>
      <w:pPr>
        <w:pStyle w:val="Heading1"/>
      </w:pPr>
      <w:r>
        <w:t>3. 業務フロー</w:t>
      </w:r>
    </w:p>
    <w:p>
      <w:pPr>
        <w:pStyle w:val="ListNumber"/>
        <w:spacing w:after="60"/>
      </w:pPr>
      <w:r>
        <w:rPr>
          <w:rFonts w:ascii="Yu Gothic" w:hAnsi="Yu Gothic" w:eastAsia="Yu Gothic"/>
          <w:sz w:val="20"/>
        </w:rPr>
        <w:t>製品マスタ、得意先マスタ、工程マスタ、製品工程マスタ、必要に応じて材料マスタ・休日マスタ・ライン能力設定を登録する。</w:t>
      </w:r>
    </w:p>
    <w:p>
      <w:pPr>
        <w:pStyle w:val="ListNumber"/>
        <w:spacing w:after="60"/>
      </w:pPr>
      <w:r>
        <w:rPr>
          <w:rFonts w:ascii="Yu Gothic" w:hAnsi="Yu Gothic" w:eastAsia="Yu Gothic"/>
          <w:sz w:val="20"/>
        </w:rPr>
        <w:t>受注登録画面で注番を登録する。登録時に製品工程マスタをもとに受注別工程を自動作成する。</w:t>
      </w:r>
    </w:p>
    <w:p>
      <w:pPr>
        <w:pStyle w:val="ListNumber"/>
        <w:spacing w:after="60"/>
      </w:pPr>
      <w:r>
        <w:rPr>
          <w:rFonts w:ascii="Yu Gothic" w:hAnsi="Yu Gothic" w:eastAsia="Yu Gothic"/>
          <w:sz w:val="20"/>
        </w:rPr>
        <w:t>生産予定画面で有効注残をもとに日別予定を管理する。</w:t>
      </w:r>
    </w:p>
    <w:p>
      <w:pPr>
        <w:pStyle w:val="ListNumber"/>
        <w:spacing w:after="60"/>
      </w:pPr>
      <w:r>
        <w:rPr>
          <w:rFonts w:ascii="Yu Gothic" w:hAnsi="Yu Gothic" w:eastAsia="Yu Gothic"/>
          <w:sz w:val="20"/>
        </w:rPr>
        <w:t>現場実績登録画面で各工程の実績を登録する。前工程実績を基準に登録可能数量を制御する。</w:t>
      </w:r>
    </w:p>
    <w:p>
      <w:pPr>
        <w:pStyle w:val="ListNumber"/>
        <w:spacing w:after="60"/>
      </w:pPr>
      <w:r>
        <w:rPr>
          <w:rFonts w:ascii="Yu Gothic" w:hAnsi="Yu Gothic" w:eastAsia="Yu Gothic"/>
          <w:sz w:val="20"/>
        </w:rPr>
        <w:t>計量工程では計量登録画面で実績を登録し、ロットNoを発行する。材料ロットが変わる場合は複数ロットを作成する。</w:t>
      </w:r>
    </w:p>
    <w:p>
      <w:pPr>
        <w:pStyle w:val="ListNumber"/>
        <w:spacing w:after="60"/>
      </w:pPr>
      <w:r>
        <w:rPr>
          <w:rFonts w:ascii="Yu Gothic" w:hAnsi="Yu Gothic" w:eastAsia="Yu Gothic"/>
          <w:sz w:val="20"/>
        </w:rPr>
        <w:t>梱包工程ではロットを選択して梱包実績を登録し、梱包数を在庫へ反映する。</w:t>
      </w:r>
    </w:p>
    <w:p>
      <w:pPr>
        <w:pStyle w:val="ListNumber"/>
        <w:spacing w:after="60"/>
      </w:pPr>
      <w:r>
        <w:rPr>
          <w:rFonts w:ascii="Yu Gothic" w:hAnsi="Yu Gothic" w:eastAsia="Yu Gothic"/>
          <w:sz w:val="20"/>
        </w:rPr>
        <w:t>注残管理で在庫引当を行い、出荷管理で出荷登録する。</w:t>
      </w:r>
    </w:p>
    <w:p>
      <w:pPr>
        <w:pStyle w:val="ListNumber"/>
        <w:spacing w:after="60"/>
      </w:pPr>
      <w:r>
        <w:rPr>
          <w:rFonts w:ascii="Yu Gothic" w:hAnsi="Yu Gothic" w:eastAsia="Yu Gothic"/>
          <w:sz w:val="20"/>
        </w:rPr>
        <w:t>ロット管理とロット履歴で、指定ロットがいつ、どの工程を通り、どれだけ在庫化・出荷されたかを確認する。</w:t>
      </w:r>
    </w:p>
    <w:p>
      <w:pPr>
        <w:pStyle w:val="Heading1"/>
      </w:pPr>
      <w:r>
        <w:t>4. 主要業務ルール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997"/>
        <w:gridCol w:w="4997"/>
      </w:tblGrid>
      <w:tr>
        <w:trPr>
          <w:tblHeader w:val="true"/>
        </w:trPr>
        <w:tc>
          <w:tcPr>
            <w:tcW w:type="dxa" w:w="2200"/>
            <w:shd w:fill="E8EEF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8"/>
              </w:rPr>
              <w:t>分類</w:t>
            </w:r>
          </w:p>
        </w:tc>
        <w:tc>
          <w:tcPr>
            <w:tcW w:type="dxa" w:w="7160"/>
            <w:shd w:fill="E8EEF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8"/>
              </w:rPr>
              <w:t>ルール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注残</w:t>
            </w:r>
          </w:p>
        </w:tc>
        <w:tc>
          <w:tcPr>
            <w:tcW w:type="dxa" w:w="71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作業画面は有効注残のみを対象にする。削除済み、最終工程完了済み、全数出荷済みは一覧から除外する。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工程順</w:t>
            </w:r>
          </w:p>
        </w:tc>
        <w:tc>
          <w:tcPr>
            <w:tcW w:type="dxa" w:w="71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受注別工程は工程順を1から連番に正規化し、重複を許可しない。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計量</w:t>
            </w:r>
          </w:p>
        </w:tc>
        <w:tc>
          <w:tcPr>
            <w:tcW w:type="dxa" w:w="71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梱包前には必ず計量工程を入れる。計量登録時にロットNoを発行する。計量のみでは在庫は増えない。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梱包</w:t>
            </w:r>
          </w:p>
        </w:tc>
        <w:tc>
          <w:tcPr>
            <w:tcW w:type="dxa" w:w="71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梱包工程はロットNoと計量済み数量を基準に登録する。梱包実績登録時に在庫を増やす。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超過生産</w:t>
            </w:r>
          </w:p>
        </w:tc>
        <w:tc>
          <w:tcPr>
            <w:tcW w:type="dxa" w:w="71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製造などの初工程から実績数量として超過生産を許可する。後工程は前工程実績数を上限とする。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外注</w:t>
            </w:r>
          </w:p>
        </w:tc>
        <w:tc>
          <w:tcPr>
            <w:tcW w:type="dxa" w:w="71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外注工程は外注先、発送日、返却予定日、返却実績日、状態、メモを管理する。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出荷</w:t>
            </w:r>
          </w:p>
        </w:tc>
        <w:tc>
          <w:tcPr>
            <w:tcW w:type="dxa" w:w="71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出荷数量は注残数、引当数、在庫数を超えない。出荷後は在庫・引当・注残表示を更新する。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削除</w:t>
            </w:r>
          </w:p>
        </w:tc>
        <w:tc>
          <w:tcPr>
            <w:tcW w:type="dxa" w:w="71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注残削除は関連作業データを整理し、作業画面から除外する。ロット削除は削除済み一覧を経由し、必要時のみ完全削除する。</w:t>
            </w:r>
          </w:p>
        </w:tc>
      </w:tr>
    </w:tbl>
    <w:p>
      <w:pPr>
        <w:pStyle w:val="Heading1"/>
      </w:pPr>
      <w:r>
        <w:t>5. ガントチャート・AI予測仕様</w:t>
      </w:r>
    </w:p>
    <w:p>
      <w:pPr>
        <w:pStyle w:val="ListBullet"/>
        <w:spacing w:after="60"/>
      </w:pPr>
      <w:r>
        <w:rPr>
          <w:rFonts w:ascii="Yu Gothic" w:hAnsi="Yu Gothic" w:eastAsia="Yu Gothic"/>
          <w:sz w:val="20"/>
        </w:rPr>
        <w:t>ガントチャートは実績済み工程と残工程の完了日予測を表示する。</w:t>
      </w:r>
    </w:p>
    <w:p>
      <w:pPr>
        <w:pStyle w:val="ListBullet"/>
        <w:spacing w:after="60"/>
      </w:pPr>
      <w:r>
        <w:rPr>
          <w:rFonts w:ascii="Yu Gothic" w:hAnsi="Yu Gothic" w:eastAsia="Yu Gothic"/>
          <w:sz w:val="20"/>
        </w:rPr>
        <w:t>青線は今日の日付、赤線は出荷日を示す。</w:t>
      </w:r>
    </w:p>
    <w:p>
      <w:pPr>
        <w:pStyle w:val="ListBullet"/>
        <w:spacing w:after="60"/>
      </w:pPr>
      <w:r>
        <w:rPr>
          <w:rFonts w:ascii="Yu Gothic" w:hAnsi="Yu Gothic" w:eastAsia="Yu Gothic"/>
          <w:sz w:val="20"/>
        </w:rPr>
        <w:t>予測には工程マスタの日数、休日マスタ、ライン能力設定、実績、現在の遅れ、外注工程、工程ごとの平均遅延を利用できる。</w:t>
      </w:r>
    </w:p>
    <w:p>
      <w:pPr>
        <w:pStyle w:val="ListBullet"/>
        <w:spacing w:after="60"/>
      </w:pPr>
      <w:r>
        <w:rPr>
          <w:rFonts w:ascii="Yu Gothic" w:hAnsi="Yu Gothic" w:eastAsia="Yu Gothic"/>
          <w:sz w:val="20"/>
        </w:rPr>
        <w:t>AI予測設定は全体共通設定であり、外注遅延・出荷遅延・ライン負荷を予測対象として選択できる。</w:t>
      </w:r>
    </w:p>
    <w:p>
      <w:pPr>
        <w:pStyle w:val="ListBullet"/>
        <w:spacing w:after="60"/>
      </w:pPr>
      <w:r>
        <w:rPr>
          <w:rFonts w:ascii="Yu Gothic" w:hAnsi="Yu Gothic" w:eastAsia="Yu Gothic"/>
          <w:sz w:val="20"/>
        </w:rPr>
        <w:t>予測の余裕度は少なめ・標準・多めの表記ではなく、予測日数へ反映される強さ設定として扱う。</w:t>
      </w:r>
    </w:p>
    <w:p>
      <w:pPr>
        <w:pStyle w:val="ListBullet"/>
        <w:spacing w:after="60"/>
      </w:pPr>
      <w:r>
        <w:rPr>
          <w:rFonts w:ascii="Yu Gothic" w:hAnsi="Yu Gothic" w:eastAsia="Yu Gothic"/>
          <w:sz w:val="20"/>
        </w:rPr>
        <w:t>進捗詳細には製品に紐づく材料コードから、材番、材料、サイズを表示する。</w:t>
      </w:r>
    </w:p>
    <w:p>
      <w:pPr>
        <w:pStyle w:val="Heading1"/>
      </w:pPr>
      <w:r>
        <w:t>6. ロット管理仕様</w:t>
      </w:r>
    </w:p>
    <w:p>
      <w:pPr>
        <w:pStyle w:val="ListBullet"/>
        <w:spacing w:after="60"/>
      </w:pPr>
      <w:r>
        <w:rPr>
          <w:rFonts w:ascii="Yu Gothic" w:hAnsi="Yu Gothic" w:eastAsia="Yu Gothic"/>
          <w:sz w:val="20"/>
        </w:rPr>
        <w:t>ロットは注番の子データとして扱う。1注番から複数ロットが発生することを前提とする。</w:t>
      </w:r>
    </w:p>
    <w:p>
      <w:pPr>
        <w:pStyle w:val="ListBullet"/>
        <w:spacing w:after="60"/>
      </w:pPr>
      <w:r>
        <w:rPr>
          <w:rFonts w:ascii="Yu Gothic" w:hAnsi="Yu Gothic" w:eastAsia="Yu Gothic"/>
          <w:sz w:val="20"/>
        </w:rPr>
        <w:t>ロットNoは計量登録時に発行する。工程追跡の主軸は注番、品質・在庫・出荷追跡の主軸はロットとする。</w:t>
      </w:r>
    </w:p>
    <w:p>
      <w:pPr>
        <w:pStyle w:val="ListBullet"/>
        <w:spacing w:after="60"/>
      </w:pPr>
      <w:r>
        <w:rPr>
          <w:rFonts w:ascii="Yu Gothic" w:hAnsi="Yu Gothic" w:eastAsia="Yu Gothic"/>
          <w:sz w:val="20"/>
        </w:rPr>
        <w:t>材料ロットNoを保持し、材料切替時の複数ロットを分離して追跡する。</w:t>
      </w:r>
    </w:p>
    <w:p>
      <w:pPr>
        <w:pStyle w:val="ListBullet"/>
        <w:spacing w:after="60"/>
      </w:pPr>
      <w:r>
        <w:rPr>
          <w:rFonts w:ascii="Yu Gothic" w:hAnsi="Yu Gothic" w:eastAsia="Yu Gothic"/>
          <w:sz w:val="20"/>
        </w:rPr>
        <w:t>ロット詳細では、注番工程、計量実績、梱包実績、在庫、引当、出荷の履歴を時系列で表示する。</w:t>
      </w:r>
    </w:p>
    <w:p>
      <w:pPr>
        <w:pStyle w:val="ListBullet"/>
        <w:spacing w:after="60"/>
      </w:pPr>
      <w:r>
        <w:rPr>
          <w:rFonts w:ascii="Yu Gothic" w:hAnsi="Yu Gothic" w:eastAsia="Yu Gothic"/>
          <w:sz w:val="20"/>
        </w:rPr>
        <w:t>ロット削除は通常、論理削除とする。削除済みロット一覧から復元または完全削除できる。</w:t>
      </w:r>
    </w:p>
    <w:p>
      <w:pPr>
        <w:pStyle w:val="ListBullet"/>
        <w:spacing w:after="60"/>
      </w:pPr>
      <w:r>
        <w:rPr>
          <w:rFonts w:ascii="Yu Gothic" w:hAnsi="Yu Gothic" w:eastAsia="Yu Gothic"/>
          <w:sz w:val="20"/>
        </w:rPr>
        <w:t>ロット管理画面はページネーションに対応し、1ページあたり7件を表示する。</w:t>
      </w:r>
    </w:p>
    <w:p>
      <w:pPr>
        <w:pStyle w:val="Heading1"/>
      </w:pPr>
      <w:r>
        <w:t>7. マスタ管理仕様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E8EEF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8"/>
              </w:rPr>
              <w:t>マスタ</w:t>
            </w:r>
          </w:p>
        </w:tc>
        <w:tc>
          <w:tcPr>
            <w:tcW w:type="dxa" w:w="3100"/>
            <w:shd w:fill="E8EEF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8"/>
              </w:rPr>
              <w:t>主な管理項目</w:t>
            </w:r>
          </w:p>
        </w:tc>
        <w:tc>
          <w:tcPr>
            <w:tcW w:type="dxa" w:w="4460"/>
            <w:shd w:fill="E8EEF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8"/>
              </w:rPr>
              <w:t>用途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工程マスタ</w:t>
            </w:r>
          </w:p>
        </w:tc>
        <w:tc>
          <w:tcPr>
            <w:tcW w:type="dxa" w:w="31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工程名、標準日数、並び順、有効/無効、外注対象</w:t>
            </w:r>
          </w:p>
        </w:tc>
        <w:tc>
          <w:tcPr>
            <w:tcW w:type="dxa" w:w="44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受注別工程作成、ガント予測、作業画面の対象判定。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製品工程マスタ</w:t>
            </w:r>
          </w:p>
        </w:tc>
        <w:tc>
          <w:tcPr>
            <w:tcW w:type="dxa" w:w="31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製品、工程順、工程名、外注先</w:t>
            </w:r>
          </w:p>
        </w:tc>
        <w:tc>
          <w:tcPr>
            <w:tcW w:type="dxa" w:w="44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受注登録時の工程自動作成。梱包前に計量工程を入れる前提。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製品マスタ</w:t>
            </w:r>
          </w:p>
        </w:tc>
        <w:tc>
          <w:tcPr>
            <w:tcW w:type="dxa" w:w="31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製品コード、製品名、得意先、材料コード、単位</w:t>
            </w:r>
          </w:p>
        </w:tc>
        <w:tc>
          <w:tcPr>
            <w:tcW w:type="dxa" w:w="44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受注登録、進捗、材料情報表示。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材料マスタ</w:t>
            </w:r>
          </w:p>
        </w:tc>
        <w:tc>
          <w:tcPr>
            <w:tcW w:type="dxa" w:w="31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材料コード、材番、材料名、サイズ、残量</w:t>
            </w:r>
          </w:p>
        </w:tc>
        <w:tc>
          <w:tcPr>
            <w:tcW w:type="dxa" w:w="44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製品マスタとの紐づけ、ガント画面の材料表示、将来の材料管理拡張。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休日マスタ</w:t>
            </w:r>
          </w:p>
        </w:tc>
        <w:tc>
          <w:tcPr>
            <w:tcW w:type="dxa" w:w="31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日付、名称、種別</w:t>
            </w:r>
          </w:p>
        </w:tc>
        <w:tc>
          <w:tcPr>
            <w:tcW w:type="dxa" w:w="44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会社カレンダー取込、祝日名称自動入力、ガント予測の稼働日計算。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ライン能力設定</w:t>
            </w:r>
          </w:p>
        </w:tc>
        <w:tc>
          <w:tcPr>
            <w:tcW w:type="dxa" w:w="31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工程、日産能力、稼働率、有効/無効</w:t>
            </w:r>
          </w:p>
        </w:tc>
        <w:tc>
          <w:tcPr>
            <w:tcW w:type="dxa" w:w="44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ガント予測、ライン負荷予測。数値入力は電卓方式。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AI予測設定</w:t>
            </w:r>
          </w:p>
        </w:tc>
        <w:tc>
          <w:tcPr>
            <w:tcW w:type="dxa" w:w="31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予測対象、補正要素、強さ設定</w:t>
            </w:r>
          </w:p>
        </w:tc>
        <w:tc>
          <w:tcPr>
            <w:tcW w:type="dxa" w:w="44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進捗詳細の完了日予測に反映。</w:t>
            </w:r>
          </w:p>
        </w:tc>
      </w:tr>
    </w:tbl>
    <w:p>
      <w:pPr>
        <w:pStyle w:val="Heading1"/>
      </w:pPr>
      <w:r>
        <w:t>8. 画面UI共通仕様</w:t>
      </w:r>
    </w:p>
    <w:p>
      <w:pPr>
        <w:pStyle w:val="ListBullet"/>
        <w:spacing w:after="60"/>
      </w:pPr>
      <w:r>
        <w:rPr>
          <w:rFonts w:ascii="Yu Gothic" w:hAnsi="Yu Gothic" w:eastAsia="Yu Gothic"/>
          <w:sz w:val="20"/>
        </w:rPr>
        <w:t>主要画面のタイトルは中央配置とし、基本レイアウトを統一する。</w:t>
      </w:r>
    </w:p>
    <w:p>
      <w:pPr>
        <w:pStyle w:val="ListBullet"/>
        <w:spacing w:after="60"/>
      </w:pPr>
      <w:r>
        <w:rPr>
          <w:rFonts w:ascii="Yu Gothic" w:hAnsi="Yu Gothic" w:eastAsia="Yu Gothic"/>
          <w:sz w:val="20"/>
        </w:rPr>
        <w:t>横幅の広い一覧は横スクロールに対応し、必要画面ではドラッグスクロールにも対応する。</w:t>
      </w:r>
    </w:p>
    <w:p>
      <w:pPr>
        <w:pStyle w:val="ListBullet"/>
        <w:spacing w:after="60"/>
      </w:pPr>
      <w:r>
        <w:rPr>
          <w:rFonts w:ascii="Yu Gothic" w:hAnsi="Yu Gothic" w:eastAsia="Yu Gothic"/>
          <w:sz w:val="20"/>
        </w:rPr>
        <w:t>外注管理、進捗リスト、デイリー生産予定、現場実績登録などは、列の中央揃え・余白・罫線で視認性を確保する。</w:t>
      </w:r>
    </w:p>
    <w:p>
      <w:pPr>
        <w:pStyle w:val="ListBullet"/>
        <w:spacing w:after="60"/>
      </w:pPr>
      <w:r>
        <w:rPr>
          <w:rFonts w:ascii="Yu Gothic" w:hAnsi="Yu Gothic" w:eastAsia="Yu Gothic"/>
          <w:sz w:val="20"/>
        </w:rPr>
        <w:t>数値入力が多い画面では電卓方式の入力を採用する。</w:t>
      </w:r>
    </w:p>
    <w:p>
      <w:pPr>
        <w:pStyle w:val="ListBullet"/>
        <w:spacing w:after="60"/>
      </w:pPr>
      <w:r>
        <w:rPr>
          <w:rFonts w:ascii="Yu Gothic" w:hAnsi="Yu Gothic" w:eastAsia="Yu Gothic"/>
          <w:sz w:val="20"/>
        </w:rPr>
        <w:t>不要な説明文や重複ボタンは削除し、実作業で必要な操作に絞る。</w:t>
      </w:r>
    </w:p>
    <w:p>
      <w:pPr>
        <w:pStyle w:val="Heading1"/>
      </w:pPr>
      <w:r>
        <w:t>9. 検証状況</w:t>
      </w:r>
    </w:p>
    <w:p>
      <w:pPr>
        <w:pStyle w:val="ListBullet"/>
        <w:spacing w:after="60"/>
      </w:pPr>
      <w:r>
        <w:rPr>
          <w:rFonts w:ascii="Yu Gothic" w:hAnsi="Yu Gothic" w:eastAsia="Yu Gothic"/>
          <w:sz w:val="20"/>
        </w:rPr>
        <w:t>受注登録、工程作成、工程順正規化、実績登録、計量、梱包在庫、在庫引当、出荷、削除、作業画面表示条件のSQL確認を実施済み。</w:t>
      </w:r>
    </w:p>
    <w:p>
      <w:pPr>
        <w:pStyle w:val="ListBullet"/>
        <w:spacing w:after="60"/>
      </w:pPr>
      <w:r>
        <w:rPr>
          <w:rFonts w:ascii="Yu Gothic" w:hAnsi="Yu Gothic" w:eastAsia="Yu Gothic"/>
          <w:sz w:val="20"/>
        </w:rPr>
        <w:t>ロット追跡、複数ロット、ロット削除・復元・完全削除RPCのSQL確認を実施済み。</w:t>
      </w:r>
    </w:p>
    <w:p>
      <w:pPr>
        <w:pStyle w:val="ListBullet"/>
        <w:spacing w:after="60"/>
      </w:pPr>
      <w:r>
        <w:rPr>
          <w:rFonts w:ascii="Yu Gothic" w:hAnsi="Yu Gothic" w:eastAsia="Yu Gothic"/>
          <w:sz w:val="20"/>
        </w:rPr>
        <w:t>フロントエンド変更ごとに `npm.cmd run build` を実行し、Next.jsビルド成功を確認済み。</w:t>
      </w:r>
    </w:p>
    <w:p>
      <w:pPr>
        <w:pStyle w:val="Heading1"/>
      </w:pPr>
      <w:r>
        <w:t>10. 配布時の補足</w:t>
      </w:r>
    </w:p>
    <w:p>
      <w:r>
        <w:t>本仕様書は2026年7月23日時点の現行仕様をまとめたものです。材料管理、ロット数量補正、AI予測ロジックの精度向上などは、今後の運用状況に応じて改訂対象とします。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23" w:bottom="1080" w:left="1123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color w:val="64748B"/>
        <w:sz w:val="17"/>
      </w:rPr>
      <w:t>Confidential / Internal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color w:val="64748B"/>
        <w:sz w:val="17"/>
      </w:rPr>
      <w:t>YAMAGEN 生産管理システム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