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0B2545"/>
          <w:sz w:val="44"/>
        </w:rPr>
        <w:t>Kawane App システム仕様書</w:t>
      </w:r>
    </w:p>
    <w:p>
      <w:pPr>
        <w:jc w:val="center"/>
      </w:pPr>
      <w:r>
        <w:rPr>
          <w:rFonts w:ascii="Yu Gothic" w:hAnsi="Yu Gothic" w:eastAsia="Yu Gothic"/>
          <w:color w:val="555555"/>
          <w:sz w:val="20"/>
        </w:rPr>
        <w:t>配布用 / 2026年7月29日時点</w:t>
      </w:r>
    </w:p>
    <w:p/>
    <w:p>
      <w:pPr>
        <w:pStyle w:val="Heading1"/>
      </w:pPr>
      <w:r>
        <w:t>1. 文書の目的</w:t>
      </w:r>
    </w:p>
    <w:p>
      <w:r>
        <w:t>本仕様書は、Kawane App の現行運用仕様を社内配布しやすい形式でまとめたものです。受注登録から工程管理、実績登録、計量、梱包、在庫、出荷、外注、ロット管理、各種マスタまでの利用者向け仕様を対象とします。</w:t>
      </w:r>
    </w:p>
    <w:p>
      <w:pPr>
        <w:pStyle w:val="Heading1"/>
      </w:pPr>
      <w:r>
        <w:t>2. システム概要</w:t>
      </w:r>
    </w:p>
    <w:p>
      <w:pPr>
        <w:pStyle w:val="ListBullet"/>
      </w:pPr>
      <w:r>
        <w:t>受注登録を起点に、製品工程マスタから受注別工程を自動生成します。</w:t>
      </w:r>
    </w:p>
    <w:p>
      <w:pPr>
        <w:pStyle w:val="ListBullet"/>
      </w:pPr>
      <w:r>
        <w:t>作業画面は有効注残を基準とし、削除済み、最終工程完了済み、全数出荷済みの注残は通常一覧から除外します。</w:t>
      </w:r>
    </w:p>
    <w:p>
      <w:pPr>
        <w:pStyle w:val="ListBullet"/>
      </w:pPr>
      <w:r>
        <w:t>工程進捗は注番単位で管理し、計量以降の品質・在庫・出荷はロット単位で追跡します。</w:t>
      </w:r>
    </w:p>
    <w:p>
      <w:pPr>
        <w:pStyle w:val="ListBullet"/>
      </w:pPr>
      <w:r>
        <w:t>梱包前には必ず計量工程を入れる運用ルールとします。</w:t>
      </w:r>
    </w:p>
    <w:p>
      <w:pPr>
        <w:pStyle w:val="ListBullet"/>
      </w:pPr>
      <w:r>
        <w:t>外注工程は工程マスタの外注フラグと外注先マスタの工程名で候補を連携します。</w:t>
      </w:r>
    </w:p>
    <w:p>
      <w:pPr>
        <w:pStyle w:val="Heading1"/>
      </w:pPr>
      <w:r>
        <w:t>3. 主要画面</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vAlign w:val="center"/>
            <w:shd w:fill="E8EEF5"/>
          </w:tcPr>
          <w:p>
            <w:pPr>
              <w:jc w:val="center"/>
            </w:pPr>
            <w:r/>
            <w:r>
              <w:rPr>
                <w:rFonts w:ascii="Yu Gothic" w:hAnsi="Yu Gothic" w:eastAsia="Yu Gothic"/>
                <w:b/>
                <w:sz w:val="17"/>
              </w:rPr>
              <w:t>画面</w:t>
            </w:r>
          </w:p>
        </w:tc>
        <w:tc>
          <w:tcPr>
            <w:tcW w:type="dxa" w:w="7200"/>
            <w:vAlign w:val="center"/>
            <w:shd w:fill="E8EEF5"/>
          </w:tcPr>
          <w:p>
            <w:pPr>
              <w:jc w:val="center"/>
            </w:pPr>
            <w:r/>
            <w:r>
              <w:rPr>
                <w:rFonts w:ascii="Yu Gothic" w:hAnsi="Yu Gothic" w:eastAsia="Yu Gothic"/>
                <w:b/>
                <w:sz w:val="17"/>
              </w:rPr>
              <w:t>主な仕様</w:t>
            </w:r>
          </w:p>
        </w:tc>
      </w:tr>
      <w:tr>
        <w:tc>
          <w:tcPr>
            <w:tcW w:type="dxa" w:w="2088"/>
            <w:vAlign w:val="center"/>
          </w:tcPr>
          <w:p>
            <w:pPr>
              <w:jc w:val="center"/>
            </w:pPr>
            <w:r/>
            <w:r>
              <w:rPr>
                <w:rFonts w:ascii="Yu Gothic" w:hAnsi="Yu Gothic" w:eastAsia="Yu Gothic"/>
                <w:b w:val="0"/>
                <w:sz w:val="17"/>
              </w:rPr>
              <w:t>受注登録</w:t>
            </w:r>
          </w:p>
        </w:tc>
        <w:tc>
          <w:tcPr>
            <w:tcW w:type="dxa" w:w="7200"/>
            <w:vAlign w:val="center"/>
          </w:tcPr>
          <w:p>
            <w:pPr>
              <w:jc w:val="left"/>
            </w:pPr>
            <w:r/>
            <w:r>
              <w:rPr>
                <w:rFonts w:ascii="Yu Gothic" w:hAnsi="Yu Gothic" w:eastAsia="Yu Gothic"/>
                <w:b w:val="0"/>
                <w:sz w:val="17"/>
              </w:rPr>
              <w:t>注番、製品、得意先、数量、納期を登録。CSV入力は将来拡張用ボタンを配置。</w:t>
            </w:r>
          </w:p>
        </w:tc>
      </w:tr>
      <w:tr>
        <w:tc>
          <w:tcPr>
            <w:tcW w:type="dxa" w:w="2088"/>
            <w:vAlign w:val="center"/>
          </w:tcPr>
          <w:p>
            <w:pPr>
              <w:jc w:val="center"/>
            </w:pPr>
            <w:r/>
            <w:r>
              <w:rPr>
                <w:rFonts w:ascii="Yu Gothic" w:hAnsi="Yu Gothic" w:eastAsia="Yu Gothic"/>
                <w:b w:val="0"/>
                <w:sz w:val="17"/>
              </w:rPr>
              <w:t>注残管理</w:t>
            </w:r>
          </w:p>
        </w:tc>
        <w:tc>
          <w:tcPr>
            <w:tcW w:type="dxa" w:w="7200"/>
            <w:vAlign w:val="center"/>
          </w:tcPr>
          <w:p>
            <w:pPr>
              <w:jc w:val="left"/>
            </w:pPr>
            <w:r/>
            <w:r>
              <w:rPr>
                <w:rFonts w:ascii="Yu Gothic" w:hAnsi="Yu Gothic" w:eastAsia="Yu Gothic"/>
                <w:b w:val="0"/>
                <w:sz w:val="17"/>
              </w:rPr>
              <w:t>有効注残の一覧、在庫引当、削除、進捗確認を行う。</w:t>
            </w:r>
          </w:p>
        </w:tc>
      </w:tr>
      <w:tr>
        <w:tc>
          <w:tcPr>
            <w:tcW w:type="dxa" w:w="2088"/>
            <w:vAlign w:val="center"/>
          </w:tcPr>
          <w:p>
            <w:pPr>
              <w:jc w:val="center"/>
            </w:pPr>
            <w:r/>
            <w:r>
              <w:rPr>
                <w:rFonts w:ascii="Yu Gothic" w:hAnsi="Yu Gothic" w:eastAsia="Yu Gothic"/>
                <w:b w:val="0"/>
                <w:sz w:val="17"/>
              </w:rPr>
              <w:t>受注別工程管理</w:t>
            </w:r>
          </w:p>
        </w:tc>
        <w:tc>
          <w:tcPr>
            <w:tcW w:type="dxa" w:w="7200"/>
            <w:vAlign w:val="center"/>
          </w:tcPr>
          <w:p>
            <w:pPr>
              <w:jc w:val="left"/>
            </w:pPr>
            <w:r/>
            <w:r>
              <w:rPr>
                <w:rFonts w:ascii="Yu Gothic" w:hAnsi="Yu Gothic" w:eastAsia="Yu Gothic"/>
                <w:b w:val="0"/>
                <w:sz w:val="17"/>
              </w:rPr>
              <w:t>注番単位の工程確認、編集、並べ替え、製品工程マスタからの同期を行う。</w:t>
            </w:r>
          </w:p>
        </w:tc>
      </w:tr>
      <w:tr>
        <w:tc>
          <w:tcPr>
            <w:tcW w:type="dxa" w:w="2088"/>
            <w:vAlign w:val="center"/>
          </w:tcPr>
          <w:p>
            <w:pPr>
              <w:jc w:val="center"/>
            </w:pPr>
            <w:r/>
            <w:r>
              <w:rPr>
                <w:rFonts w:ascii="Yu Gothic" w:hAnsi="Yu Gothic" w:eastAsia="Yu Gothic"/>
                <w:b w:val="0"/>
                <w:sz w:val="17"/>
              </w:rPr>
              <w:t>進捗管理</w:t>
            </w:r>
          </w:p>
        </w:tc>
        <w:tc>
          <w:tcPr>
            <w:tcW w:type="dxa" w:w="7200"/>
            <w:vAlign w:val="center"/>
          </w:tcPr>
          <w:p>
            <w:pPr>
              <w:jc w:val="left"/>
            </w:pPr>
            <w:r/>
            <w:r>
              <w:rPr>
                <w:rFonts w:ascii="Yu Gothic" w:hAnsi="Yu Gothic" w:eastAsia="Yu Gothic"/>
                <w:b w:val="0"/>
                <w:sz w:val="17"/>
              </w:rPr>
              <w:t>注番・製品・得意先・ロットNoで検索し、進捗リストとガントチャートを確認する。</w:t>
            </w:r>
          </w:p>
        </w:tc>
      </w:tr>
      <w:tr>
        <w:tc>
          <w:tcPr>
            <w:tcW w:type="dxa" w:w="2088"/>
            <w:vAlign w:val="center"/>
          </w:tcPr>
          <w:p>
            <w:pPr>
              <w:jc w:val="center"/>
            </w:pPr>
            <w:r/>
            <w:r>
              <w:rPr>
                <w:rFonts w:ascii="Yu Gothic" w:hAnsi="Yu Gothic" w:eastAsia="Yu Gothic"/>
                <w:b w:val="0"/>
                <w:sz w:val="17"/>
              </w:rPr>
              <w:t>ガントチャート</w:t>
            </w:r>
          </w:p>
        </w:tc>
        <w:tc>
          <w:tcPr>
            <w:tcW w:type="dxa" w:w="7200"/>
            <w:vAlign w:val="center"/>
          </w:tcPr>
          <w:p>
            <w:pPr>
              <w:jc w:val="left"/>
            </w:pPr>
            <w:r/>
            <w:r>
              <w:rPr>
                <w:rFonts w:ascii="Yu Gothic" w:hAnsi="Yu Gothic" w:eastAsia="Yu Gothic"/>
                <w:b w:val="0"/>
                <w:sz w:val="17"/>
              </w:rPr>
              <w:t>実績と残工程の完了日予測を表示。青線は今日、赤線は出荷日。材料情報も表示。</w:t>
            </w:r>
          </w:p>
        </w:tc>
      </w:tr>
      <w:tr>
        <w:tc>
          <w:tcPr>
            <w:tcW w:type="dxa" w:w="2088"/>
            <w:vAlign w:val="center"/>
          </w:tcPr>
          <w:p>
            <w:pPr>
              <w:jc w:val="center"/>
            </w:pPr>
            <w:r/>
            <w:r>
              <w:rPr>
                <w:rFonts w:ascii="Yu Gothic" w:hAnsi="Yu Gothic" w:eastAsia="Yu Gothic"/>
                <w:b w:val="0"/>
                <w:sz w:val="17"/>
              </w:rPr>
              <w:t>現場実績登録</w:t>
            </w:r>
          </w:p>
        </w:tc>
        <w:tc>
          <w:tcPr>
            <w:tcW w:type="dxa" w:w="7200"/>
            <w:vAlign w:val="center"/>
          </w:tcPr>
          <w:p>
            <w:pPr>
              <w:jc w:val="left"/>
            </w:pPr>
            <w:r/>
            <w:r>
              <w:rPr>
                <w:rFonts w:ascii="Yu Gothic" w:hAnsi="Yu Gothic" w:eastAsia="Yu Gothic"/>
                <w:b w:val="0"/>
                <w:sz w:val="17"/>
              </w:rPr>
              <w:t>各工程の実績を登録。計量工程は専用の計量登録画面で登録する。</w:t>
            </w:r>
          </w:p>
        </w:tc>
      </w:tr>
      <w:tr>
        <w:tc>
          <w:tcPr>
            <w:tcW w:type="dxa" w:w="2088"/>
            <w:vAlign w:val="center"/>
          </w:tcPr>
          <w:p>
            <w:pPr>
              <w:jc w:val="center"/>
            </w:pPr>
            <w:r/>
            <w:r>
              <w:rPr>
                <w:rFonts w:ascii="Yu Gothic" w:hAnsi="Yu Gothic" w:eastAsia="Yu Gothic"/>
                <w:b w:val="0"/>
                <w:sz w:val="17"/>
              </w:rPr>
              <w:t>計量登録</w:t>
            </w:r>
          </w:p>
        </w:tc>
        <w:tc>
          <w:tcPr>
            <w:tcW w:type="dxa" w:w="7200"/>
            <w:vAlign w:val="center"/>
          </w:tcPr>
          <w:p>
            <w:pPr>
              <w:jc w:val="left"/>
            </w:pPr>
            <w:r/>
            <w:r>
              <w:rPr>
                <w:rFonts w:ascii="Yu Gothic" w:hAnsi="Yu Gothic" w:eastAsia="Yu Gothic"/>
                <w:b w:val="0"/>
                <w:sz w:val="17"/>
              </w:rPr>
              <w:t>ロット番号、材料ロットNo、計量数量を登録。計量のみでは在庫を増やさない。</w:t>
            </w:r>
          </w:p>
        </w:tc>
      </w:tr>
      <w:tr>
        <w:tc>
          <w:tcPr>
            <w:tcW w:type="dxa" w:w="2088"/>
            <w:vAlign w:val="center"/>
          </w:tcPr>
          <w:p>
            <w:pPr>
              <w:jc w:val="center"/>
            </w:pPr>
            <w:r/>
            <w:r>
              <w:rPr>
                <w:rFonts w:ascii="Yu Gothic" w:hAnsi="Yu Gothic" w:eastAsia="Yu Gothic"/>
                <w:b w:val="0"/>
                <w:sz w:val="17"/>
              </w:rPr>
              <w:t>梱包/包装実績</w:t>
            </w:r>
          </w:p>
        </w:tc>
        <w:tc>
          <w:tcPr>
            <w:tcW w:type="dxa" w:w="7200"/>
            <w:vAlign w:val="center"/>
          </w:tcPr>
          <w:p>
            <w:pPr>
              <w:jc w:val="left"/>
            </w:pPr>
            <w:r/>
            <w:r>
              <w:rPr>
                <w:rFonts w:ascii="Yu Gothic" w:hAnsi="Yu Gothic" w:eastAsia="Yu Gothic"/>
                <w:b w:val="0"/>
                <w:sz w:val="17"/>
              </w:rPr>
              <w:t>梱包実績登録時にロット別在庫を登録または加算する。</w:t>
            </w:r>
          </w:p>
        </w:tc>
      </w:tr>
      <w:tr>
        <w:tc>
          <w:tcPr>
            <w:tcW w:type="dxa" w:w="2088"/>
            <w:vAlign w:val="center"/>
          </w:tcPr>
          <w:p>
            <w:pPr>
              <w:jc w:val="center"/>
            </w:pPr>
            <w:r/>
            <w:r>
              <w:rPr>
                <w:rFonts w:ascii="Yu Gothic" w:hAnsi="Yu Gothic" w:eastAsia="Yu Gothic"/>
                <w:b w:val="0"/>
                <w:sz w:val="17"/>
              </w:rPr>
              <w:t>外注管理</w:t>
            </w:r>
          </w:p>
        </w:tc>
        <w:tc>
          <w:tcPr>
            <w:tcW w:type="dxa" w:w="7200"/>
            <w:vAlign w:val="center"/>
          </w:tcPr>
          <w:p>
            <w:pPr>
              <w:jc w:val="left"/>
            </w:pPr>
            <w:r/>
            <w:r>
              <w:rPr>
                <w:rFonts w:ascii="Yu Gothic" w:hAnsi="Yu Gothic" w:eastAsia="Yu Gothic"/>
                <w:b w:val="0"/>
                <w:sz w:val="17"/>
              </w:rPr>
              <w:t>出し日、予定日、実績日、メモを管理。状態は日付から自動判定し表示のみ。</w:t>
            </w:r>
          </w:p>
        </w:tc>
      </w:tr>
      <w:tr>
        <w:tc>
          <w:tcPr>
            <w:tcW w:type="dxa" w:w="2088"/>
            <w:vAlign w:val="center"/>
          </w:tcPr>
          <w:p>
            <w:pPr>
              <w:jc w:val="center"/>
            </w:pPr>
            <w:r/>
            <w:r>
              <w:rPr>
                <w:rFonts w:ascii="Yu Gothic" w:hAnsi="Yu Gothic" w:eastAsia="Yu Gothic"/>
                <w:b w:val="0"/>
                <w:sz w:val="17"/>
              </w:rPr>
              <w:t>出荷管理</w:t>
            </w:r>
          </w:p>
        </w:tc>
        <w:tc>
          <w:tcPr>
            <w:tcW w:type="dxa" w:w="7200"/>
            <w:vAlign w:val="center"/>
          </w:tcPr>
          <w:p>
            <w:pPr>
              <w:jc w:val="left"/>
            </w:pPr>
            <w:r/>
            <w:r>
              <w:rPr>
                <w:rFonts w:ascii="Yu Gothic" w:hAnsi="Yu Gothic" w:eastAsia="Yu Gothic"/>
                <w:b w:val="0"/>
                <w:sz w:val="17"/>
              </w:rPr>
              <w:t>引当済み在庫を基準に出荷登録し、在庫・引当・出荷履歴を更新する。</w:t>
            </w:r>
          </w:p>
        </w:tc>
      </w:tr>
      <w:tr>
        <w:tc>
          <w:tcPr>
            <w:tcW w:type="dxa" w:w="2088"/>
            <w:vAlign w:val="center"/>
          </w:tcPr>
          <w:p>
            <w:pPr>
              <w:jc w:val="center"/>
            </w:pPr>
            <w:r/>
            <w:r>
              <w:rPr>
                <w:rFonts w:ascii="Yu Gothic" w:hAnsi="Yu Gothic" w:eastAsia="Yu Gothic"/>
                <w:b w:val="0"/>
                <w:sz w:val="17"/>
              </w:rPr>
              <w:t>ロット管理</w:t>
            </w:r>
          </w:p>
        </w:tc>
        <w:tc>
          <w:tcPr>
            <w:tcW w:type="dxa" w:w="7200"/>
            <w:vAlign w:val="center"/>
          </w:tcPr>
          <w:p>
            <w:pPr>
              <w:jc w:val="left"/>
            </w:pPr>
            <w:r/>
            <w:r>
              <w:rPr>
                <w:rFonts w:ascii="Yu Gothic" w:hAnsi="Yu Gothic" w:eastAsia="Yu Gothic"/>
                <w:b w:val="0"/>
                <w:sz w:val="17"/>
              </w:rPr>
              <w:t>ロット別の計量、梱包、在庫、引当、出荷、履歴を確認する。</w:t>
            </w:r>
          </w:p>
        </w:tc>
      </w:tr>
      <w:tr>
        <w:tc>
          <w:tcPr>
            <w:tcW w:type="dxa" w:w="2088"/>
            <w:vAlign w:val="center"/>
          </w:tcPr>
          <w:p>
            <w:pPr>
              <w:jc w:val="center"/>
            </w:pPr>
            <w:r/>
            <w:r>
              <w:rPr>
                <w:rFonts w:ascii="Yu Gothic" w:hAnsi="Yu Gothic" w:eastAsia="Yu Gothic"/>
                <w:b w:val="0"/>
                <w:sz w:val="17"/>
              </w:rPr>
              <w:t>各種マスタ</w:t>
            </w:r>
          </w:p>
        </w:tc>
        <w:tc>
          <w:tcPr>
            <w:tcW w:type="dxa" w:w="7200"/>
            <w:vAlign w:val="center"/>
          </w:tcPr>
          <w:p>
            <w:pPr>
              <w:jc w:val="left"/>
            </w:pPr>
            <w:r/>
            <w:r>
              <w:rPr>
                <w:rFonts w:ascii="Yu Gothic" w:hAnsi="Yu Gothic" w:eastAsia="Yu Gothic"/>
                <w:b w:val="0"/>
                <w:sz w:val="17"/>
              </w:rPr>
              <w:t>製品、材料、工程、製品工程、外注先、休日、ライン能力、AI予測、ユーザーを管理する。</w:t>
            </w:r>
          </w:p>
        </w:tc>
      </w:tr>
    </w:tbl>
    <w:p/>
    <w:p>
      <w:pPr>
        <w:pStyle w:val="Heading1"/>
      </w:pPr>
      <w:r>
        <w:t>4. 業務ルール</w:t>
      </w:r>
    </w:p>
    <w:p>
      <w:pPr>
        <w:pStyle w:val="Heading2"/>
      </w:pPr>
      <w:r>
        <w:t>4.1 実績登録</w:t>
      </w:r>
    </w:p>
    <w:p>
      <w:pPr>
        <w:pStyle w:val="ListBullet"/>
      </w:pPr>
      <w:r>
        <w:t>実績登録は原則としてDB関数 register_order_process_result に集約します。</w:t>
      </w:r>
    </w:p>
    <w:p>
      <w:pPr>
        <w:pStyle w:val="ListBullet"/>
      </w:pPr>
      <w:r>
        <w:t>製造工程では実際の生産数を登録し、注文数を超える超過生産も許可します。</w:t>
      </w:r>
    </w:p>
    <w:p>
      <w:pPr>
        <w:pStyle w:val="ListBullet"/>
      </w:pPr>
      <w:r>
        <w:t>後続工程は前工程の実績数を超えない範囲で登録します。</w:t>
      </w:r>
    </w:p>
    <w:p>
      <w:pPr>
        <w:pStyle w:val="ListBullet"/>
      </w:pPr>
      <w:r>
        <w:t>計量工程に超過生産チェックは設けず、前工程実績数まで登録可能とします。</w:t>
      </w:r>
    </w:p>
    <w:p>
      <w:pPr>
        <w:pStyle w:val="Heading2"/>
      </w:pPr>
      <w:r>
        <w:t>4.2 計量・梱包・在庫</w:t>
      </w:r>
    </w:p>
    <w:p>
      <w:pPr>
        <w:pStyle w:val="ListBullet"/>
      </w:pPr>
      <w:r>
        <w:t>計量登録時にロットを発行します。</w:t>
      </w:r>
    </w:p>
    <w:p>
      <w:pPr>
        <w:pStyle w:val="ListBullet"/>
      </w:pPr>
      <w:r>
        <w:t>1注番から複数ロットを作成できます。材料切替時は材料ロットNoを分けて管理します。</w:t>
      </w:r>
    </w:p>
    <w:p>
      <w:pPr>
        <w:pStyle w:val="ListBullet"/>
      </w:pPr>
      <w:r>
        <w:t>計量は実績登録であり、在庫登録ではありません。</w:t>
      </w:r>
    </w:p>
    <w:p>
      <w:pPr>
        <w:pStyle w:val="ListBullet"/>
      </w:pPr>
      <w:r>
        <w:t>梱包または包装実績登録時に在庫を登録します。</w:t>
      </w:r>
    </w:p>
    <w:p>
      <w:pPr>
        <w:pStyle w:val="ListBullet"/>
      </w:pPr>
      <w:r>
        <w:t>梱包数量は対象ロットの計量数量を超えないことを基本とします。</w:t>
      </w:r>
    </w:p>
    <w:p>
      <w:pPr>
        <w:pStyle w:val="Heading2"/>
      </w:pPr>
      <w:r>
        <w:t>4.3 外注管理</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600"/>
            <w:vAlign w:val="center"/>
            <w:shd w:fill="E8EEF5"/>
          </w:tcPr>
          <w:p>
            <w:pPr>
              <w:jc w:val="center"/>
            </w:pPr>
            <w:r/>
            <w:r>
              <w:rPr>
                <w:rFonts w:ascii="Yu Gothic" w:hAnsi="Yu Gothic" w:eastAsia="Yu Gothic"/>
                <w:b/>
                <w:sz w:val="17"/>
              </w:rPr>
              <w:t>条件</w:t>
            </w:r>
          </w:p>
        </w:tc>
        <w:tc>
          <w:tcPr>
            <w:tcW w:type="dxa" w:w="3600"/>
            <w:vAlign w:val="center"/>
            <w:shd w:fill="E8EEF5"/>
          </w:tcPr>
          <w:p>
            <w:pPr>
              <w:jc w:val="center"/>
            </w:pPr>
            <w:r/>
            <w:r>
              <w:rPr>
                <w:rFonts w:ascii="Yu Gothic" w:hAnsi="Yu Gothic" w:eastAsia="Yu Gothic"/>
                <w:b/>
                <w:sz w:val="17"/>
              </w:rPr>
              <w:t>表示ステータス</w:t>
            </w:r>
          </w:p>
        </w:tc>
      </w:tr>
      <w:tr>
        <w:tc>
          <w:tcPr>
            <w:tcW w:type="dxa" w:w="3600"/>
            <w:vAlign w:val="center"/>
          </w:tcPr>
          <w:p>
            <w:pPr>
              <w:jc w:val="center"/>
            </w:pPr>
            <w:r/>
            <w:r>
              <w:rPr>
                <w:rFonts w:ascii="Yu Gothic" w:hAnsi="Yu Gothic" w:eastAsia="Yu Gothic"/>
                <w:b w:val="0"/>
                <w:sz w:val="17"/>
              </w:rPr>
              <w:t>出し日が未入力</w:t>
            </w:r>
          </w:p>
        </w:tc>
        <w:tc>
          <w:tcPr>
            <w:tcW w:type="dxa" w:w="3600"/>
            <w:vAlign w:val="center"/>
          </w:tcPr>
          <w:p>
            <w:pPr>
              <w:jc w:val="center"/>
            </w:pPr>
            <w:r/>
            <w:r>
              <w:rPr>
                <w:rFonts w:ascii="Yu Gothic" w:hAnsi="Yu Gothic" w:eastAsia="Yu Gothic"/>
                <w:b w:val="0"/>
                <w:sz w:val="17"/>
              </w:rPr>
              <w:t>未出し</w:t>
            </w:r>
          </w:p>
        </w:tc>
      </w:tr>
      <w:tr>
        <w:tc>
          <w:tcPr>
            <w:tcW w:type="dxa" w:w="3600"/>
            <w:vAlign w:val="center"/>
          </w:tcPr>
          <w:p>
            <w:pPr>
              <w:jc w:val="center"/>
            </w:pPr>
            <w:r/>
            <w:r>
              <w:rPr>
                <w:rFonts w:ascii="Yu Gothic" w:hAnsi="Yu Gothic" w:eastAsia="Yu Gothic"/>
                <w:b w:val="0"/>
                <w:sz w:val="17"/>
              </w:rPr>
              <w:t>出し日が入力済み、実績日が未入力</w:t>
            </w:r>
          </w:p>
        </w:tc>
        <w:tc>
          <w:tcPr>
            <w:tcW w:type="dxa" w:w="3600"/>
            <w:vAlign w:val="center"/>
          </w:tcPr>
          <w:p>
            <w:pPr>
              <w:jc w:val="center"/>
            </w:pPr>
            <w:r/>
            <w:r>
              <w:rPr>
                <w:rFonts w:ascii="Yu Gothic" w:hAnsi="Yu Gothic" w:eastAsia="Yu Gothic"/>
                <w:b w:val="0"/>
                <w:sz w:val="17"/>
              </w:rPr>
              <w:t>外注中</w:t>
            </w:r>
          </w:p>
        </w:tc>
      </w:tr>
      <w:tr>
        <w:tc>
          <w:tcPr>
            <w:tcW w:type="dxa" w:w="3600"/>
            <w:vAlign w:val="center"/>
          </w:tcPr>
          <w:p>
            <w:pPr>
              <w:jc w:val="center"/>
            </w:pPr>
            <w:r/>
            <w:r>
              <w:rPr>
                <w:rFonts w:ascii="Yu Gothic" w:hAnsi="Yu Gothic" w:eastAsia="Yu Gothic"/>
                <w:b w:val="0"/>
                <w:sz w:val="17"/>
              </w:rPr>
              <w:t>実績日が入力済み</w:t>
            </w:r>
          </w:p>
        </w:tc>
        <w:tc>
          <w:tcPr>
            <w:tcW w:type="dxa" w:w="3600"/>
            <w:vAlign w:val="center"/>
          </w:tcPr>
          <w:p>
            <w:pPr>
              <w:jc w:val="center"/>
            </w:pPr>
            <w:r/>
            <w:r>
              <w:rPr>
                <w:rFonts w:ascii="Yu Gothic" w:hAnsi="Yu Gothic" w:eastAsia="Yu Gothic"/>
                <w:b w:val="0"/>
                <w:sz w:val="17"/>
              </w:rPr>
              <w:t>戻り済み</w:t>
            </w:r>
          </w:p>
        </w:tc>
      </w:tr>
    </w:tbl>
    <w:p/>
    <w:p>
      <w:pPr>
        <w:pStyle w:val="Heading1"/>
      </w:pPr>
      <w:r>
        <w:t>5. マスタ連携</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04"/>
            <w:vAlign w:val="center"/>
            <w:shd w:fill="E8EEF5"/>
          </w:tcPr>
          <w:p>
            <w:pPr>
              <w:jc w:val="center"/>
            </w:pPr>
            <w:r/>
            <w:r>
              <w:rPr>
                <w:rFonts w:ascii="Yu Gothic" w:hAnsi="Yu Gothic" w:eastAsia="Yu Gothic"/>
                <w:b/>
                <w:sz w:val="17"/>
              </w:rPr>
              <w:t>マスタ</w:t>
            </w:r>
          </w:p>
        </w:tc>
        <w:tc>
          <w:tcPr>
            <w:tcW w:type="dxa" w:w="6912"/>
            <w:vAlign w:val="center"/>
            <w:shd w:fill="E8EEF5"/>
          </w:tcPr>
          <w:p>
            <w:pPr>
              <w:jc w:val="center"/>
            </w:pPr>
            <w:r/>
            <w:r>
              <w:rPr>
                <w:rFonts w:ascii="Yu Gothic" w:hAnsi="Yu Gothic" w:eastAsia="Yu Gothic"/>
                <w:b/>
                <w:sz w:val="17"/>
              </w:rPr>
              <w:t>仕様</w:t>
            </w:r>
          </w:p>
        </w:tc>
      </w:tr>
      <w:tr>
        <w:tc>
          <w:tcPr>
            <w:tcW w:type="dxa" w:w="2304"/>
            <w:vAlign w:val="center"/>
          </w:tcPr>
          <w:p>
            <w:pPr>
              <w:jc w:val="center"/>
            </w:pPr>
            <w:r/>
            <w:r>
              <w:rPr>
                <w:rFonts w:ascii="Yu Gothic" w:hAnsi="Yu Gothic" w:eastAsia="Yu Gothic"/>
                <w:b w:val="0"/>
                <w:sz w:val="17"/>
              </w:rPr>
              <w:t>工程マスタ</w:t>
            </w:r>
          </w:p>
        </w:tc>
        <w:tc>
          <w:tcPr>
            <w:tcW w:type="dxa" w:w="6912"/>
            <w:vAlign w:val="center"/>
          </w:tcPr>
          <w:p>
            <w:pPr>
              <w:jc w:val="left"/>
            </w:pPr>
            <w:r/>
            <w:r>
              <w:rPr>
                <w:rFonts w:ascii="Yu Gothic" w:hAnsi="Yu Gothic" w:eastAsia="Yu Gothic"/>
                <w:b w:val="0"/>
                <w:sz w:val="17"/>
              </w:rPr>
              <w:t>工程名、標準日数、並び順、外注フラグを管理する。</w:t>
            </w:r>
          </w:p>
        </w:tc>
      </w:tr>
      <w:tr>
        <w:tc>
          <w:tcPr>
            <w:tcW w:type="dxa" w:w="2304"/>
            <w:vAlign w:val="center"/>
          </w:tcPr>
          <w:p>
            <w:pPr>
              <w:jc w:val="center"/>
            </w:pPr>
            <w:r/>
            <w:r>
              <w:rPr>
                <w:rFonts w:ascii="Yu Gothic" w:hAnsi="Yu Gothic" w:eastAsia="Yu Gothic"/>
                <w:b w:val="0"/>
                <w:sz w:val="17"/>
              </w:rPr>
              <w:t>外注先マスタ</w:t>
            </w:r>
          </w:p>
        </w:tc>
        <w:tc>
          <w:tcPr>
            <w:tcW w:type="dxa" w:w="6912"/>
            <w:vAlign w:val="center"/>
          </w:tcPr>
          <w:p>
            <w:pPr>
              <w:jc w:val="center"/>
            </w:pPr>
            <w:r/>
            <w:r>
              <w:rPr>
                <w:rFonts w:ascii="Yu Gothic" w:hAnsi="Yu Gothic" w:eastAsia="Yu Gothic"/>
                <w:b w:val="0"/>
                <w:sz w:val="17"/>
              </w:rPr>
              <w:t>外注先名と工程名を管理する。</w:t>
            </w:r>
          </w:p>
        </w:tc>
      </w:tr>
      <w:tr>
        <w:tc>
          <w:tcPr>
            <w:tcW w:type="dxa" w:w="2304"/>
            <w:vAlign w:val="center"/>
          </w:tcPr>
          <w:p>
            <w:pPr>
              <w:jc w:val="center"/>
            </w:pPr>
            <w:r/>
            <w:r>
              <w:rPr>
                <w:rFonts w:ascii="Yu Gothic" w:hAnsi="Yu Gothic" w:eastAsia="Yu Gothic"/>
                <w:b w:val="0"/>
                <w:sz w:val="17"/>
              </w:rPr>
              <w:t>製品工程マスタ</w:t>
            </w:r>
          </w:p>
        </w:tc>
        <w:tc>
          <w:tcPr>
            <w:tcW w:type="dxa" w:w="6912"/>
            <w:vAlign w:val="center"/>
          </w:tcPr>
          <w:p>
            <w:pPr>
              <w:jc w:val="left"/>
            </w:pPr>
            <w:r/>
            <w:r>
              <w:rPr>
                <w:rFonts w:ascii="Yu Gothic" w:hAnsi="Yu Gothic" w:eastAsia="Yu Gothic"/>
                <w:b w:val="0"/>
                <w:sz w:val="17"/>
              </w:rPr>
              <w:t>工程名は工程マスタからプルダウン選択。外注工程の場合、同じ工程名を持つ外注先を候補表示する。</w:t>
            </w:r>
          </w:p>
        </w:tc>
      </w:tr>
      <w:tr>
        <w:tc>
          <w:tcPr>
            <w:tcW w:type="dxa" w:w="2304"/>
            <w:vAlign w:val="center"/>
          </w:tcPr>
          <w:p>
            <w:pPr>
              <w:jc w:val="center"/>
            </w:pPr>
            <w:r/>
            <w:r>
              <w:rPr>
                <w:rFonts w:ascii="Yu Gothic" w:hAnsi="Yu Gothic" w:eastAsia="Yu Gothic"/>
                <w:b w:val="0"/>
                <w:sz w:val="17"/>
              </w:rPr>
              <w:t>材料マスタ</w:t>
            </w:r>
          </w:p>
        </w:tc>
        <w:tc>
          <w:tcPr>
            <w:tcW w:type="dxa" w:w="6912"/>
            <w:vAlign w:val="center"/>
          </w:tcPr>
          <w:p>
            <w:pPr>
              <w:jc w:val="left"/>
            </w:pPr>
            <w:r/>
            <w:r>
              <w:rPr>
                <w:rFonts w:ascii="Yu Gothic" w:hAnsi="Yu Gothic" w:eastAsia="Yu Gothic"/>
                <w:b w:val="0"/>
                <w:sz w:val="17"/>
              </w:rPr>
              <w:t>材料コード、材番、材料名、サイズ、残量を管理。残量は電卓方式で入力可能。</w:t>
            </w:r>
          </w:p>
        </w:tc>
      </w:tr>
      <w:tr>
        <w:tc>
          <w:tcPr>
            <w:tcW w:type="dxa" w:w="2304"/>
            <w:vAlign w:val="center"/>
          </w:tcPr>
          <w:p>
            <w:pPr>
              <w:jc w:val="center"/>
            </w:pPr>
            <w:r/>
            <w:r>
              <w:rPr>
                <w:rFonts w:ascii="Yu Gothic" w:hAnsi="Yu Gothic" w:eastAsia="Yu Gothic"/>
                <w:b w:val="0"/>
                <w:sz w:val="17"/>
              </w:rPr>
              <w:t>休日マスタ</w:t>
            </w:r>
          </w:p>
        </w:tc>
        <w:tc>
          <w:tcPr>
            <w:tcW w:type="dxa" w:w="6912"/>
            <w:vAlign w:val="center"/>
          </w:tcPr>
          <w:p>
            <w:pPr>
              <w:jc w:val="left"/>
            </w:pPr>
            <w:r/>
            <w:r>
              <w:rPr>
                <w:rFonts w:ascii="Yu Gothic" w:hAnsi="Yu Gothic" w:eastAsia="Yu Gothic"/>
                <w:b w:val="0"/>
                <w:sz w:val="17"/>
              </w:rPr>
              <w:t>会社カレンダー取込、手動編集、祝日名自動入力に対応する。</w:t>
            </w:r>
          </w:p>
        </w:tc>
      </w:tr>
      <w:tr>
        <w:tc>
          <w:tcPr>
            <w:tcW w:type="dxa" w:w="2304"/>
            <w:vAlign w:val="center"/>
          </w:tcPr>
          <w:p>
            <w:pPr>
              <w:jc w:val="center"/>
            </w:pPr>
            <w:r/>
            <w:r>
              <w:rPr>
                <w:rFonts w:ascii="Yu Gothic" w:hAnsi="Yu Gothic" w:eastAsia="Yu Gothic"/>
                <w:b w:val="0"/>
                <w:sz w:val="17"/>
              </w:rPr>
              <w:t>AI予測設定</w:t>
            </w:r>
          </w:p>
        </w:tc>
        <w:tc>
          <w:tcPr>
            <w:tcW w:type="dxa" w:w="6912"/>
            <w:vAlign w:val="center"/>
          </w:tcPr>
          <w:p>
            <w:pPr>
              <w:jc w:val="left"/>
            </w:pPr>
            <w:r/>
            <w:r>
              <w:rPr>
                <w:rFonts w:ascii="Yu Gothic" w:hAnsi="Yu Gothic" w:eastAsia="Yu Gothic"/>
                <w:b w:val="0"/>
                <w:sz w:val="17"/>
              </w:rPr>
              <w:t>外注遅延、出荷遅延、ライン負荷、補正要素を全体共通設定として管理する。</w:t>
            </w:r>
          </w:p>
        </w:tc>
      </w:tr>
    </w:tbl>
    <w:p/>
    <w:p>
      <w:pPr>
        <w:pStyle w:val="Heading1"/>
      </w:pPr>
      <w:r>
        <w:t>6. 配布時の補足</w:t>
      </w:r>
    </w:p>
    <w:p>
      <w:pPr>
        <w:pStyle w:val="ListBullet"/>
      </w:pPr>
      <w:r>
        <w:t>本仕様書は2026年7月29日時点の現行仕様をまとめたものです。</w:t>
      </w:r>
    </w:p>
    <w:p>
      <w:pPr>
        <w:pStyle w:val="ListBullet"/>
      </w:pPr>
      <w:r>
        <w:t>外注先マスタの工程名連携を利用するには、Supabaseで 20260728_subcontractor_process_name.sql を実行済みである必要があります。</w:t>
      </w:r>
    </w:p>
    <w:p>
      <w:pPr>
        <w:pStyle w:val="ListBullet"/>
      </w:pPr>
      <w:r>
        <w:t>今後、CSV入力、材料管理の拡張、AI予測画面の追加に合わせて改訂します。</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Yu Gothic" w:hAnsi="Yu Gothic" w:eastAsia="Yu Gothic"/>
        <w:color w:val="555555"/>
        <w:sz w:val="16"/>
      </w:rPr>
      <w:t>Kawane App System Specification / 2026-07-29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Yu Gothic" w:hAnsi="Yu Gothic" w:eastAsia="Yu Gothic"/>
      <w:b/>
      <w:bCs/>
      <w:color w:val="1F4D78"/>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Yu Gothic" w:hAnsi="Yu Gothic" w:eastAsia="Yu Gothic"/>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Yu Gothic" w:hAnsi="Yu Gothic" w:eastAsia="Yu Gothic"/>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