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erif CJK JP" w:hAnsi="Noto Serif CJK JP" w:eastAsia="Noto Serif CJK JP"/>
        </w:rPr>
        <w:t>ファイルをWordに変換します。これは日本語の通常の文書で、フォントにはToUnicodeが含まれています。ファイルをWordに変換します。これは日本語の通常の文書で、フォントにはToUnicodeが含まれています。ファイルをWordに変換します。これは日本語の通常の文書で、フォントにはToUnicodeが含まれています。</w:t>
      </w:r>
    </w:p>
    <w:p>
      <w:r>
        <w:rPr>
          <w:rFonts w:ascii="Noto Serif CJK SC" w:hAnsi="Noto Serif CJK SC" w:eastAsia="Noto Serif CJK SC"/>
        </w:rPr>
        <w:t>这是一个普通的中文文档，用于测试转换质量。这是一个普通的中文文档，用于测试转换质量。这是一个普通的中文文档，用于测试转换质量。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