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HỢP ĐỒNG DỊCH VỤ PHẦN MỀM</w:t>
      </w:r>
    </w:p>
    <w:p>
      <w:pPr>
        <w:pStyle w:val="Heading1"/>
      </w:pPr>
      <w:r>
        <w:t>1. Phạm vi công việc</w:t>
      </w:r>
    </w:p>
    <w:p>
      <w:r>
        <w:t>Điều khoản Ễ Ẳ Ư Ơ Đ: Bên A cam kết thực hiện đúng nghĩa vụ thanh toán trước ngày mười lăm hằng tháng, ưu tiên chuyển khoản qua ngân hàng.</w:t>
      </w:r>
    </w:p>
    <w:p>
      <w:pPr>
        <w:pStyle w:val="ListBullet"/>
      </w:pPr>
      <w:r>
        <w:t>Phân tích yêu cầu</w:t>
      </w:r>
    </w:p>
    <w:p>
      <w:pPr>
        <w:pStyle w:val="ListBullet"/>
      </w:pPr>
      <w:r>
        <w:t>Thiết kế giao diện</w:t>
      </w:r>
    </w:p>
    <w:p>
      <w:pPr>
        <w:pStyle w:val="ListBullet"/>
      </w:pPr>
      <w:r>
        <w:t>Kiểm thử ứng dụng</w:t>
      </w:r>
    </w:p>
    <w:p>
      <w:pPr>
        <w:pStyle w:val="Heading2"/>
      </w:pPr>
      <w:r>
        <w:t>1.1 Các bước thực hiện</w:t>
      </w:r>
    </w:p>
    <w:p>
      <w:pPr>
        <w:pStyle w:val="ListNumber"/>
      </w:pPr>
      <w:r>
        <w:t>Ký kết hợp đồng</w:t>
      </w:r>
    </w:p>
    <w:p>
      <w:pPr>
        <w:pStyle w:val="ListNumber"/>
      </w:pPr>
      <w:r>
        <w:t>Bàn giao tài liệu</w:t>
      </w:r>
    </w:p>
    <w:p>
      <w:pPr>
        <w:pStyle w:val="ListNumber"/>
      </w:pPr>
      <w:r>
        <w:t>Nghiệm thu sản phẩm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Đơn giá (đ)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Thiết kế</w:t>
            </w:r>
          </w:p>
        </w:tc>
        <w:tc>
          <w:tcPr>
            <w:tcW w:type="dxa" w:w="2880"/>
          </w:tcPr>
          <w:p>
            <w:r>
              <w:t>12.500.000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Lập trình</w:t>
            </w:r>
          </w:p>
        </w:tc>
        <w:tc>
          <w:tcPr>
            <w:tcW w:type="dxa" w:w="2880"/>
          </w:tcPr>
          <w:p>
            <w:r>
              <w:t>45.000.000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Bảo hành</w:t>
            </w:r>
          </w:p>
        </w:tc>
        <w:tc>
          <w:tcPr>
            <w:tcW w:type="dxa" w:w="2880"/>
          </w:tcPr>
          <w:p>
            <w:r>
              <w:t>Ưu đãi</w:t>
            </w:r>
          </w:p>
        </w:tc>
      </w:tr>
    </w:tbl>
    <w:p>
      <w:r>
        <w:t>Hình 1: Sơ đồ quy trình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Điều khoản thanh toán</w:t>
      </w:r>
    </w:p>
    <w:p>
      <w:r>
        <w:t>Đoạn này dạng tổ hợp NFD: Tiếng Việt có dấu đầy đủ, người ưng ý.</w:t>
      </w:r>
    </w:p>
    <w:p>
      <w:r>
        <w:t>Bên B chịu trách nhiệm bảo mật thông tin khách hàng trong suốt thời hạn hợp đồng và năm năm sau khi chấm dứt.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