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40"/>
          <w:szCs w:val="40"/>
        </w:rPr>
        <w:t xml:space="preserve">リスクスコア定義書</w:t>
      </w:r>
    </w:p>
    <w:p>
      <w:pPr>
        <w:spacing w:after="60" w:before="0"/>
        <w:jc w:val="center"/>
      </w:pPr>
      <w:r>
        <w:rPr>
          <w:rFonts w:ascii="Arial" w:cs="Arial" w:eastAsia="Arial" w:hAnsi="Arial"/>
          <w:color w:val="2E75B6"/>
          <w:sz w:val="20"/>
          <w:szCs w:val="20"/>
        </w:rPr>
        <w:t xml:space="preserve">全国ダム地質分類システム（propylite.work）</w:t>
      </w:r>
    </w:p>
    <w:p>
      <w:pPr>
        <w:spacing w:after="200" w:before="0"/>
        <w:jc w:val="center"/>
      </w:pPr>
      <w:r>
        <w:rPr>
          <w:rFonts w:ascii="Arial" w:cs="Arial" w:eastAsia="Arial" w:hAnsi="Arial"/>
          <w:color w:val="888888"/>
          <w:sz w:val="18"/>
          <w:szCs w:val="18"/>
        </w:rPr>
        <w:t xml:space="preserve">分析2.py  risk_rank() 関数  /  2026年4月</w:t>
      </w:r>
    </w:p>
    <w:p>
      <w:pPr>
        <w:pStyle w:val="Heading2"/>
        <w:spacing w:after="80" w:before="280"/>
      </w:pPr>
      <w:r>
        <w:rPr>
          <w:rFonts w:ascii="Arial" w:cs="Arial" w:eastAsia="Arial" w:hAnsi="Arial"/>
          <w:b/>
          <w:bCs/>
          <w:color w:val="1F4E79"/>
          <w:sz w:val="24"/>
          <w:szCs w:val="24"/>
        </w:rPr>
        <w:t xml:space="preserve">１．目的と位置づけ</w:t>
      </w:r>
    </w:p>
    <w:p>
      <w:pPr>
        <w:spacing w:after="70" w:before="70" w:line="360" w:lineRule="auto"/>
      </w:pPr>
      <w:r>
        <w:rPr>
          <w:rFonts w:ascii="Arial" w:cs="Arial" w:eastAsia="Arial" w:hAnsi="Arial"/>
          <w:sz w:val="20"/>
          <w:szCs w:val="20"/>
        </w:rPr>
        <w:t xml:space="preserve">リスクスコアは、GeoNAVI シームレス地質図V2 の凡例属性として付与されている「支持力（bearing_cap）」と「透水性（permeability）」の2つのテキスト値を、ダム基礎地質の工学的リスクとして統合・数値化するための指標である。</w:t>
      </w:r>
    </w:p>
    <w:p>
      <w:pPr>
        <w:spacing w:after="0" w:before="0"/>
      </w:pPr>
      <w:r>
        <w:t xml:space="preserve"/>
      </w:r>
    </w:p>
    <w:p>
      <w:pPr>
        <w:spacing w:after="70" w:before="70" w:line="360" w:lineRule="auto"/>
      </w:pPr>
      <w:r>
        <w:rPr>
          <w:rFonts w:ascii="Arial" w:cs="Arial" w:eastAsia="Arial" w:hAnsi="Arial"/>
          <w:sz w:val="20"/>
          <w:szCs w:val="20"/>
        </w:rPr>
        <w:t xml:space="preserve">このスコアは「支持力が低く、かつ透水性が高いほどダムの基礎処理・維持管理上のリスクが大きい」という地盤工学的な基本原則を単純な演算で表現したものであり、全国2749ダム・319種のSymbolを横断的に比較・ランク付けするために設計された。</w:t>
      </w:r>
    </w:p>
    <w:p>
      <w:pPr>
        <w:spacing w:after="0" w:before="0"/>
      </w:pPr>
      <w:r>
        <w:t xml:space="preserve"/>
      </w:r>
    </w:p>
    <w:p>
      <w:pPr>
        <w:pStyle w:val="Heading2"/>
        <w:spacing w:after="80" w:before="280"/>
      </w:pPr>
      <w:r>
        <w:rPr>
          <w:rFonts w:ascii="Arial" w:cs="Arial" w:eastAsia="Arial" w:hAnsi="Arial"/>
          <w:b/>
          <w:bCs/>
          <w:color w:val="1F4E79"/>
          <w:sz w:val="24"/>
          <w:szCs w:val="24"/>
        </w:rPr>
        <w:t xml:space="preserve">２．構成要素：支持力スコアと透水性スコア</w:t>
      </w:r>
    </w:p>
    <w:p>
      <w:pPr>
        <w:pStyle w:val="Heading3"/>
        <w:spacing w:after="60" w:before="200"/>
      </w:pPr>
      <w:r>
        <w:rPr>
          <w:rFonts w:ascii="Arial" w:cs="Arial" w:eastAsia="Arial" w:hAnsi="Arial"/>
          <w:b/>
          <w:bCs/>
          <w:color w:val="2E75B6"/>
          <w:sz w:val="21"/>
          <w:szCs w:val="21"/>
        </w:rPr>
        <w:t xml:space="preserve">2-1．支持力スコア（b_score）</w:t>
      </w:r>
    </w:p>
    <w:p>
      <w:pPr>
        <w:spacing w:after="70" w:before="70" w:line="360" w:lineRule="auto"/>
      </w:pPr>
      <w:r>
        <w:rPr>
          <w:rFonts w:ascii="Arial" w:cs="Arial" w:eastAsia="Arial" w:hAnsi="Arial"/>
          <w:sz w:val="20"/>
          <w:szCs w:val="20"/>
        </w:rPr>
        <w:t xml:space="preserve">GeoNAVI の bearing_cap フィールドの文字列値を、以下の対応表に従って1〜5の整数スコアに変換する。値が小さいほど支持力が低く、ダム基礎として不利であることを示す。</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026"/>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bearing_cap（支持力）の値</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スコア</w:t>
            </w:r>
          </w:p>
        </w:tc>
        <w:tc>
          <w:tcPr>
            <w:tcW w:type="dxa" w:w="4026"/>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工学的意味</w:t>
            </w:r>
          </w:p>
        </w:tc>
      </w:tr>
      <w:tr>
        <w:tc>
          <w:tcPr>
            <w:tcW w:type="dxa" w:w="3800"/>
            <w:tcBorders>
              <w:top w:val="single" w:color="CCCCCC" w:sz="1"/>
              <w:left w:val="single" w:color="CCCCCC" w:sz="1"/>
              <w:bottom w:val="single" w:color="CCCCCC" w:sz="1"/>
              <w:right w:val="single" w:color="CCCCCC" w:sz="1"/>
            </w:tcBorders>
            <w:shd w:fill="FFE0E0"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低</w:t>
            </w:r>
          </w:p>
        </w:tc>
        <w:tc>
          <w:tcPr>
            <w:tcW w:type="dxa" w:w="1200"/>
            <w:tcBorders>
              <w:top w:val="single" w:color="CCCCCC" w:sz="1"/>
              <w:left w:val="single" w:color="CCCCCC" w:sz="1"/>
              <w:bottom w:val="single" w:color="CCCCCC" w:sz="1"/>
              <w:right w:val="single" w:color="CCCCCC" w:sz="1"/>
            </w:tcBorders>
            <w:shd w:fill="FFE0E0" w:val="clear"/>
            <w:tcMar>
              <w:top w:type="dxa" w:w="80"/>
              <w:left w:type="dxa" w:w="100"/>
              <w:bottom w:type="dxa" w:w="80"/>
              <w:right w:type="dxa" w:w="80"/>
            </w:tcMar>
          </w:tcPr>
          <w:p>
            <w:pPr>
              <w:jc w:val="center"/>
            </w:pPr>
            <w:r>
              <w:rPr>
                <w:rFonts w:ascii="Arial" w:cs="Arial" w:eastAsia="Arial" w:hAnsi="Arial"/>
                <w:b/>
                <w:bCs/>
                <w:color w:val="000000"/>
                <w:sz w:val="18"/>
                <w:szCs w:val="18"/>
              </w:rPr>
              <w:t xml:space="preserve">1</w:t>
            </w:r>
          </w:p>
        </w:tc>
        <w:tc>
          <w:tcPr>
            <w:tcW w:type="dxa" w:w="4026"/>
            <w:tcBorders>
              <w:top w:val="single" w:color="CCCCCC" w:sz="1"/>
              <w:left w:val="single" w:color="CCCCCC" w:sz="1"/>
              <w:bottom w:val="single" w:color="CCCCCC" w:sz="1"/>
              <w:right w:val="single" w:color="CCCCCC" w:sz="1"/>
            </w:tcBorders>
            <w:shd w:fill="FFE0E0"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支持力が低く、基礎岩盤として最も不利な状態</w:t>
            </w:r>
          </w:p>
        </w:tc>
      </w:tr>
      <w:tr>
        <w:tc>
          <w:tcPr>
            <w:tcW w:type="dxa" w:w="3800"/>
            <w:tcBorders>
              <w:top w:val="single" w:color="CCCCCC" w:sz="1"/>
              <w:left w:val="single" w:color="CCCCCC" w:sz="1"/>
              <w:bottom w:val="single" w:color="CCCCCC" w:sz="1"/>
              <w:right w:val="single" w:color="CCCCCC" w:sz="1"/>
            </w:tcBorders>
            <w:shd w:fill="FFF8DC"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低〜中</w:t>
            </w:r>
          </w:p>
        </w:tc>
        <w:tc>
          <w:tcPr>
            <w:tcW w:type="dxa" w:w="1200"/>
            <w:tcBorders>
              <w:top w:val="single" w:color="CCCCCC" w:sz="1"/>
              <w:left w:val="single" w:color="CCCCCC" w:sz="1"/>
              <w:bottom w:val="single" w:color="CCCCCC" w:sz="1"/>
              <w:right w:val="single" w:color="CCCCCC" w:sz="1"/>
            </w:tcBorders>
            <w:shd w:fill="FFF8DC" w:val="clear"/>
            <w:tcMar>
              <w:top w:type="dxa" w:w="80"/>
              <w:left w:type="dxa" w:w="100"/>
              <w:bottom w:type="dxa" w:w="80"/>
              <w:right w:type="dxa" w:w="80"/>
            </w:tcMar>
          </w:tcPr>
          <w:p>
            <w:pPr>
              <w:jc w:val="center"/>
            </w:pPr>
            <w:r>
              <w:rPr>
                <w:rFonts w:ascii="Arial" w:cs="Arial" w:eastAsia="Arial" w:hAnsi="Arial"/>
                <w:b/>
                <w:bCs/>
                <w:color w:val="000000"/>
                <w:sz w:val="18"/>
                <w:szCs w:val="18"/>
              </w:rPr>
              <w:t xml:space="preserve">2</w:t>
            </w:r>
          </w:p>
        </w:tc>
        <w:tc>
          <w:tcPr>
            <w:tcW w:type="dxa" w:w="4026"/>
            <w:tcBorders>
              <w:top w:val="single" w:color="CCCCCC" w:sz="1"/>
              <w:left w:val="single" w:color="CCCCCC" w:sz="1"/>
              <w:bottom w:val="single" w:color="CCCCCC" w:sz="1"/>
              <w:right w:val="single" w:color="CCCCCC" w:sz="1"/>
            </w:tcBorders>
            <w:shd w:fill="FFF8DC"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支持力がやや低く、基礎処理に注意が必要</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中</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pPr>
              <w:jc w:val="center"/>
            </w:pPr>
            <w:r>
              <w:rPr>
                <w:rFonts w:ascii="Arial" w:cs="Arial" w:eastAsia="Arial" w:hAnsi="Arial"/>
                <w:b/>
                <w:bCs/>
                <w:color w:val="000000"/>
                <w:sz w:val="18"/>
                <w:szCs w:val="18"/>
              </w:rPr>
              <w:t xml:space="preserve">3</w:t>
            </w:r>
          </w:p>
        </w:tc>
        <w:tc>
          <w:tcPr>
            <w:tcW w:type="dxa" w:w="402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中程度の支持力。岩種・施工条件に応じた評価が必要</w:t>
            </w:r>
          </w:p>
        </w:tc>
      </w:tr>
      <w:tr>
        <w:tc>
          <w:tcPr>
            <w:tcW w:type="dxa" w:w="3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中〜高</w:t>
            </w:r>
          </w:p>
        </w:tc>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80"/>
            </w:tcMar>
          </w:tcPr>
          <w:p>
            <w:pPr>
              <w:jc w:val="center"/>
            </w:pPr>
            <w:r>
              <w:rPr>
                <w:rFonts w:ascii="Arial" w:cs="Arial" w:eastAsia="Arial" w:hAnsi="Arial"/>
                <w:b/>
                <w:bCs/>
                <w:color w:val="000000"/>
                <w:sz w:val="18"/>
                <w:szCs w:val="18"/>
              </w:rPr>
              <w:t xml:space="preserve">4</w:t>
            </w:r>
          </w:p>
        </w:tc>
        <w:tc>
          <w:tcPr>
            <w:tcW w:type="dxa" w:w="4026"/>
            <w:tcBorders>
              <w:top w:val="single" w:color="CCCCCC" w:sz="1"/>
              <w:left w:val="single" w:color="CCCCCC" w:sz="1"/>
              <w:bottom w:val="single" w:color="CCCCCC" w:sz="1"/>
              <w:right w:val="single" w:color="CCCCCC" w:sz="1"/>
            </w:tcBorders>
            <w:shd w:fill="E8F5E9"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概ね良好な支持力</w:t>
            </w:r>
          </w:p>
        </w:tc>
      </w:tr>
      <w:tr>
        <w:tc>
          <w:tcPr>
            <w:tcW w:type="dxa" w:w="3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中〜高（溶結度依存）</w:t>
            </w:r>
          </w:p>
        </w:tc>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80"/>
            </w:tcMar>
          </w:tcPr>
          <w:p>
            <w:pPr>
              <w:jc w:val="center"/>
            </w:pPr>
            <w:r>
              <w:rPr>
                <w:rFonts w:ascii="Arial" w:cs="Arial" w:eastAsia="Arial" w:hAnsi="Arial"/>
                <w:b/>
                <w:bCs/>
                <w:color w:val="000000"/>
                <w:sz w:val="18"/>
                <w:szCs w:val="18"/>
              </w:rPr>
              <w:t xml:space="preserve">4</w:t>
            </w:r>
          </w:p>
        </w:tc>
        <w:tc>
          <w:tcPr>
            <w:tcW w:type="dxa" w:w="4026"/>
            <w:tcBorders>
              <w:top w:val="single" w:color="CCCCCC" w:sz="1"/>
              <w:left w:val="single" w:color="CCCCCC" w:sz="1"/>
              <w:bottom w:val="single" w:color="CCCCCC" w:sz="1"/>
              <w:right w:val="single" w:color="CCCCCC" w:sz="1"/>
            </w:tcBorders>
            <w:shd w:fill="E8F5E9"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溶結凝灰岩・火砕流堆積物。溶結度により強度が変化。平均的には中〜高</w:t>
            </w:r>
          </w:p>
        </w:tc>
      </w:tr>
      <w:tr>
        <w:tc>
          <w:tcPr>
            <w:tcW w:type="dxa" w:w="3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高（続成固結）</w:t>
            </w:r>
          </w:p>
        </w:tc>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80"/>
            </w:tcMar>
          </w:tcPr>
          <w:p>
            <w:pPr>
              <w:jc w:val="center"/>
            </w:pPr>
            <w:r>
              <w:rPr>
                <w:rFonts w:ascii="Arial" w:cs="Arial" w:eastAsia="Arial" w:hAnsi="Arial"/>
                <w:b/>
                <w:bCs/>
                <w:color w:val="000000"/>
                <w:sz w:val="18"/>
                <w:szCs w:val="18"/>
              </w:rPr>
              <w:t xml:space="preserve">5</w:t>
            </w:r>
          </w:p>
        </w:tc>
        <w:tc>
          <w:tcPr>
            <w:tcW w:type="dxa" w:w="4026"/>
            <w:tcBorders>
              <w:top w:val="single" w:color="CCCCCC" w:sz="1"/>
              <w:left w:val="single" w:color="CCCCCC" w:sz="1"/>
              <w:bottom w:val="single" w:color="CCCCCC" w:sz="1"/>
              <w:right w:val="single" w:color="CCCCCC" w:sz="1"/>
            </w:tcBorders>
            <w:shd w:fill="E8F5E9"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続成固結した石灰岩等。固結度は高いが節理・溶食に注意</w:t>
            </w:r>
          </w:p>
        </w:tc>
      </w:tr>
      <w:tr>
        <w:tc>
          <w:tcPr>
            <w:tcW w:type="dxa" w:w="3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高</w:t>
            </w:r>
          </w:p>
        </w:tc>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80"/>
            </w:tcMar>
          </w:tcPr>
          <w:p>
            <w:pPr>
              <w:jc w:val="center"/>
            </w:pPr>
            <w:r>
              <w:rPr>
                <w:rFonts w:ascii="Arial" w:cs="Arial" w:eastAsia="Arial" w:hAnsi="Arial"/>
                <w:b/>
                <w:bCs/>
                <w:color w:val="000000"/>
                <w:sz w:val="18"/>
                <w:szCs w:val="18"/>
              </w:rPr>
              <w:t xml:space="preserve">5</w:t>
            </w:r>
          </w:p>
        </w:tc>
        <w:tc>
          <w:tcPr>
            <w:tcW w:type="dxa" w:w="4026"/>
            <w:tcBorders>
              <w:top w:val="single" w:color="CCCCCC" w:sz="1"/>
              <w:left w:val="single" w:color="CCCCCC" w:sz="1"/>
              <w:bottom w:val="single" w:color="CCCCCC" w:sz="1"/>
              <w:right w:val="single" w:color="CCCCCC" w:sz="1"/>
            </w:tcBorders>
            <w:shd w:fill="E8F5E9"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花崗岩・深成岩等。最も安定した支持力</w:t>
            </w:r>
          </w:p>
        </w:tc>
      </w:tr>
    </w:tbl>
    <w:p>
      <w:pPr>
        <w:spacing w:after="0" w:before="0"/>
      </w:pPr>
      <w:r>
        <w:t xml:space="preserve"/>
      </w:r>
    </w:p>
    <w:p>
      <w:pPr>
        <w:spacing w:after="70" w:before="70" w:line="360" w:lineRule="auto"/>
      </w:pPr>
      <w:r>
        <w:rPr>
          <w:rFonts w:ascii="Arial" w:cs="Arial" w:eastAsia="Arial" w:hAnsi="Arial"/>
          <w:sz w:val="20"/>
          <w:szCs w:val="20"/>
        </w:rPr>
        <w:t xml:space="preserve">※ スコア変換に対応する値がない場合は </w:t>
      </w:r>
      <w:r>
        <w:rPr>
          <w:rFonts w:ascii="Arial" w:cs="Arial" w:eastAsia="Arial" w:hAnsi="Arial"/>
          <w:b/>
          <w:bCs/>
          <w:color w:val="1F4E79"/>
          <w:sz w:val="20"/>
          <w:szCs w:val="20"/>
        </w:rPr>
        <w:t xml:space="preserve">0</w:t>
      </w:r>
      <w:r>
        <w:rPr>
          <w:rFonts w:ascii="Arial" w:cs="Arial" w:eastAsia="Arial" w:hAnsi="Arial"/>
          <w:sz w:val="20"/>
          <w:szCs w:val="20"/>
        </w:rPr>
        <w:t xml:space="preserve"> を返し、リスクスコアの計算から除外される。</w:t>
      </w:r>
    </w:p>
    <w:p>
      <w:pPr>
        <w:spacing w:after="0" w:before="0"/>
      </w:pPr>
      <w:r>
        <w:t xml:space="preserve"/>
      </w:r>
    </w:p>
    <w:p>
      <w:pPr>
        <w:pStyle w:val="Heading3"/>
        <w:spacing w:after="60" w:before="200"/>
      </w:pPr>
      <w:r>
        <w:rPr>
          <w:rFonts w:ascii="Arial" w:cs="Arial" w:eastAsia="Arial" w:hAnsi="Arial"/>
          <w:b/>
          <w:bCs/>
          <w:color w:val="2E75B6"/>
          <w:sz w:val="21"/>
          <w:szCs w:val="21"/>
        </w:rPr>
        <w:t xml:space="preserve">2-2．透水性スコア（p_score）</w:t>
      </w:r>
    </w:p>
    <w:p>
      <w:pPr>
        <w:spacing w:after="70" w:before="70" w:line="360" w:lineRule="auto"/>
      </w:pPr>
      <w:r>
        <w:rPr>
          <w:rFonts w:ascii="Arial" w:cs="Arial" w:eastAsia="Arial" w:hAnsi="Arial"/>
          <w:sz w:val="20"/>
          <w:szCs w:val="20"/>
        </w:rPr>
        <w:t xml:space="preserve">GeoNAVI の permeability フィールドの文字列値を、以下の対応表に従って1〜4の整数スコアに変換する。値が大きいほど透水性が高く、漏水リスクや基礎処理コストが増大することを示す。</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026"/>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permeability（透水性）の値</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スコア</w:t>
            </w:r>
          </w:p>
        </w:tc>
        <w:tc>
          <w:tcPr>
            <w:tcW w:type="dxa" w:w="4026"/>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工学的意味</w:t>
            </w:r>
          </w:p>
        </w:tc>
      </w:tr>
      <w:tr>
        <w:tc>
          <w:tcPr>
            <w:tcW w:type="dxa" w:w="3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低〜中</w:t>
            </w:r>
          </w:p>
        </w:tc>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80"/>
            </w:tcMar>
          </w:tcPr>
          <w:p>
            <w:pPr>
              <w:jc w:val="center"/>
            </w:pPr>
            <w:r>
              <w:rPr>
                <w:rFonts w:ascii="Arial" w:cs="Arial" w:eastAsia="Arial" w:hAnsi="Arial"/>
                <w:b/>
                <w:bCs/>
                <w:color w:val="000000"/>
                <w:sz w:val="18"/>
                <w:szCs w:val="18"/>
              </w:rPr>
              <w:t xml:space="preserve">1</w:t>
            </w:r>
          </w:p>
        </w:tc>
        <w:tc>
          <w:tcPr>
            <w:tcW w:type="dxa" w:w="4026"/>
            <w:tcBorders>
              <w:top w:val="single" w:color="CCCCCC" w:sz="1"/>
              <w:left w:val="single" w:color="CCCCCC" w:sz="1"/>
              <w:bottom w:val="single" w:color="CCCCCC" w:sz="1"/>
              <w:right w:val="single" w:color="CCCCCC" w:sz="1"/>
            </w:tcBorders>
            <w:shd w:fill="E8F5E9"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透水性が低く、止水・基礎処理が比較的容易</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中（節理閉鎖）</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pPr>
              <w:jc w:val="center"/>
            </w:pPr>
            <w:r>
              <w:rPr>
                <w:rFonts w:ascii="Arial" w:cs="Arial" w:eastAsia="Arial" w:hAnsi="Arial"/>
                <w:b/>
                <w:bCs/>
                <w:color w:val="000000"/>
                <w:sz w:val="18"/>
                <w:szCs w:val="18"/>
              </w:rPr>
              <w:t xml:space="preserve">2</w:t>
            </w:r>
          </w:p>
        </w:tc>
        <w:tc>
          <w:tcPr>
            <w:tcW w:type="dxa" w:w="402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節理が閉鎖している状態。見かけ上の透水性は低いが節理開口に注意</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中</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pPr>
              <w:jc w:val="center"/>
            </w:pPr>
            <w:r>
              <w:rPr>
                <w:rFonts w:ascii="Arial" w:cs="Arial" w:eastAsia="Arial" w:hAnsi="Arial"/>
                <w:b/>
                <w:bCs/>
                <w:color w:val="000000"/>
                <w:sz w:val="18"/>
                <w:szCs w:val="18"/>
              </w:rPr>
              <w:t xml:space="preserve">2</w:t>
            </w:r>
          </w:p>
        </w:tc>
        <w:tc>
          <w:tcPr>
            <w:tcW w:type="dxa" w:w="402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中程度の透水性</w:t>
            </w:r>
          </w:p>
        </w:tc>
      </w:tr>
      <w:tr>
        <w:tc>
          <w:tcPr>
            <w:tcW w:type="dxa" w:w="3800"/>
            <w:tcBorders>
              <w:top w:val="single" w:color="CCCCCC" w:sz="1"/>
              <w:left w:val="single" w:color="CCCCCC" w:sz="1"/>
              <w:bottom w:val="single" w:color="CCCCCC" w:sz="1"/>
              <w:right w:val="single" w:color="CCCCCC" w:sz="1"/>
            </w:tcBorders>
            <w:shd w:fill="FFF8DC"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中〜高</w:t>
            </w:r>
          </w:p>
        </w:tc>
        <w:tc>
          <w:tcPr>
            <w:tcW w:type="dxa" w:w="1200"/>
            <w:tcBorders>
              <w:top w:val="single" w:color="CCCCCC" w:sz="1"/>
              <w:left w:val="single" w:color="CCCCCC" w:sz="1"/>
              <w:bottom w:val="single" w:color="CCCCCC" w:sz="1"/>
              <w:right w:val="single" w:color="CCCCCC" w:sz="1"/>
            </w:tcBorders>
            <w:shd w:fill="FFF8DC" w:val="clear"/>
            <w:tcMar>
              <w:top w:type="dxa" w:w="80"/>
              <w:left w:type="dxa" w:w="100"/>
              <w:bottom w:type="dxa" w:w="80"/>
              <w:right w:type="dxa" w:w="80"/>
            </w:tcMar>
          </w:tcPr>
          <w:p>
            <w:pPr>
              <w:jc w:val="center"/>
            </w:pPr>
            <w:r>
              <w:rPr>
                <w:rFonts w:ascii="Arial" w:cs="Arial" w:eastAsia="Arial" w:hAnsi="Arial"/>
                <w:b/>
                <w:bCs/>
                <w:color w:val="000000"/>
                <w:sz w:val="18"/>
                <w:szCs w:val="18"/>
              </w:rPr>
              <w:t xml:space="preserve">3</w:t>
            </w:r>
          </w:p>
        </w:tc>
        <w:tc>
          <w:tcPr>
            <w:tcW w:type="dxa" w:w="4026"/>
            <w:tcBorders>
              <w:top w:val="single" w:color="CCCCCC" w:sz="1"/>
              <w:left w:val="single" w:color="CCCCCC" w:sz="1"/>
              <w:bottom w:val="single" w:color="CCCCCC" w:sz="1"/>
              <w:right w:val="single" w:color="CCCCCC" w:sz="1"/>
            </w:tcBorders>
            <w:shd w:fill="FFF8DC"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やや透水性が高く、グラウチング等の対策が必要になる場合がある</w:t>
            </w:r>
          </w:p>
        </w:tc>
      </w:tr>
      <w:tr>
        <w:tc>
          <w:tcPr>
            <w:tcW w:type="dxa" w:w="3800"/>
            <w:tcBorders>
              <w:top w:val="single" w:color="CCCCCC" w:sz="1"/>
              <w:left w:val="single" w:color="CCCCCC" w:sz="1"/>
              <w:bottom w:val="single" w:color="CCCCCC" w:sz="1"/>
              <w:right w:val="single" w:color="CCCCCC" w:sz="1"/>
            </w:tcBorders>
            <w:shd w:fill="FFE0E0"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高</w:t>
            </w:r>
          </w:p>
        </w:tc>
        <w:tc>
          <w:tcPr>
            <w:tcW w:type="dxa" w:w="1200"/>
            <w:tcBorders>
              <w:top w:val="single" w:color="CCCCCC" w:sz="1"/>
              <w:left w:val="single" w:color="CCCCCC" w:sz="1"/>
              <w:bottom w:val="single" w:color="CCCCCC" w:sz="1"/>
              <w:right w:val="single" w:color="CCCCCC" w:sz="1"/>
            </w:tcBorders>
            <w:shd w:fill="FFE0E0" w:val="clear"/>
            <w:tcMar>
              <w:top w:type="dxa" w:w="80"/>
              <w:left w:type="dxa" w:w="100"/>
              <w:bottom w:type="dxa" w:w="80"/>
              <w:right w:type="dxa" w:w="80"/>
            </w:tcMar>
          </w:tcPr>
          <w:p>
            <w:pPr>
              <w:jc w:val="center"/>
            </w:pPr>
            <w:r>
              <w:rPr>
                <w:rFonts w:ascii="Arial" w:cs="Arial" w:eastAsia="Arial" w:hAnsi="Arial"/>
                <w:b/>
                <w:bCs/>
                <w:color w:val="000000"/>
                <w:sz w:val="18"/>
                <w:szCs w:val="18"/>
              </w:rPr>
              <w:t xml:space="preserve">4</w:t>
            </w:r>
          </w:p>
        </w:tc>
        <w:tc>
          <w:tcPr>
            <w:tcW w:type="dxa" w:w="4026"/>
            <w:tcBorders>
              <w:top w:val="single" w:color="CCCCCC" w:sz="1"/>
              <w:left w:val="single" w:color="CCCCCC" w:sz="1"/>
              <w:bottom w:val="single" w:color="CCCCCC" w:sz="1"/>
              <w:right w:val="single" w:color="CCCCCC" w:sz="1"/>
            </w:tcBorders>
            <w:shd w:fill="FFE0E0"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透水性が高く、漏水・パイピング・グラウト量大のリスクが高い</w:t>
            </w:r>
          </w:p>
        </w:tc>
      </w:tr>
      <w:tr>
        <w:tc>
          <w:tcPr>
            <w:tcW w:type="dxa" w:w="3800"/>
            <w:tcBorders>
              <w:top w:val="single" w:color="CCCCCC" w:sz="1"/>
              <w:left w:val="single" w:color="CCCCCC" w:sz="1"/>
              <w:bottom w:val="single" w:color="CCCCCC" w:sz="1"/>
              <w:right w:val="single" w:color="CCCCCC" w:sz="1"/>
            </w:tcBorders>
            <w:shd w:fill="FFE0E0"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高（柱状節理）</w:t>
            </w:r>
          </w:p>
        </w:tc>
        <w:tc>
          <w:tcPr>
            <w:tcW w:type="dxa" w:w="1200"/>
            <w:tcBorders>
              <w:top w:val="single" w:color="CCCCCC" w:sz="1"/>
              <w:left w:val="single" w:color="CCCCCC" w:sz="1"/>
              <w:bottom w:val="single" w:color="CCCCCC" w:sz="1"/>
              <w:right w:val="single" w:color="CCCCCC" w:sz="1"/>
            </w:tcBorders>
            <w:shd w:fill="FFE0E0" w:val="clear"/>
            <w:tcMar>
              <w:top w:type="dxa" w:w="80"/>
              <w:left w:type="dxa" w:w="100"/>
              <w:bottom w:type="dxa" w:w="80"/>
              <w:right w:type="dxa" w:w="80"/>
            </w:tcMar>
          </w:tcPr>
          <w:p>
            <w:pPr>
              <w:jc w:val="center"/>
            </w:pPr>
            <w:r>
              <w:rPr>
                <w:rFonts w:ascii="Arial" w:cs="Arial" w:eastAsia="Arial" w:hAnsi="Arial"/>
                <w:b/>
                <w:bCs/>
                <w:color w:val="000000"/>
                <w:sz w:val="18"/>
                <w:szCs w:val="18"/>
              </w:rPr>
              <w:t xml:space="preserve">4</w:t>
            </w:r>
          </w:p>
        </w:tc>
        <w:tc>
          <w:tcPr>
            <w:tcW w:type="dxa" w:w="4026"/>
            <w:tcBorders>
              <w:top w:val="single" w:color="CCCCCC" w:sz="1"/>
              <w:left w:val="single" w:color="CCCCCC" w:sz="1"/>
              <w:bottom w:val="single" w:color="CCCCCC" w:sz="1"/>
              <w:right w:val="single" w:color="CCCCCC" w:sz="1"/>
            </w:tcBorders>
            <w:shd w:fill="FFE0E0"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柱状節理発達の火山岩。節理沿いの漏水と大量グラウト注入が特徴</w:t>
            </w:r>
          </w:p>
        </w:tc>
      </w:tr>
      <w:tr>
        <w:tc>
          <w:tcPr>
            <w:tcW w:type="dxa" w:w="3800"/>
            <w:tcBorders>
              <w:top w:val="single" w:color="CCCCCC" w:sz="1"/>
              <w:left w:val="single" w:color="CCCCCC" w:sz="1"/>
              <w:bottom w:val="single" w:color="CCCCCC" w:sz="1"/>
              <w:right w:val="single" w:color="CCCCCC" w:sz="1"/>
            </w:tcBorders>
            <w:shd w:fill="FFE0E0"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高（柱状節理・カルデラ）</w:t>
            </w:r>
          </w:p>
        </w:tc>
        <w:tc>
          <w:tcPr>
            <w:tcW w:type="dxa" w:w="1200"/>
            <w:tcBorders>
              <w:top w:val="single" w:color="CCCCCC" w:sz="1"/>
              <w:left w:val="single" w:color="CCCCCC" w:sz="1"/>
              <w:bottom w:val="single" w:color="CCCCCC" w:sz="1"/>
              <w:right w:val="single" w:color="CCCCCC" w:sz="1"/>
            </w:tcBorders>
            <w:shd w:fill="FFE0E0" w:val="clear"/>
            <w:tcMar>
              <w:top w:type="dxa" w:w="80"/>
              <w:left w:type="dxa" w:w="100"/>
              <w:bottom w:type="dxa" w:w="80"/>
              <w:right w:type="dxa" w:w="80"/>
            </w:tcMar>
          </w:tcPr>
          <w:p>
            <w:pPr>
              <w:jc w:val="center"/>
            </w:pPr>
            <w:r>
              <w:rPr>
                <w:rFonts w:ascii="Arial" w:cs="Arial" w:eastAsia="Arial" w:hAnsi="Arial"/>
                <w:b/>
                <w:bCs/>
                <w:color w:val="000000"/>
                <w:sz w:val="18"/>
                <w:szCs w:val="18"/>
              </w:rPr>
              <w:t xml:space="preserve">4</w:t>
            </w:r>
          </w:p>
        </w:tc>
        <w:tc>
          <w:tcPr>
            <w:tcW w:type="dxa" w:w="4026"/>
            <w:tcBorders>
              <w:top w:val="single" w:color="CCCCCC" w:sz="1"/>
              <w:left w:val="single" w:color="CCCCCC" w:sz="1"/>
              <w:bottom w:val="single" w:color="CCCCCC" w:sz="1"/>
              <w:right w:val="single" w:color="CCCCCC" w:sz="1"/>
            </w:tcBorders>
            <w:shd w:fill="FFE0E0"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カルデラ地形内の火山岩。柱状節理に加えてカルデラ構造による複雑な地下水系</w:t>
            </w:r>
          </w:p>
        </w:tc>
      </w:tr>
    </w:tbl>
    <w:p>
      <w:pPr>
        <w:spacing w:after="0" w:before="0"/>
      </w:pPr>
      <w:r>
        <w:t xml:space="preserve"/>
      </w:r>
    </w:p>
    <w:p>
      <w:pPr>
        <w:pStyle w:val="Heading2"/>
        <w:spacing w:after="80" w:before="280"/>
      </w:pPr>
      <w:r>
        <w:rPr>
          <w:rFonts w:ascii="Arial" w:cs="Arial" w:eastAsia="Arial" w:hAnsi="Arial"/>
          <w:b/>
          <w:bCs/>
          <w:color w:val="1F4E79"/>
          <w:sz w:val="24"/>
          <w:szCs w:val="24"/>
        </w:rPr>
        <w:t xml:space="preserve">３．リスクスコアの計算式</w:t>
      </w:r>
    </w:p>
    <w:p>
      <w:pPr>
        <w:spacing w:after="70" w:before="70" w:line="360" w:lineRule="auto"/>
      </w:pPr>
      <w:r>
        <w:rPr>
          <w:rFonts w:ascii="Arial" w:cs="Arial" w:eastAsia="Arial" w:hAnsi="Arial"/>
          <w:sz w:val="20"/>
          <w:szCs w:val="20"/>
        </w:rPr>
        <w:t xml:space="preserve">支持力スコアと透水性スコアを以下の式で統合する。</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160"/>
              <w:left w:type="dxa" w:w="300"/>
              <w:bottom w:type="dxa" w:w="160"/>
              <w:right w:type="dxa" w:w="300"/>
            </w:tcMar>
          </w:tcPr>
          <w:p>
            <w:pPr>
              <w:spacing w:after="20" w:before="40"/>
              <w:jc w:val="center"/>
            </w:pPr>
            <w:r>
              <w:rPr>
                <w:rFonts w:ascii="Arial" w:cs="Arial" w:eastAsia="Arial" w:hAnsi="Arial"/>
                <w:b/>
                <w:bCs/>
                <w:color w:val="1F4E79"/>
                <w:sz w:val="26"/>
                <w:szCs w:val="26"/>
              </w:rPr>
              <w:t xml:space="preserve">リスクスコア  ＝  ( 5 − 支持力スコア )  ＋  透水性スコア</w:t>
            </w:r>
          </w:p>
          <w:p>
            <w:pPr>
              <w:spacing w:after="40" w:before="20"/>
              <w:jc w:val="center"/>
            </w:pPr>
            <w:r>
              <w:rPr>
                <w:rFonts w:ascii="Courier New" w:cs="Courier New" w:eastAsia="Courier New" w:hAnsi="Courier New"/>
                <w:color w:val="2E75B6"/>
                <w:sz w:val="19"/>
                <w:szCs w:val="19"/>
              </w:rPr>
              <w:t xml:space="preserve">risk_rank(bearing, perm)  =  (5 − b_score)  +  p_score</w:t>
            </w:r>
          </w:p>
        </w:tc>
      </w:tr>
    </w:tbl>
    <w:p>
      <w:pPr>
        <w:spacing w:after="0" w:before="0"/>
      </w:pPr>
      <w:r>
        <w:t xml:space="preserve"/>
      </w:r>
    </w:p>
    <w:p>
      <w:pPr>
        <w:spacing w:after="70" w:before="70" w:line="360" w:lineRule="auto"/>
      </w:pPr>
      <w:r>
        <w:rPr>
          <w:rFonts w:ascii="Arial" w:cs="Arial" w:eastAsia="Arial" w:hAnsi="Arial"/>
          <w:sz w:val="20"/>
          <w:szCs w:val="20"/>
        </w:rPr>
        <w:t xml:space="preserve">式の設計意図は以下のとおりである。</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項</w:t>
            </w:r>
          </w:p>
        </w:tc>
        <w:tc>
          <w:tcPr>
            <w:tcW w:type="dxa" w:w="7626"/>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意味</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80"/>
            </w:tcMar>
          </w:tcPr>
          <w:p>
            <w:pPr>
              <w:jc w:val="center"/>
            </w:pPr>
            <w:r>
              <w:rPr>
                <w:rFonts w:ascii="Arial" w:cs="Arial" w:eastAsia="Arial" w:hAnsi="Arial"/>
                <w:b/>
                <w:bCs/>
                <w:color w:val="000000"/>
                <w:sz w:val="18"/>
                <w:szCs w:val="18"/>
              </w:rPr>
              <w:t xml:space="preserve">5 − b_score</w:t>
            </w:r>
          </w:p>
        </w:tc>
        <w:tc>
          <w:tcPr>
            <w:tcW w:type="dxa" w:w="7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18"/>
                <w:szCs w:val="18"/>
              </w:rPr>
              <w:t xml:space="preserve">支持力が低い（b_scoreが小さい）ほど大きくなる項。支持力=低（スコア1）のとき 5−1=4 と最大、支持力=高（スコア5）のとき 5−5=0 となる</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80"/>
            </w:tcMar>
          </w:tcPr>
          <w:p>
            <w:pPr>
              <w:jc w:val="center"/>
            </w:pPr>
            <w:r>
              <w:rPr>
                <w:rFonts w:ascii="Arial" w:cs="Arial" w:eastAsia="Arial" w:hAnsi="Arial"/>
                <w:b/>
                <w:bCs/>
                <w:color w:val="000000"/>
                <w:sz w:val="18"/>
                <w:szCs w:val="18"/>
              </w:rPr>
              <w:t xml:space="preserve">+ p_score</w:t>
            </w:r>
          </w:p>
        </w:tc>
        <w:tc>
          <w:tcPr>
            <w:tcW w:type="dxa" w:w="7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18"/>
                <w:szCs w:val="18"/>
              </w:rPr>
              <w:t xml:space="preserve">透水性が高い（p_scoreが大きい）ほど加算される項。透水性=高（スコア4）のとき最大加算</w:t>
            </w:r>
          </w:p>
        </w:tc>
      </w:tr>
    </w:tbl>
    <w:p>
      <w:pPr>
        <w:spacing w:after="0" w:before="0"/>
      </w:pPr>
      <w:r>
        <w:t xml:space="preserve"/>
      </w:r>
    </w:p>
    <w:p>
      <w:pPr>
        <w:pStyle w:val="Heading2"/>
        <w:spacing w:after="80" w:before="280"/>
      </w:pPr>
      <w:r>
        <w:rPr>
          <w:rFonts w:ascii="Arial" w:cs="Arial" w:eastAsia="Arial" w:hAnsi="Arial"/>
          <w:b/>
          <w:bCs/>
          <w:color w:val="1F4E79"/>
          <w:sz w:val="24"/>
          <w:szCs w:val="24"/>
        </w:rPr>
        <w:t xml:space="preserve">４．スコアの範囲と代表的な組合せ</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226"/>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支持力</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透水性</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リスクスコア</w:t>
            </w:r>
          </w:p>
        </w:tc>
        <w:tc>
          <w:tcPr>
            <w:tcW w:type="dxa" w:w="4226"/>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代表Symbol・主リスク</w:t>
            </w:r>
          </w:p>
        </w:tc>
      </w:tr>
      <w:tr>
        <w:tc>
          <w:tcPr>
            <w:tcW w:type="dxa" w:w="1600"/>
            <w:tcBorders>
              <w:top w:val="single" w:color="CCCCCC" w:sz="1"/>
              <w:left w:val="single" w:color="CCCCCC" w:sz="1"/>
              <w:bottom w:val="single" w:color="CCCCCC" w:sz="1"/>
              <w:right w:val="single" w:color="CCCCCC" w:sz="1"/>
            </w:tcBorders>
            <w:shd w:fill="FFE0E0"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低（1）</w:t>
            </w:r>
          </w:p>
        </w:tc>
        <w:tc>
          <w:tcPr>
            <w:tcW w:type="dxa" w:w="1600"/>
            <w:tcBorders>
              <w:top w:val="single" w:color="CCCCCC" w:sz="1"/>
              <w:left w:val="single" w:color="CCCCCC" w:sz="1"/>
              <w:bottom w:val="single" w:color="CCCCCC" w:sz="1"/>
              <w:right w:val="single" w:color="CCCCCC" w:sz="1"/>
            </w:tcBorders>
            <w:shd w:fill="FFE0E0"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高（4）</w:t>
            </w:r>
          </w:p>
        </w:tc>
        <w:tc>
          <w:tcPr>
            <w:tcW w:type="dxa" w:w="1600"/>
            <w:tcBorders>
              <w:top w:val="single" w:color="CCCCCC" w:sz="1"/>
              <w:left w:val="single" w:color="CCCCCC" w:sz="1"/>
              <w:bottom w:val="single" w:color="CCCCCC" w:sz="1"/>
              <w:right w:val="single" w:color="CCCCCC" w:sz="1"/>
            </w:tcBorders>
            <w:shd w:fill="FFE0E0" w:val="clear"/>
            <w:tcMar>
              <w:top w:type="dxa" w:w="80"/>
              <w:left w:type="dxa" w:w="100"/>
              <w:bottom w:type="dxa" w:w="80"/>
              <w:right w:type="dxa" w:w="80"/>
            </w:tcMar>
          </w:tcPr>
          <w:p>
            <w:pPr>
              <w:jc w:val="center"/>
            </w:pPr>
            <w:r>
              <w:rPr>
                <w:rFonts w:ascii="Arial" w:cs="Arial" w:eastAsia="Arial" w:hAnsi="Arial"/>
                <w:b/>
                <w:bCs/>
                <w:color w:val="000000"/>
                <w:sz w:val="18"/>
                <w:szCs w:val="18"/>
              </w:rPr>
              <w:t xml:space="preserve">8（最高）</w:t>
            </w:r>
          </w:p>
        </w:tc>
        <w:tc>
          <w:tcPr>
            <w:tcW w:type="dxa" w:w="4226"/>
            <w:tcBorders>
              <w:top w:val="single" w:color="CCCCCC" w:sz="1"/>
              <w:left w:val="single" w:color="CCCCCC" w:sz="1"/>
              <w:bottom w:val="single" w:color="CCCCCC" w:sz="1"/>
              <w:right w:val="single" w:color="CCCCCC" w:sz="1"/>
            </w:tcBorders>
            <w:shd w:fill="FFE0E0" w:val="clear"/>
            <w:tcMar>
              <w:top w:type="dxa" w:w="80"/>
              <w:left w:type="dxa" w:w="120"/>
              <w:bottom w:type="dxa" w:w="80"/>
              <w:right w:type="dxa" w:w="80"/>
            </w:tcMar>
          </w:tcPr>
          <w:p>
            <w:r>
              <w:rPr>
                <w:rFonts w:ascii="Arial" w:cs="Arial" w:eastAsia="Arial" w:hAnsi="Arial"/>
                <w:sz w:val="17"/>
                <w:szCs w:val="17"/>
              </w:rPr>
              <w:t xml:space="preserve">H_sad・Q32-33_std・N3_vis_al・Q1-21_sn  /  液状化・パイピング</w:t>
            </w:r>
          </w:p>
        </w:tc>
      </w:tr>
      <w:tr>
        <w:tc>
          <w:tcPr>
            <w:tcW w:type="dxa" w:w="1600"/>
            <w:tcBorders>
              <w:top w:val="single" w:color="CCCCCC" w:sz="1"/>
              <w:left w:val="single" w:color="CCCCCC" w:sz="1"/>
              <w:bottom w:val="single" w:color="CCCCCC" w:sz="1"/>
              <w:right w:val="single" w:color="CCCCCC" w:sz="1"/>
            </w:tcBorders>
            <w:shd w:fill="FFF8DC"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低〜中（2）</w:t>
            </w:r>
          </w:p>
        </w:tc>
        <w:tc>
          <w:tcPr>
            <w:tcW w:type="dxa" w:w="1600"/>
            <w:tcBorders>
              <w:top w:val="single" w:color="CCCCCC" w:sz="1"/>
              <w:left w:val="single" w:color="CCCCCC" w:sz="1"/>
              <w:bottom w:val="single" w:color="CCCCCC" w:sz="1"/>
              <w:right w:val="single" w:color="CCCCCC" w:sz="1"/>
            </w:tcBorders>
            <w:shd w:fill="FFF8DC"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中（2）</w:t>
            </w:r>
          </w:p>
        </w:tc>
        <w:tc>
          <w:tcPr>
            <w:tcW w:type="dxa" w:w="1600"/>
            <w:tcBorders>
              <w:top w:val="single" w:color="CCCCCC" w:sz="1"/>
              <w:left w:val="single" w:color="CCCCCC" w:sz="1"/>
              <w:bottom w:val="single" w:color="CCCCCC" w:sz="1"/>
              <w:right w:val="single" w:color="CCCCCC" w:sz="1"/>
            </w:tcBorders>
            <w:shd w:fill="FFF8DC" w:val="clear"/>
            <w:tcMar>
              <w:top w:type="dxa" w:w="80"/>
              <w:left w:type="dxa" w:w="100"/>
              <w:bottom w:type="dxa" w:w="80"/>
              <w:right w:type="dxa" w:w="80"/>
            </w:tcMar>
          </w:tcPr>
          <w:p>
            <w:pPr>
              <w:jc w:val="center"/>
            </w:pPr>
            <w:r>
              <w:rPr>
                <w:rFonts w:ascii="Arial" w:cs="Arial" w:eastAsia="Arial" w:hAnsi="Arial"/>
                <w:b/>
                <w:bCs/>
                <w:color w:val="000000"/>
                <w:sz w:val="18"/>
                <w:szCs w:val="18"/>
              </w:rPr>
              <w:t xml:space="preserve">5</w:t>
            </w:r>
          </w:p>
        </w:tc>
        <w:tc>
          <w:tcPr>
            <w:tcW w:type="dxa" w:w="4226"/>
            <w:tcBorders>
              <w:top w:val="single" w:color="CCCCCC" w:sz="1"/>
              <w:left w:val="single" w:color="CCCCCC" w:sz="1"/>
              <w:bottom w:val="single" w:color="CCCCCC" w:sz="1"/>
              <w:right w:val="single" w:color="CCCCCC" w:sz="1"/>
            </w:tcBorders>
            <w:shd w:fill="FFF8DC" w:val="clear"/>
            <w:tcMar>
              <w:top w:type="dxa" w:w="80"/>
              <w:left w:type="dxa" w:w="120"/>
              <w:bottom w:type="dxa" w:w="80"/>
              <w:right w:type="dxa" w:w="80"/>
            </w:tcMar>
          </w:tcPr>
          <w:p>
            <w:r>
              <w:rPr>
                <w:rFonts w:ascii="Arial" w:cs="Arial" w:eastAsia="Arial" w:hAnsi="Arial"/>
                <w:sz w:val="17"/>
                <w:szCs w:val="17"/>
              </w:rPr>
              <w:t xml:space="preserve">J2-31_sx_J2・J1-22_sx_J1・N3_som  /  粘土化・軟化</w:t>
            </w:r>
          </w:p>
        </w:tc>
      </w:tr>
      <w:tr>
        <w:tc>
          <w:tcPr>
            <w:tcW w:type="dxa" w:w="1600"/>
            <w:tcBorders>
              <w:top w:val="single" w:color="CCCCCC" w:sz="1"/>
              <w:left w:val="single" w:color="CCCCCC" w:sz="1"/>
              <w:bottom w:val="single" w:color="CCCCCC" w:sz="1"/>
              <w:right w:val="single" w:color="CCCCCC" w:sz="1"/>
            </w:tcBorders>
            <w:shd w:fill="FFF8DC"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中〜高（溶結度依存）（4）</w:t>
            </w:r>
          </w:p>
        </w:tc>
        <w:tc>
          <w:tcPr>
            <w:tcW w:type="dxa" w:w="1600"/>
            <w:tcBorders>
              <w:top w:val="single" w:color="CCCCCC" w:sz="1"/>
              <w:left w:val="single" w:color="CCCCCC" w:sz="1"/>
              <w:bottom w:val="single" w:color="CCCCCC" w:sz="1"/>
              <w:right w:val="single" w:color="CCCCCC" w:sz="1"/>
            </w:tcBorders>
            <w:shd w:fill="FFF8DC"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高（柱状節理）（4）</w:t>
            </w:r>
          </w:p>
        </w:tc>
        <w:tc>
          <w:tcPr>
            <w:tcW w:type="dxa" w:w="1600"/>
            <w:tcBorders>
              <w:top w:val="single" w:color="CCCCCC" w:sz="1"/>
              <w:left w:val="single" w:color="CCCCCC" w:sz="1"/>
              <w:bottom w:val="single" w:color="CCCCCC" w:sz="1"/>
              <w:right w:val="single" w:color="CCCCCC" w:sz="1"/>
            </w:tcBorders>
            <w:shd w:fill="FFF8DC" w:val="clear"/>
            <w:tcMar>
              <w:top w:type="dxa" w:w="80"/>
              <w:left w:type="dxa" w:w="100"/>
              <w:bottom w:type="dxa" w:w="80"/>
              <w:right w:type="dxa" w:w="80"/>
            </w:tcMar>
          </w:tcPr>
          <w:p>
            <w:pPr>
              <w:jc w:val="center"/>
            </w:pPr>
            <w:r>
              <w:rPr>
                <w:rFonts w:ascii="Arial" w:cs="Arial" w:eastAsia="Arial" w:hAnsi="Arial"/>
                <w:b/>
                <w:bCs/>
                <w:color w:val="000000"/>
                <w:sz w:val="18"/>
                <w:szCs w:val="18"/>
              </w:rPr>
              <w:t xml:space="preserve">5</w:t>
            </w:r>
          </w:p>
        </w:tc>
        <w:tc>
          <w:tcPr>
            <w:tcW w:type="dxa" w:w="4226"/>
            <w:tcBorders>
              <w:top w:val="single" w:color="CCCCCC" w:sz="1"/>
              <w:left w:val="single" w:color="CCCCCC" w:sz="1"/>
              <w:bottom w:val="single" w:color="CCCCCC" w:sz="1"/>
              <w:right w:val="single" w:color="CCCCCC" w:sz="1"/>
            </w:tcBorders>
            <w:shd w:fill="FFF8DC" w:val="clear"/>
            <w:tcMar>
              <w:top w:type="dxa" w:w="80"/>
              <w:left w:type="dxa" w:w="120"/>
              <w:bottom w:type="dxa" w:w="80"/>
              <w:right w:type="dxa" w:w="80"/>
            </w:tcMar>
          </w:tcPr>
          <w:p>
            <w:r>
              <w:rPr>
                <w:rFonts w:ascii="Arial" w:cs="Arial" w:eastAsia="Arial" w:hAnsi="Arial"/>
                <w:sz w:val="17"/>
                <w:szCs w:val="17"/>
              </w:rPr>
              <w:t xml:space="preserve">N1_vas_al・N2_vas_al  /  柱状節理漏水・グラウト量大</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中〜高（4）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高（4）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pPr>
              <w:jc w:val="center"/>
            </w:pPr>
            <w:r>
              <w:rPr>
                <w:rFonts w:ascii="Arial" w:cs="Arial" w:eastAsia="Arial" w:hAnsi="Arial"/>
                <w:b/>
                <w:bCs/>
                <w:color w:val="000000"/>
                <w:sz w:val="18"/>
                <w:szCs w:val="18"/>
              </w:rPr>
              <w:t xml:space="preserve">5</w:t>
            </w:r>
          </w:p>
        </w:tc>
        <w:tc>
          <w:tcPr>
            <w:tcW w:type="dxa" w:w="4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17"/>
                <w:szCs w:val="17"/>
              </w:rPr>
              <w:t xml:space="preserve">Q33_vas_ap・C13-J22_soh_J2  /  柱状節理漏水・カルスト</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高（5）</w:t>
            </w:r>
          </w:p>
        </w:tc>
        <w:tc>
          <w:tcPr>
            <w:tcW w:type="dxa" w:w="16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低〜中（1）</w:t>
            </w:r>
          </w:p>
        </w:tc>
        <w:tc>
          <w:tcPr>
            <w:tcW w:type="dxa" w:w="16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80"/>
            </w:tcMar>
          </w:tcPr>
          <w:p>
            <w:pPr>
              <w:jc w:val="center"/>
            </w:pPr>
            <w:r>
              <w:rPr>
                <w:rFonts w:ascii="Arial" w:cs="Arial" w:eastAsia="Arial" w:hAnsi="Arial"/>
                <w:b/>
                <w:bCs/>
                <w:color w:val="000000"/>
                <w:sz w:val="18"/>
                <w:szCs w:val="18"/>
              </w:rPr>
              <w:t xml:space="preserve">1（最低）</w:t>
            </w:r>
          </w:p>
        </w:tc>
        <w:tc>
          <w:tcPr>
            <w:tcW w:type="dxa" w:w="4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17"/>
                <w:szCs w:val="17"/>
              </w:rPr>
              <w:t xml:space="preserve">K21_pam_a・K22_pam_a・K12_pim_a（花崗岩）  /  破砕帯漏水</w:t>
            </w:r>
          </w:p>
        </w:tc>
      </w:tr>
    </w:tbl>
    <w:p>
      <w:pPr>
        <w:spacing w:after="0" w:before="0"/>
      </w:pPr>
      <w:r>
        <w:t xml:space="preserve"/>
      </w:r>
    </w:p>
    <w:p>
      <w:pPr>
        <w:spacing w:after="70" w:before="70" w:line="360" w:lineRule="auto"/>
      </w:pPr>
      <w:r>
        <w:rPr>
          <w:rFonts w:ascii="Arial" w:cs="Arial" w:eastAsia="Arial" w:hAnsi="Arial"/>
          <w:sz w:val="20"/>
          <w:szCs w:val="20"/>
        </w:rPr>
        <w:t xml:space="preserve">スコアの範囲は </w:t>
      </w:r>
      <w:r>
        <w:rPr>
          <w:rFonts w:ascii="Arial" w:cs="Arial" w:eastAsia="Arial" w:hAnsi="Arial"/>
          <w:b/>
          <w:bCs/>
          <w:color w:val="1F4E79"/>
          <w:sz w:val="20"/>
          <w:szCs w:val="20"/>
        </w:rPr>
        <w:t xml:space="preserve">1（最低リスク）〜 8（最高リスク）</w:t>
      </w:r>
      <w:r>
        <w:rPr>
          <w:rFonts w:ascii="Arial" w:cs="Arial" w:eastAsia="Arial" w:hAnsi="Arial"/>
          <w:sz w:val="20"/>
          <w:szCs w:val="20"/>
        </w:rPr>
        <w:t xml:space="preserve"> である。ただし、支持力スコアまたは透水性スコアのいずれかが 0（対応する値なし）の場合はスコア計算から除外される。</w:t>
      </w:r>
    </w:p>
    <w:p>
      <w:pPr>
        <w:spacing w:after="0" w:before="0"/>
      </w:pPr>
      <w:r>
        <w:t xml:space="preserve"/>
      </w:r>
    </w:p>
    <w:p>
      <w:pPr>
        <w:pStyle w:val="Heading2"/>
        <w:spacing w:after="80" w:before="280"/>
      </w:pPr>
      <w:r>
        <w:rPr>
          <w:rFonts w:ascii="Arial" w:cs="Arial" w:eastAsia="Arial" w:hAnsi="Arial"/>
          <w:b/>
          <w:bCs/>
          <w:color w:val="1F4E79"/>
          <w:sz w:val="24"/>
          <w:szCs w:val="24"/>
        </w:rPr>
        <w:t xml:space="preserve">５．色分けの基準</w:t>
      </w:r>
    </w:p>
    <w:p>
      <w:pPr>
        <w:spacing w:after="70" w:before="70" w:line="360" w:lineRule="auto"/>
      </w:pPr>
      <w:r>
        <w:rPr>
          <w:rFonts w:ascii="Arial" w:cs="Arial" w:eastAsia="Arial" w:hAnsi="Arial"/>
          <w:sz w:val="20"/>
          <w:szCs w:val="20"/>
        </w:rPr>
        <w:t xml:space="preserve">分析シートでは、リスクスコアに応じて以下の色分けを適用している。</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色</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条件</w:t>
            </w:r>
          </w:p>
        </w:tc>
        <w:tc>
          <w:tcPr>
            <w:tcW w:type="dxa" w:w="5026"/>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意味</w:t>
            </w:r>
          </w:p>
        </w:tc>
      </w:tr>
      <w:tr>
        <w:tc>
          <w:tcPr>
            <w:tcW w:type="dxa" w:w="2000"/>
            <w:tcBorders>
              <w:top w:val="single" w:color="CCCCCC" w:sz="1"/>
              <w:left w:val="single" w:color="CCCCCC" w:sz="1"/>
              <w:bottom w:val="single" w:color="CCCCCC" w:sz="1"/>
              <w:right w:val="single" w:color="CCCCCC" w:sz="1"/>
            </w:tcBorders>
            <w:shd w:fill="FFE0E0"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赤（FFE0E0）</w:t>
            </w:r>
          </w:p>
        </w:tc>
        <w:tc>
          <w:tcPr>
            <w:tcW w:type="dxa" w:w="2000"/>
            <w:tcBorders>
              <w:top w:val="single" w:color="CCCCCC" w:sz="1"/>
              <w:left w:val="single" w:color="CCCCCC" w:sz="1"/>
              <w:bottom w:val="single" w:color="CCCCCC" w:sz="1"/>
              <w:right w:val="single" w:color="CCCCCC" w:sz="1"/>
            </w:tcBorders>
            <w:shd w:fill="FFE0E0" w:val="clear"/>
            <w:tcMar>
              <w:top w:type="dxa" w:w="80"/>
              <w:left w:type="dxa" w:w="100"/>
              <w:bottom w:type="dxa" w:w="80"/>
              <w:right w:type="dxa" w:w="80"/>
            </w:tcMar>
          </w:tcPr>
          <w:p>
            <w:pPr>
              <w:jc w:val="center"/>
            </w:pPr>
            <w:r>
              <w:rPr>
                <w:rFonts w:ascii="Arial" w:cs="Arial" w:eastAsia="Arial" w:hAnsi="Arial"/>
                <w:b/>
                <w:bCs/>
                <w:color w:val="000000"/>
                <w:sz w:val="18"/>
                <w:szCs w:val="18"/>
              </w:rPr>
              <w:t xml:space="preserve">スコア ≥ 6</w:t>
            </w:r>
          </w:p>
        </w:tc>
        <w:tc>
          <w:tcPr>
            <w:tcW w:type="dxa" w:w="5026"/>
            <w:tcBorders>
              <w:top w:val="single" w:color="CCCCCC" w:sz="1"/>
              <w:left w:val="single" w:color="CCCCCC" w:sz="1"/>
              <w:bottom w:val="single" w:color="CCCCCC" w:sz="1"/>
              <w:right w:val="single" w:color="CCCCCC" w:sz="1"/>
            </w:tcBorders>
            <w:shd w:fill="FFE0E0" w:val="clear"/>
            <w:tcMar>
              <w:top w:type="dxa" w:w="80"/>
              <w:left w:type="dxa" w:w="120"/>
              <w:bottom w:type="dxa" w:w="80"/>
              <w:right w:type="dxa" w:w="80"/>
            </w:tcMar>
          </w:tcPr>
          <w:p>
            <w:r>
              <w:rPr>
                <w:rFonts w:ascii="Arial" w:cs="Arial" w:eastAsia="Arial" w:hAnsi="Arial"/>
                <w:sz w:val="18"/>
                <w:szCs w:val="18"/>
              </w:rPr>
              <w:t xml:space="preserve">高リスク。支持力が低く（スコア≤2）透水性も中〜高以上の地質。優先的な基礎処理・点検強化が必要</w:t>
            </w:r>
          </w:p>
        </w:tc>
      </w:tr>
      <w:tr>
        <w:tc>
          <w:tcPr>
            <w:tcW w:type="dxa" w:w="2000"/>
            <w:tcBorders>
              <w:top w:val="single" w:color="CCCCCC" w:sz="1"/>
              <w:left w:val="single" w:color="CCCCCC" w:sz="1"/>
              <w:bottom w:val="single" w:color="CCCCCC" w:sz="1"/>
              <w:right w:val="single" w:color="CCCCCC" w:sz="1"/>
            </w:tcBorders>
            <w:shd w:fill="FFF8DC"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黄（FFF8DC）</w:t>
            </w:r>
          </w:p>
        </w:tc>
        <w:tc>
          <w:tcPr>
            <w:tcW w:type="dxa" w:w="2000"/>
            <w:tcBorders>
              <w:top w:val="single" w:color="CCCCCC" w:sz="1"/>
              <w:left w:val="single" w:color="CCCCCC" w:sz="1"/>
              <w:bottom w:val="single" w:color="CCCCCC" w:sz="1"/>
              <w:right w:val="single" w:color="CCCCCC" w:sz="1"/>
            </w:tcBorders>
            <w:shd w:fill="FFF8DC" w:val="clear"/>
            <w:tcMar>
              <w:top w:type="dxa" w:w="80"/>
              <w:left w:type="dxa" w:w="100"/>
              <w:bottom w:type="dxa" w:w="80"/>
              <w:right w:type="dxa" w:w="80"/>
            </w:tcMar>
          </w:tcPr>
          <w:p>
            <w:pPr>
              <w:jc w:val="center"/>
            </w:pPr>
            <w:r>
              <w:rPr>
                <w:rFonts w:ascii="Arial" w:cs="Arial" w:eastAsia="Arial" w:hAnsi="Arial"/>
                <w:b/>
                <w:bCs/>
                <w:color w:val="000000"/>
                <w:sz w:val="18"/>
                <w:szCs w:val="18"/>
              </w:rPr>
              <w:t xml:space="preserve">スコア ≥ 4</w:t>
            </w:r>
          </w:p>
        </w:tc>
        <w:tc>
          <w:tcPr>
            <w:tcW w:type="dxa" w:w="5026"/>
            <w:tcBorders>
              <w:top w:val="single" w:color="CCCCCC" w:sz="1"/>
              <w:left w:val="single" w:color="CCCCCC" w:sz="1"/>
              <w:bottom w:val="single" w:color="CCCCCC" w:sz="1"/>
              <w:right w:val="single" w:color="CCCCCC" w:sz="1"/>
            </w:tcBorders>
            <w:shd w:fill="FFF8DC" w:val="clear"/>
            <w:tcMar>
              <w:top w:type="dxa" w:w="80"/>
              <w:left w:type="dxa" w:w="120"/>
              <w:bottom w:type="dxa" w:w="80"/>
              <w:right w:type="dxa" w:w="80"/>
            </w:tcMar>
          </w:tcPr>
          <w:p>
            <w:r>
              <w:rPr>
                <w:rFonts w:ascii="Arial" w:cs="Arial" w:eastAsia="Arial" w:hAnsi="Arial"/>
                <w:sz w:val="18"/>
                <w:szCs w:val="18"/>
              </w:rPr>
              <w:t xml:space="preserve">中リスク。支持力・透水性の組合せに注意が必要。状況に応じた対策工の検討を要する</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80"/>
            </w:tcMar>
          </w:tcPr>
          <w:p>
            <w:pPr>
              <w:jc w:val="center"/>
            </w:pPr>
            <w:r>
              <w:rPr>
                <w:rFonts w:ascii="Arial" w:cs="Arial" w:eastAsia="Arial" w:hAnsi="Arial"/>
                <w:b w:val="false"/>
                <w:bCs w:val="false"/>
                <w:color w:val="000000"/>
                <w:sz w:val="18"/>
                <w:szCs w:val="18"/>
              </w:rPr>
              <w:t xml:space="preserve">緑（E8F5E9）</w:t>
            </w:r>
          </w:p>
        </w:tc>
        <w:tc>
          <w:tcPr>
            <w:tcW w:type="dxa" w:w="2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80"/>
            </w:tcMar>
          </w:tcPr>
          <w:p>
            <w:pPr>
              <w:jc w:val="center"/>
            </w:pPr>
            <w:r>
              <w:rPr>
                <w:rFonts w:ascii="Arial" w:cs="Arial" w:eastAsia="Arial" w:hAnsi="Arial"/>
                <w:b/>
                <w:bCs/>
                <w:color w:val="000000"/>
                <w:sz w:val="18"/>
                <w:szCs w:val="18"/>
              </w:rPr>
              <w:t xml:space="preserve">スコア ＜ 4</w:t>
            </w:r>
          </w:p>
        </w:tc>
        <w:tc>
          <w:tcPr>
            <w:tcW w:type="dxa" w:w="50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sz w:val="18"/>
                <w:szCs w:val="18"/>
              </w:rPr>
              <w:t xml:space="preserve">低リスク。比較的安定した地質。通常の維持管理で対応可能な範囲</w:t>
            </w:r>
          </w:p>
        </w:tc>
      </w:tr>
    </w:tbl>
    <w:p>
      <w:pPr>
        <w:spacing w:after="0" w:before="0"/>
      </w:pPr>
      <w:r>
        <w:t xml:space="preserve"/>
      </w:r>
    </w:p>
    <w:p>
      <w:pPr>
        <w:pStyle w:val="Heading2"/>
        <w:spacing w:after="80" w:before="280"/>
      </w:pPr>
      <w:r>
        <w:rPr>
          <w:rFonts w:ascii="Arial" w:cs="Arial" w:eastAsia="Arial" w:hAnsi="Arial"/>
          <w:b/>
          <w:bCs/>
          <w:color w:val="1F4E79"/>
          <w:sz w:val="24"/>
          <w:szCs w:val="24"/>
        </w:rPr>
        <w:t xml:space="preserve">６．注意事項と限界</w:t>
      </w:r>
    </w:p>
    <w:p>
      <w:pPr>
        <w:spacing w:after="70" w:before="70" w:line="360" w:lineRule="auto"/>
      </w:pPr>
      <w:r>
        <w:rPr>
          <w:rFonts w:ascii="Arial" w:cs="Arial" w:eastAsia="Arial" w:hAnsi="Arial"/>
          <w:sz w:val="20"/>
          <w:szCs w:val="20"/>
        </w:rPr>
        <w:t xml:space="preserve">リスクスコアは地質分類システムの統計的な比較ツールとして設計されたものであり、以下の点に注意して使用する必要がある。</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tcPr>
          <w:p>
            <w:pPr>
              <w:jc w:val="center"/>
            </w:pPr>
            <w:r>
              <w:rPr>
                <w:rFonts w:ascii="Arial" w:cs="Arial" w:eastAsia="Arial" w:hAnsi="Arial"/>
                <w:b/>
                <w:bCs/>
                <w:color w:val="1F4E79"/>
                <w:sz w:val="18"/>
                <w:szCs w:val="18"/>
              </w:rPr>
              <w:t xml:space="preserve">①</w:t>
            </w:r>
          </w:p>
        </w:tc>
        <w:tc>
          <w:tcPr>
            <w:tcW w:type="dxa" w:w="8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18"/>
                <w:szCs w:val="18"/>
              </w:rPr>
              <w:t xml:space="preserve">スコアはGeoNAVI由来の地表地質情報に基づく推定値であり、現地の岩盤実態（ボーリング結果・ルジオン試験値）を代替するものではない</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tcPr>
          <w:p>
            <w:pPr>
              <w:jc w:val="center"/>
            </w:pPr>
            <w:r>
              <w:rPr>
                <w:rFonts w:ascii="Arial" w:cs="Arial" w:eastAsia="Arial" w:hAnsi="Arial"/>
                <w:b/>
                <w:bCs/>
                <w:color w:val="1F4E79"/>
                <w:sz w:val="18"/>
                <w:szCs w:val="18"/>
              </w:rPr>
              <w:t xml:space="preserve">②</w:t>
            </w:r>
          </w:p>
        </w:tc>
        <w:tc>
          <w:tcPr>
            <w:tcW w:type="dxa" w:w="8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8"/>
                <w:szCs w:val="18"/>
              </w:rPr>
              <w:t xml:space="preserve">支持力と透水性を等加重で合算しているが、実際の影響はダム型式・規模・地形条件によって異なる。重力式コンクリートダムでは支持力の重みが大きく、フィルダムでは透水性の重みが相対的に大きくなる場合がある</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tcPr>
          <w:p>
            <w:pPr>
              <w:jc w:val="center"/>
            </w:pPr>
            <w:r>
              <w:rPr>
                <w:rFonts w:ascii="Arial" w:cs="Arial" w:eastAsia="Arial" w:hAnsi="Arial"/>
                <w:b/>
                <w:bCs/>
                <w:color w:val="1F4E79"/>
                <w:sz w:val="18"/>
                <w:szCs w:val="18"/>
              </w:rPr>
              <w:t xml:space="preserve">③</w:t>
            </w:r>
          </w:p>
        </w:tc>
        <w:tc>
          <w:tcPr>
            <w:tcW w:type="dxa" w:w="8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18"/>
                <w:szCs w:val="18"/>
              </w:rPr>
              <w:t xml:space="preserve">石灰岩（カルスト空洞・溶解）・超苦鉄質岩（膨潤・変質）・付加体玄武岩（気泡漏水）は、支持力と透水性のスコアが中程度でもリスクスコアが中程度（4〜5）となる場合があるが、これらは発現頻度は低くても顕在化した際の影響が大きい特殊リスクを内包している。main_riskフィールドの確認を必ず行うこと</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tcPr>
          <w:p>
            <w:pPr>
              <w:jc w:val="center"/>
            </w:pPr>
            <w:r>
              <w:rPr>
                <w:rFonts w:ascii="Arial" w:cs="Arial" w:eastAsia="Arial" w:hAnsi="Arial"/>
                <w:b/>
                <w:bCs/>
                <w:color w:val="1F4E79"/>
                <w:sz w:val="18"/>
                <w:szCs w:val="18"/>
              </w:rPr>
              <w:t xml:space="preserve">④</w:t>
            </w:r>
          </w:p>
        </w:tc>
        <w:tc>
          <w:tcPr>
            <w:tcW w:type="dxa" w:w="8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18"/>
                <w:szCs w:val="18"/>
              </w:rPr>
              <w:t xml:space="preserve">「中〜高（溶結度依存）」は溶結度の高低によって実際の支持力が大きく異なる。スコア4はあくまで平均的な推定値であり、薄い溶結帯や非溶結部を挟む場合はスコア1相当の部分が混在する可能性がある</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tcPr>
          <w:p>
            <w:pPr>
              <w:jc w:val="center"/>
            </w:pPr>
            <w:r>
              <w:rPr>
                <w:rFonts w:ascii="Arial" w:cs="Arial" w:eastAsia="Arial" w:hAnsi="Arial"/>
                <w:b/>
                <w:bCs/>
                <w:color w:val="1F4E79"/>
                <w:sz w:val="18"/>
                <w:szCs w:val="18"/>
              </w:rPr>
              <w:t xml:space="preserve">⑤</w:t>
            </w:r>
          </w:p>
        </w:tc>
        <w:tc>
          <w:tcPr>
            <w:tcW w:type="dxa" w:w="8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18"/>
                <w:szCs w:val="18"/>
              </w:rPr>
              <w:t xml:space="preserve">GeoNAVIのpoint APIは地表地質を返すため、表層に新しい堆積物が乗っている場合、ダムの実際の基礎岩盤がより深部の異なる地質である可能性がある。この「表層限定性」はシステム全体の既知の制約事項である</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pPr>
      <w:pBdr>
        <w:bottom w:val="single" w:color="D6E4F0" w:sz="2" w:space="4"/>
      </w:pBdr>
      <w:spacing w:after="80" w:before="280"/>
      <w:outlineLvl w:val="1"/>
    </w:pPr>
    <w:rPr>
      <w:rFonts w:ascii="Arial" w:cs="Arial" w:eastAsia="Arial" w:hAnsi="Arial"/>
      <w:b/>
      <w:bCs/>
      <w:color w:val="1F4E79"/>
      <w:sz w:val="24"/>
      <w:szCs w:val="24"/>
    </w:rPr>
  </w:style>
  <w:style w:type="paragraph" w:styleId="Heading3">
    <w:name w:val="Heading 3"/>
    <w:basedOn w:val="Normal"/>
    <w:next w:val="Normal"/>
    <w:pPr>
      <w:spacing w:after="60" w:before="200"/>
      <w:outlineLvl w:val="2"/>
    </w:pPr>
    <w:rPr>
      <w:rFonts w:ascii="Arial" w:cs="Arial" w:eastAsia="Arial" w:hAnsi="Arial"/>
      <w:b/>
      <w:bCs/>
      <w:color w:val="2E75B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2026-04-17T08:05:01.930Z</dcterms:created>
  <dcterms:modified xsi:type="dcterms:W3CDTF">2026-04-17T08:05:01.930Z</dcterms:modified>
</cp:coreProperties>
</file>

<file path=docProps/custom.xml><?xml version="1.0" encoding="utf-8"?>
<Properties xmlns="http://schemas.openxmlformats.org/officeDocument/2006/custom-properties" xmlns:vt="http://schemas.openxmlformats.org/officeDocument/2006/docPropsVTypes"/>
</file>