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全国ダム地質DB 推定可能性・調査優先度 分析報告</w:t>
      </w:r>
    </w:p>
    <w:p>
      <w:pPr>
        <w:spacing w:after="220" w:before="0"/>
        <w:jc w:val="center"/>
      </w:pPr>
      <w:r>
        <w:rPr>
          <w:rFonts w:ascii="Arial" w:cs="Arial" w:eastAsia="Arial" w:hAnsi="Arial"/>
          <w:color w:val="2E75B6"/>
          <w:sz w:val="20"/>
          <w:szCs w:val="20"/>
        </w:rPr>
        <w:t xml:space="preserve">— 北海道開発局リファレンスの全国展開可能性と調査投資効果の定量化 —</w:t>
      </w:r>
    </w:p>
    <w:p>
      <w:pPr>
        <w:pStyle w:val="Heading2"/>
        <w:spacing w:after="80" w:before="280"/>
      </w:pPr>
      <w:r>
        <w:rPr>
          <w:rFonts w:ascii="Arial" w:cs="Arial" w:eastAsia="Arial" w:hAnsi="Arial"/>
          <w:b/>
          <w:bCs/>
          <w:color w:val="1F4E79"/>
          <w:sz w:val="24"/>
          <w:szCs w:val="24"/>
        </w:rPr>
        <w:t xml:space="preserve">１．この分析の枠組みと対象</w:t>
      </w:r>
    </w:p>
    <w:p>
      <w:pPr>
        <w:spacing w:after="70" w:before="70" w:line="360" w:lineRule="auto"/>
      </w:pPr>
      <w:r>
        <w:rPr>
          <w:rFonts w:ascii="Arial" w:cs="Arial" w:eastAsia="Arial" w:hAnsi="Arial"/>
          <w:sz w:val="20"/>
          <w:szCs w:val="20"/>
        </w:rPr>
        <w:t xml:space="preserve">本分析は、北海道開発局管理の74ダム（リファレンスセット）が持つ44種のSymbolを「既知地質」として、全国の残り2675ダムへどれだけ地質特性を推定展開できるかを定量評価したものである。対象ダムを北海道内の北海道開発局以外（グループ１：116件）と北海道以外の全国（グループ２：2559件）に分け、それぞれの推定可能性を層別に算出した。</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80"/>
            </w:tcMar>
          </w:tcPr>
          <w:p>
            <w:r>
              <w:rPr>
                <w:rFonts w:ascii="Arial" w:cs="Arial" w:eastAsia="Arial" w:hAnsi="Arial"/>
                <w:b/>
                <w:bCs/>
                <w:color w:val="FFFFFF"/>
                <w:sz w:val="18"/>
                <w:szCs w:val="18"/>
              </w:rPr>
              <w:t xml:space="preserve">区分</w:t>
            </w:r>
          </w:p>
        </w:tc>
        <w:tc>
          <w:tcPr>
            <w:tcW w:type="dxa" w:w="6426"/>
            <w:tcBorders>
              <w:top w:val="single" w:color="CCCCCC" w:sz="1"/>
              <w:left w:val="single" w:color="CCCCCC" w:sz="1"/>
              <w:bottom w:val="single" w:color="CCCCCC" w:sz="1"/>
              <w:right w:val="single" w:color="CCCCCC" w:sz="1"/>
            </w:tcBorders>
            <w:shd w:fill="2E75B6" w:val="clear"/>
            <w:tcMar>
              <w:top w:type="dxa" w:w="70"/>
              <w:left w:type="dxa" w:w="100"/>
              <w:bottom w:type="dxa" w:w="70"/>
              <w:right w:type="dxa" w:w="80"/>
            </w:tcMar>
          </w:tcPr>
          <w:p>
            <w:r>
              <w:rPr>
                <w:rFonts w:ascii="Arial" w:cs="Arial" w:eastAsia="Arial" w:hAnsi="Arial"/>
                <w:b/>
                <w:bCs/>
                <w:color w:val="FFFFFF"/>
                <w:sz w:val="18"/>
                <w:szCs w:val="18"/>
              </w:rPr>
              <w:t xml:space="preserve">対象・内容</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リファレンスセット</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北海道開発局管理74ダム / 44種Symbol / 延べ102層</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グループ１（G1）</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北海道内・北海道開発局以外の116ダム / 北海道内の類似地質を持つダム群</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グループ２（G2）</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北海道以外の全国2559ダム / 全国展開の主対象</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推定可能の定義</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各ダムが持つ全symbolが北海道開発局の44種リファレンスに含まれる場合「全層推定可能」とする</w:t>
            </w:r>
          </w:p>
        </w:tc>
      </w:tr>
    </w:tbl>
    <w:p>
      <w:pPr>
        <w:spacing w:after="0" w:before="0"/>
      </w:pPr>
      <w:r>
        <w:t xml:space="preserve"/>
      </w:r>
    </w:p>
    <w:p>
      <w:pPr>
        <w:pStyle w:val="Heading2"/>
        <w:spacing w:after="80" w:before="280"/>
      </w:pPr>
      <w:r>
        <w:rPr>
          <w:rFonts w:ascii="Arial" w:cs="Arial" w:eastAsia="Arial" w:hAnsi="Arial"/>
          <w:b/>
          <w:bCs/>
          <w:color w:val="1F4E79"/>
          <w:sz w:val="24"/>
          <w:szCs w:val="24"/>
        </w:rPr>
        <w:t xml:space="preserve">２．北海道開発局リファレンスの特徴</w:t>
      </w:r>
    </w:p>
    <w:p>
      <w:pPr>
        <w:spacing w:after="70" w:before="70" w:line="360" w:lineRule="auto"/>
      </w:pPr>
      <w:r>
        <w:rPr>
          <w:rFonts w:ascii="Arial" w:cs="Arial" w:eastAsia="Arial" w:hAnsi="Arial"/>
          <w:sz w:val="20"/>
          <w:szCs w:val="20"/>
        </w:rPr>
        <w:t xml:space="preserve">北海道開発局74ダムのSymbol構成をみると、最多出現はH_sad（後期更新世の谷底・河川堆積物、17ダム）であり、新第三紀の泥岩・砂岩（N2_vis_al、K21_somなど）が続く。平均層数は1.38と比較的薄く、単層構成のダムが多い。「推定限定的」に分類されたダムが52件と大半を占め、1層のみのデータで複合地質評価が難しい状況にあることを示している。</w:t>
      </w:r>
    </w:p>
    <w:p>
      <w:pPr>
        <w:spacing w:after="0" w:before="0"/>
      </w:pPr>
      <w:r>
        <w:t xml:space="preserve"/>
      </w:r>
    </w:p>
    <w:p>
      <w:pPr>
        <w:spacing w:after="70" w:before="70" w:line="360" w:lineRule="auto"/>
      </w:pPr>
      <w:r>
        <w:rPr>
          <w:rFonts w:ascii="Arial" w:cs="Arial" w:eastAsia="Arial" w:hAnsi="Arial"/>
          <w:sz w:val="20"/>
          <w:szCs w:val="20"/>
        </w:rPr>
        <w:t xml:space="preserve">地質の傾向として、北海道では新第三紀（N系）の軟質堆積岩（泥岩・砂岩・凝灰質）が卓越しており、白亜紀〜ジュラ紀の付加体や超苦鉄質岩（J3-K11_pu_o_Jbなど）も散在する。白亜紀の花崗岩（K21_pam_aなど）はリファレンスに含まれておらず、これが全国展開の主要なギャップとなっている。</w:t>
      </w:r>
    </w:p>
    <w:p>
      <w:pPr>
        <w:spacing w:after="0" w:before="0"/>
      </w:pPr>
      <w:r>
        <w:t xml:space="preserve"/>
      </w:r>
    </w:p>
    <w:p>
      <w:pPr>
        <w:pStyle w:val="Heading2"/>
        <w:spacing w:after="80" w:before="280"/>
      </w:pPr>
      <w:r>
        <w:rPr>
          <w:rFonts w:ascii="Arial" w:cs="Arial" w:eastAsia="Arial" w:hAnsi="Arial"/>
          <w:b/>
          <w:bCs/>
          <w:color w:val="1F4E79"/>
          <w:sz w:val="24"/>
          <w:szCs w:val="24"/>
        </w:rPr>
        <w:t xml:space="preserve">３．グループ１（北海道内・開発局以外）の推定可能性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20" w:before="20"/>
            </w:pPr>
            <w:r>
              <w:rPr>
                <w:rFonts w:ascii="Arial" w:cs="Arial" w:eastAsia="Arial" w:hAnsi="Arial"/>
                <w:color w:val="1F4E79"/>
                <w:sz w:val="19"/>
                <w:szCs w:val="19"/>
              </w:rPr>
              <w:t xml:space="preserve">■ G1 推定可能性サマリー（116ダム）</w:t>
            </w:r>
          </w:p>
          <w:p>
            <w:pPr>
              <w:spacing w:after="20" w:before="20"/>
            </w:pPr>
            <w:r>
              <w:rPr>
                <w:rFonts w:ascii="Arial" w:cs="Arial" w:eastAsia="Arial" w:hAnsi="Arial"/>
                <w:color w:val="1F4E79"/>
                <w:sz w:val="19"/>
                <w:szCs w:val="19"/>
              </w:rPr>
              <w:t xml:space="preserve">  全層推定可能：  89件（76.7%）</w:t>
            </w:r>
          </w:p>
          <w:p>
            <w:pPr>
              <w:spacing w:after="20" w:before="20"/>
            </w:pPr>
            <w:r>
              <w:rPr>
                <w:rFonts w:ascii="Arial" w:cs="Arial" w:eastAsia="Arial" w:hAnsi="Arial"/>
                <w:color w:val="1F4E79"/>
                <w:sz w:val="19"/>
                <w:szCs w:val="19"/>
              </w:rPr>
              <w:t xml:space="preserve">  一部推定不可：   5件（ 4.3%）</w:t>
            </w:r>
          </w:p>
          <w:p>
            <w:pPr>
              <w:spacing w:after="20" w:before="20"/>
            </w:pPr>
            <w:r>
              <w:rPr>
                <w:rFonts w:ascii="Arial" w:cs="Arial" w:eastAsia="Arial" w:hAnsi="Arial"/>
                <w:color w:val="1F4E79"/>
                <w:sz w:val="19"/>
                <w:szCs w:val="19"/>
              </w:rPr>
              <w:t xml:space="preserve">  全層推定不可：  22件（19.0%）</w:t>
            </w:r>
          </w:p>
        </w:tc>
      </w:tr>
    </w:tbl>
    <w:p>
      <w:pPr>
        <w:spacing w:after="0" w:before="0"/>
      </w:pPr>
      <w:r>
        <w:t xml:space="preserve"/>
      </w:r>
    </w:p>
    <w:p>
      <w:pPr>
        <w:spacing w:after="70" w:before="70" w:line="360" w:lineRule="auto"/>
      </w:pPr>
      <w:r>
        <w:rPr>
          <w:rFonts w:ascii="Arial" w:cs="Arial" w:eastAsia="Arial" w:hAnsi="Arial"/>
          <w:sz w:val="20"/>
          <w:szCs w:val="20"/>
        </w:rPr>
        <w:t xml:space="preserve">北海道内の開発局以外116ダムについては、76.7%が全層推定可能という良好な結果が得られた。同一の北海道地質環境にあるため、リファレンスとの地質的親和性が高いことが確認された。</w:t>
      </w:r>
    </w:p>
    <w:p>
      <w:pPr>
        <w:spacing w:after="0" w:before="0"/>
      </w:pPr>
      <w:r>
        <w:t xml:space="preserve"/>
      </w:r>
    </w:p>
    <w:p>
      <w:pPr>
        <w:spacing w:after="70" w:before="70" w:line="360" w:lineRule="auto"/>
      </w:pPr>
      <w:r>
        <w:rPr>
          <w:rFonts w:ascii="Arial" w:cs="Arial" w:eastAsia="Arial" w:hAnsi="Arial"/>
          <w:sz w:val="20"/>
          <w:szCs w:val="20"/>
        </w:rPr>
        <w:t xml:space="preserve">層別のマッチ率をみると、Q-H層（後期更新世、100%）とLayer3・N新層（100%）が完全マッチで、Q-old層（中期更新世、92.3%）も高い。一方、Pre-N層（新第三紀以前）のマッチ率は61.5%と相対的に低く、北海道開発局リファレンスにない古期岩石（付加体・変成岩）を持つダムが一定数存在することを示す。</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80"/>
            </w:tcMar>
          </w:tcPr>
          <w:p>
            <w:r>
              <w:rPr>
                <w:rFonts w:ascii="Arial" w:cs="Arial" w:eastAsia="Arial" w:hAnsi="Arial"/>
                <w:b/>
                <w:bCs/>
                <w:color w:val="FFFFFF"/>
                <w:sz w:val="18"/>
                <w:szCs w:val="18"/>
              </w:rPr>
              <w:t xml:space="preserve">地質層</w:t>
            </w:r>
          </w:p>
        </w:tc>
        <w:tc>
          <w:tcPr>
            <w:tcW w:type="dxa" w:w="5526"/>
            <w:tcBorders>
              <w:top w:val="single" w:color="CCCCCC" w:sz="1"/>
              <w:left w:val="single" w:color="CCCCCC" w:sz="1"/>
              <w:bottom w:val="single" w:color="CCCCCC" w:sz="1"/>
              <w:right w:val="single" w:color="CCCCCC" w:sz="1"/>
            </w:tcBorders>
            <w:shd w:fill="2E75B6" w:val="clear"/>
            <w:tcMar>
              <w:top w:type="dxa" w:w="70"/>
              <w:left w:type="dxa" w:w="100"/>
              <w:bottom w:type="dxa" w:w="70"/>
              <w:right w:type="dxa" w:w="80"/>
            </w:tcMar>
          </w:tcPr>
          <w:p>
            <w:r>
              <w:rPr>
                <w:rFonts w:ascii="Arial" w:cs="Arial" w:eastAsia="Arial" w:hAnsi="Arial"/>
                <w:b/>
                <w:bCs/>
                <w:color w:val="FFFFFF"/>
                <w:sz w:val="18"/>
                <w:szCs w:val="18"/>
              </w:rPr>
              <w:t xml:space="preserve">データあり</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Layer1: Pre-N（新第三紀以前）</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39件</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Layer2: N-古（新第三紀・古）</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70件</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Layer3: N-新（新第三紀・新）</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3件</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Layer4: Q-old（中期更新世）</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13件</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Layer5: Q-H（後期更新世〜完新世）</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34件</w:t>
            </w:r>
          </w:p>
        </w:tc>
      </w:tr>
    </w:tbl>
    <w:p>
      <w:pPr>
        <w:spacing w:after="0" w:before="0"/>
      </w:pPr>
      <w:r>
        <w:t xml:space="preserve"/>
      </w:r>
    </w:p>
    <w:p>
      <w:pPr>
        <w:spacing w:after="70" w:before="70" w:line="360" w:lineRule="auto"/>
      </w:pPr>
      <w:r>
        <w:rPr>
          <w:rFonts w:ascii="Arial" w:cs="Arial" w:eastAsia="Arial" w:hAnsi="Arial"/>
          <w:sz w:val="20"/>
          <w:szCs w:val="20"/>
        </w:rPr>
        <w:t xml:space="preserve">推定不可の22件の主な原因は、北海道リファレンスに含まれない稀少symbol（上ノ国のJ2-31_sx_J2、京極のPg4_vis_al、庶路のPg2_snsなど）を持つダムであり、古第三紀〜中生代の火成岩・堆積岩が中心である。これらはG2との共通調査対象にもなっている。</w:t>
      </w:r>
    </w:p>
    <w:p>
      <w:pPr>
        <w:spacing w:after="0" w:before="0"/>
      </w:pPr>
      <w:r>
        <w:t xml:space="preserve"/>
      </w:r>
    </w:p>
    <w:p>
      <w:pPr>
        <w:pStyle w:val="Heading2"/>
        <w:spacing w:after="80" w:before="280"/>
      </w:pPr>
      <w:r>
        <w:rPr>
          <w:rFonts w:ascii="Arial" w:cs="Arial" w:eastAsia="Arial" w:hAnsi="Arial"/>
          <w:b/>
          <w:bCs/>
          <w:color w:val="1F4E79"/>
          <w:sz w:val="24"/>
          <w:szCs w:val="24"/>
        </w:rPr>
        <w:t xml:space="preserve">４．グループ２（北海道以外・全国）の推定可能性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20" w:before="20"/>
            </w:pPr>
            <w:r>
              <w:rPr>
                <w:rFonts w:ascii="Arial" w:cs="Arial" w:eastAsia="Arial" w:hAnsi="Arial"/>
                <w:color w:val="C62828"/>
                <w:sz w:val="19"/>
                <w:szCs w:val="19"/>
              </w:rPr>
              <w:t xml:space="preserve">■ G2 推定可能性サマリー（2559ダム）</w:t>
            </w:r>
          </w:p>
          <w:p>
            <w:pPr>
              <w:spacing w:after="20" w:before="20"/>
            </w:pPr>
            <w:r>
              <w:rPr>
                <w:rFonts w:ascii="Arial" w:cs="Arial" w:eastAsia="Arial" w:hAnsi="Arial"/>
                <w:color w:val="C62828"/>
                <w:sz w:val="19"/>
                <w:szCs w:val="19"/>
              </w:rPr>
              <w:t xml:space="preserve">  全層推定可能：  494件（19.3%）</w:t>
            </w:r>
          </w:p>
          <w:p>
            <w:pPr>
              <w:spacing w:after="20" w:before="20"/>
            </w:pPr>
            <w:r>
              <w:rPr>
                <w:rFonts w:ascii="Arial" w:cs="Arial" w:eastAsia="Arial" w:hAnsi="Arial"/>
                <w:color w:val="C62828"/>
                <w:sz w:val="19"/>
                <w:szCs w:val="19"/>
              </w:rPr>
              <w:t xml:space="preserve">  一部推定不可：  283件（11.1%）</w:t>
            </w:r>
          </w:p>
          <w:p>
            <w:pPr>
              <w:spacing w:after="20" w:before="20"/>
            </w:pPr>
            <w:r>
              <w:rPr>
                <w:rFonts w:ascii="Arial" w:cs="Arial" w:eastAsia="Arial" w:hAnsi="Arial"/>
                <w:color w:val="C62828"/>
                <w:sz w:val="19"/>
                <w:szCs w:val="19"/>
              </w:rPr>
              <w:t xml:space="preserve">  全層推定不可： 1782件（69.6%）</w:t>
            </w:r>
          </w:p>
        </w:tc>
      </w:tr>
    </w:tbl>
    <w:p>
      <w:pPr>
        <w:spacing w:after="0" w:before="0"/>
      </w:pPr>
      <w:r>
        <w:t xml:space="preserve"/>
      </w:r>
    </w:p>
    <w:p>
      <w:pPr>
        <w:spacing w:after="70" w:before="70" w:line="360" w:lineRule="auto"/>
      </w:pPr>
      <w:r>
        <w:rPr>
          <w:rFonts w:ascii="Arial" w:cs="Arial" w:eastAsia="Arial" w:hAnsi="Arial"/>
          <w:sz w:val="20"/>
          <w:szCs w:val="20"/>
        </w:rPr>
        <w:t xml:space="preserve">北海道以外の全国では全層推定可能がわずか19.3%にとどまり、69.6%は全層推定不可という結果となった。これはリファレンスセットが北海道固有の地質（新第三紀軟質堆積岩・付加体系）に偏っており、本州・四国・九州に広く分布する古期岩石（白亜紀花崗岩・中古生代堆積岩・変成岩）がほぼ含まれていないことによる。</w:t>
      </w:r>
    </w:p>
    <w:p>
      <w:pPr>
        <w:spacing w:after="0" w:before="0"/>
      </w:pPr>
      <w:r>
        <w:t xml:space="preserve"/>
      </w:r>
    </w:p>
    <w:p>
      <w:pPr>
        <w:spacing w:after="70" w:before="70" w:line="360" w:lineRule="auto"/>
      </w:pPr>
      <w:r>
        <w:rPr>
          <w:rFonts w:ascii="Arial" w:cs="Arial" w:eastAsia="Arial" w:hAnsi="Arial"/>
          <w:sz w:val="20"/>
          <w:szCs w:val="20"/>
        </w:rPr>
        <w:t xml:space="preserve">層別マッチ率では顕著な格差が現れた。Q-H層（後期更新世、81.8%）とQ-old層（中期更新世、64.8%）は比較的高いマッチ率を示すが、Pre-N層（新第三紀以前）のマッチ率は1.4%と極めて低い。Pre-N層を持つダムは全国に1557件あるが、そのうち北海道リファレンスで対応できるのはわずか22件である。これは全国のダムの多くが花崗岩・堆積岩・変成岩を基礎とする一方、北海道の特徴的な地質（泥岩・付加体）との乖離が大きいことを意味す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80"/>
            </w:tcMar>
          </w:tcPr>
          <w:p>
            <w:r>
              <w:rPr>
                <w:rFonts w:ascii="Arial" w:cs="Arial" w:eastAsia="Arial" w:hAnsi="Arial"/>
                <w:b/>
                <w:bCs/>
                <w:color w:val="FFFFFF"/>
                <w:sz w:val="18"/>
                <w:szCs w:val="18"/>
              </w:rPr>
              <w:t xml:space="preserve">地質層</w:t>
            </w:r>
          </w:p>
        </w:tc>
        <w:tc>
          <w:tcPr>
            <w:tcW w:type="dxa" w:w="5526"/>
            <w:tcBorders>
              <w:top w:val="single" w:color="CCCCCC" w:sz="1"/>
              <w:left w:val="single" w:color="CCCCCC" w:sz="1"/>
              <w:bottom w:val="single" w:color="CCCCCC" w:sz="1"/>
              <w:right w:val="single" w:color="CCCCCC" w:sz="1"/>
            </w:tcBorders>
            <w:shd w:fill="2E75B6" w:val="clear"/>
            <w:tcMar>
              <w:top w:type="dxa" w:w="70"/>
              <w:left w:type="dxa" w:w="100"/>
              <w:bottom w:type="dxa" w:w="70"/>
              <w:right w:type="dxa" w:w="80"/>
            </w:tcMar>
          </w:tcPr>
          <w:p>
            <w:r>
              <w:rPr>
                <w:rFonts w:ascii="Arial" w:cs="Arial" w:eastAsia="Arial" w:hAnsi="Arial"/>
                <w:b/>
                <w:bCs/>
                <w:color w:val="FFFFFF"/>
                <w:sz w:val="18"/>
                <w:szCs w:val="18"/>
              </w:rPr>
              <w:t xml:space="preserve">データあり</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Layer1: Pre-N（新第三紀以前）</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1557件</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Layer2: N-古（新第三紀・古）</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690件</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Layer3: N-新（新第三紀・新）</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58件</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Layer4: Q-old（中期更新世）</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454件</w:t>
            </w:r>
          </w:p>
        </w:tc>
      </w:tr>
      <w:tr>
        <w:tc>
          <w:tcPr>
            <w:tcW w:type="dxa" w:w="35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Layer5: Q-H（後期更新世〜完新世）</w:t>
            </w:r>
          </w:p>
        </w:tc>
        <w:tc>
          <w:tcPr>
            <w:tcW w:type="dxa" w:w="5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380件</w:t>
            </w:r>
          </w:p>
        </w:tc>
      </w:tr>
    </w:tbl>
    <w:p>
      <w:pPr>
        <w:spacing w:after="0" w:before="0"/>
      </w:pPr>
      <w:r>
        <w:t xml:space="preserve"/>
      </w:r>
    </w:p>
    <w:p>
      <w:pPr>
        <w:pStyle w:val="Heading2"/>
        <w:spacing w:after="80" w:before="280"/>
      </w:pPr>
      <w:r>
        <w:rPr>
          <w:rFonts w:ascii="Arial" w:cs="Arial" w:eastAsia="Arial" w:hAnsi="Arial"/>
          <w:b/>
          <w:bCs/>
          <w:color w:val="1F4E79"/>
          <w:sz w:val="24"/>
          <w:szCs w:val="24"/>
        </w:rPr>
        <w:t xml:space="preserve">５．調査優先ダムリストと展開価値スコア</w:t>
      </w:r>
    </w:p>
    <w:p>
      <w:pPr>
        <w:spacing w:after="70" w:before="70" w:line="360" w:lineRule="auto"/>
      </w:pPr>
      <w:r>
        <w:rPr>
          <w:rFonts w:ascii="Arial" w:cs="Arial" w:eastAsia="Arial" w:hAnsi="Arial"/>
          <w:sz w:val="20"/>
          <w:szCs w:val="20"/>
        </w:rPr>
        <w:t xml:space="preserve">未知symbolを持つ2092件のダムについて、「展開価値」スコアで調査の優先順位を算出した。展開価値とは、あるダムの未知symbolを調査しリファレンスに追加した場合に、他の何件のダムが推定可能になるかを示す指標であ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20" w:before="20"/>
            </w:pPr>
            <w:r>
              <w:rPr>
                <w:rFonts w:ascii="Arial" w:cs="Arial" w:eastAsia="Arial" w:hAnsi="Arial"/>
                <w:color w:val="1F4E79"/>
                <w:sz w:val="19"/>
                <w:szCs w:val="19"/>
              </w:rPr>
              <w:t xml:space="preserve">展開価値 = Σ（未知symbolごとに：そのsymbolを持つ他ターゲットダム数）</w:t>
            </w:r>
          </w:p>
          <w:p>
            <w:pPr>
              <w:spacing w:after="20" w:before="20"/>
            </w:pPr>
            <w:r>
              <w:rPr>
                <w:rFonts w:ascii="Arial" w:cs="Arial" w:eastAsia="Arial" w:hAnsi="Arial"/>
                <w:color w:val="1F4E79"/>
                <w:sz w:val="19"/>
                <w:szCs w:val="19"/>
              </w:rPr>
              <w:t xml:space="preserve">優先スコア = 展開価値×2 + 未知symbol数×10 + 堤高ボーナス（上限10） + 管理者ボーナス</w:t>
            </w:r>
          </w:p>
        </w:tc>
      </w:tr>
    </w:tbl>
    <w:p>
      <w:pPr>
        <w:spacing w:after="0" w:before="0"/>
      </w:pPr>
      <w:r>
        <w:t xml:space="preserve"/>
      </w:r>
    </w:p>
    <w:p>
      <w:pPr>
        <w:spacing w:after="70" w:before="70" w:line="360" w:lineRule="auto"/>
      </w:pPr>
      <w:r>
        <w:rPr>
          <w:rFonts w:ascii="Arial" w:cs="Arial" w:eastAsia="Arial" w:hAnsi="Arial"/>
          <w:sz w:val="20"/>
          <w:szCs w:val="20"/>
        </w:rPr>
        <w:t xml:space="preserve">優先スコア第1位は新潟県の揚川ダム（スコア424.8）で、J2-31_sx_J2（ジュラ紀〜白亜紀付加体砂岩）・N1_sbs・N1_vas_al・Q1-H_v_afという4つの未知symbolを持ち、これを調査することで189件のダムが恩恵を受ける。2位の泰阜ダム（長野県）は白亜紀花崗岩K21_pam_aを含み、このsymbol単独で全国150件のダムへの展開に貢献する。</w:t>
      </w:r>
    </w:p>
    <w:p>
      <w:pPr>
        <w:spacing w:after="0" w:before="0"/>
      </w:pPr>
      <w:r>
        <w:t xml:space="preserve"/>
      </w:r>
    </w:p>
    <w:p>
      <w:pPr>
        <w:spacing w:after="70" w:before="70" w:line="360" w:lineRule="auto"/>
      </w:pPr>
      <w:r>
        <w:rPr>
          <w:rFonts w:ascii="Arial" w:cs="Arial" w:eastAsia="Arial" w:hAnsi="Arial"/>
          <w:sz w:val="20"/>
          <w:szCs w:val="20"/>
        </w:rPr>
        <w:t xml:space="preserve">上位に広島・香川・岡山・山口・福岡のダムが集中していることも注目される。これらの地域は白亜紀花崗岩（K21_pam_a）の分布域であり、この1つのsymbolを解決するだけで全国140件超の「全層推定不可」ダムが「全層推定可能」へと転換する。中国・四国地方のいずれか1件で深度のある地質調査を行うことの効果が極めて大きい。</w:t>
      </w:r>
    </w:p>
    <w:p>
      <w:pPr>
        <w:spacing w:after="0" w:before="0"/>
      </w:pPr>
      <w:r>
        <w:t xml:space="preserve"/>
      </w:r>
    </w:p>
    <w:p>
      <w:pPr>
        <w:pStyle w:val="Heading2"/>
        <w:spacing w:after="80" w:before="280"/>
      </w:pPr>
      <w:r>
        <w:rPr>
          <w:rFonts w:ascii="Arial" w:cs="Arial" w:eastAsia="Arial" w:hAnsi="Arial"/>
          <w:b/>
          <w:bCs/>
          <w:color w:val="1F4E79"/>
          <w:sz w:val="24"/>
          <w:szCs w:val="24"/>
        </w:rPr>
        <w:t xml:space="preserve">６．調査すべき最優先Symbol</w:t>
      </w:r>
    </w:p>
    <w:p>
      <w:pPr>
        <w:spacing w:after="70" w:before="70" w:line="360" w:lineRule="auto"/>
      </w:pPr>
      <w:r>
        <w:rPr>
          <w:rFonts w:ascii="Arial" w:cs="Arial" w:eastAsia="Arial" w:hAnsi="Arial"/>
          <w:sz w:val="20"/>
          <w:szCs w:val="20"/>
        </w:rPr>
        <w:t xml:space="preserve">D2シート（未掲載Symbol調査効果）の分析から、リファレンスに1つのsymbolを追加したときの「解決効果（全層推定可能化ダム数）」上位symbolが明確になった。</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80"/>
            </w:tcMar>
          </w:tcPr>
          <w:p>
            <w:r>
              <w:rPr>
                <w:rFonts w:ascii="Arial" w:cs="Arial" w:eastAsia="Arial" w:hAnsi="Arial"/>
                <w:b/>
                <w:bCs/>
                <w:color w:val="FFFFFF"/>
                <w:sz w:val="18"/>
                <w:szCs w:val="18"/>
              </w:rPr>
              <w:t xml:space="preserve">symbol（未掲載）</w:t>
            </w:r>
          </w:p>
        </w:tc>
        <w:tc>
          <w:tcPr>
            <w:tcW w:type="dxa" w:w="5826"/>
            <w:tcBorders>
              <w:top w:val="single" w:color="CCCCCC" w:sz="1"/>
              <w:left w:val="single" w:color="CCCCCC" w:sz="1"/>
              <w:bottom w:val="single" w:color="CCCCCC" w:sz="1"/>
              <w:right w:val="single" w:color="CCCCCC" w:sz="1"/>
            </w:tcBorders>
            <w:shd w:fill="2E75B6" w:val="clear"/>
            <w:tcMar>
              <w:top w:type="dxa" w:w="70"/>
              <w:left w:type="dxa" w:w="100"/>
              <w:bottom w:type="dxa" w:w="70"/>
              <w:right w:type="dxa" w:w="80"/>
            </w:tcMar>
          </w:tcPr>
          <w:p>
            <w:r>
              <w:rPr>
                <w:rFonts w:ascii="Arial" w:cs="Arial" w:eastAsia="Arial" w:hAnsi="Arial"/>
                <w:b/>
                <w:bCs/>
                <w:color w:val="FFFFFF"/>
                <w:sz w:val="18"/>
                <w:szCs w:val="18"/>
              </w:rPr>
              <w:t xml:space="preserve">解決効果（全国）/ 地質の意味</w:t>
            </w:r>
          </w:p>
        </w:tc>
      </w:tr>
      <w:tr>
        <w:tc>
          <w:tcPr>
            <w:tcW w:type="dxa" w:w="3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K21_pam_a</w:t>
            </w:r>
          </w:p>
        </w:tc>
        <w:tc>
          <w:tcPr>
            <w:tcW w:type="dxa" w:w="5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141件 / 白亜紀前期・花崗岩。中国・四国・九州の花崗岩帯に広く分布</w:t>
            </w:r>
          </w:p>
        </w:tc>
      </w:tr>
      <w:tr>
        <w:tc>
          <w:tcPr>
            <w:tcW w:type="dxa" w:w="3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K21_vas_ap</w:t>
            </w:r>
          </w:p>
        </w:tc>
        <w:tc>
          <w:tcPr>
            <w:tcW w:type="dxa" w:w="5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71件 / 白亜紀前期・流紋岩〜デイサイト火砕流。西日本の火山弧に多い</w:t>
            </w:r>
          </w:p>
        </w:tc>
      </w:tr>
      <w:tr>
        <w:tc>
          <w:tcPr>
            <w:tcW w:type="dxa" w:w="3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K22_vas_ap</w:t>
            </w:r>
          </w:p>
        </w:tc>
        <w:tc>
          <w:tcPr>
            <w:tcW w:type="dxa" w:w="5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65件 / 白亜紀後期・流紋岩〜デイサイト火砕流。同様に西日本に分布</w:t>
            </w:r>
          </w:p>
        </w:tc>
      </w:tr>
      <w:tr>
        <w:tc>
          <w:tcPr>
            <w:tcW w:type="dxa" w:w="3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N1_vas_al</w:t>
            </w:r>
          </w:p>
        </w:tc>
        <w:tc>
          <w:tcPr>
            <w:tcW w:type="dxa" w:w="5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60件 / 新第三紀・安山岩質溶岩。東北〜中部に多い</w:t>
            </w:r>
          </w:p>
        </w:tc>
      </w:tr>
      <w:tr>
        <w:tc>
          <w:tcPr>
            <w:tcW w:type="dxa" w:w="3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K22_pam_a</w:t>
            </w:r>
          </w:p>
        </w:tc>
        <w:tc>
          <w:tcPr>
            <w:tcW w:type="dxa" w:w="5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53件 / 白亜紀後期・花崗岩。西日本の後期白亜紀花崗岩帯</w:t>
            </w:r>
          </w:p>
        </w:tc>
      </w:tr>
      <w:tr>
        <w:tc>
          <w:tcPr>
            <w:tcW w:type="dxa" w:w="3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N1_vis_al</w:t>
            </w:r>
          </w:p>
        </w:tc>
        <w:tc>
          <w:tcPr>
            <w:tcW w:type="dxa" w:w="5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54件 / 新第三紀・安山岩質溶岩流。東北・中部の新第三紀火山帯</w:t>
            </w:r>
          </w:p>
        </w:tc>
      </w:tr>
      <w:tr>
        <w:tc>
          <w:tcPr>
            <w:tcW w:type="dxa" w:w="3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J2-31_sx_J2</w:t>
            </w:r>
          </w:p>
        </w:tc>
        <w:tc>
          <w:tcPr>
            <w:tcW w:type="dxa" w:w="5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45件 / ジュラ紀・付加体砂岩。中部・近畿・九州の古期地帯</w:t>
            </w:r>
          </w:p>
        </w:tc>
      </w:tr>
      <w:tr>
        <w:tc>
          <w:tcPr>
            <w:tcW w:type="dxa" w:w="32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J1-22_sx_J1</w:t>
            </w:r>
          </w:p>
        </w:tc>
        <w:tc>
          <w:tcPr>
            <w:tcW w:type="dxa" w:w="5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39件 / ジュラ紀前期・付加体砂岩。同様</w:t>
            </w:r>
          </w:p>
        </w:tc>
      </w:tr>
    </w:tbl>
    <w:p>
      <w:pPr>
        <w:spacing w:after="0" w:before="0"/>
      </w:pPr>
      <w:r>
        <w:t xml:space="preserve"/>
      </w:r>
    </w:p>
    <w:p>
      <w:pPr>
        <w:spacing w:after="70" w:before="70" w:line="360" w:lineRule="auto"/>
      </w:pPr>
      <w:r>
        <w:rPr>
          <w:rFonts w:ascii="Arial" w:cs="Arial" w:eastAsia="Arial" w:hAnsi="Arial"/>
          <w:sz w:val="20"/>
          <w:szCs w:val="20"/>
        </w:rPr>
        <w:t xml:space="preserve">特筆すべきは、K21_pam_a単独の解決効果が141件という圧倒的な値を示している点である。全国の調査対象のうち最も多くのダムに白亜紀花崗岩が分布しているにもかかわらず、北海道にはほとんど存在しないためリファレンスに含まれていない。1つのsymbolを補完することでこれほど多くのダムの推定精度が改善するという事実は、次段階の優先調査箇所の選定に直結する。</w:t>
      </w:r>
    </w:p>
    <w:p>
      <w:pPr>
        <w:spacing w:after="0" w:before="0"/>
      </w:pPr>
      <w:r>
        <w:t xml:space="preserve"/>
      </w:r>
    </w:p>
    <w:p>
      <w:pPr>
        <w:pStyle w:val="Heading2"/>
        <w:spacing w:after="80" w:before="280"/>
      </w:pPr>
      <w:r>
        <w:rPr>
          <w:rFonts w:ascii="Arial" w:cs="Arial" w:eastAsia="Arial" w:hAnsi="Arial"/>
          <w:b/>
          <w:bCs/>
          <w:color w:val="1F4E79"/>
          <w:sz w:val="24"/>
          <w:szCs w:val="24"/>
        </w:rPr>
        <w:t xml:space="preserve">７．総括と今後の優先アクション</w:t>
      </w:r>
    </w:p>
    <w:p>
      <w:pPr>
        <w:spacing w:after="70" w:before="70" w:line="360" w:lineRule="auto"/>
      </w:pPr>
      <w:r>
        <w:rPr>
          <w:rFonts w:ascii="Arial" w:cs="Arial" w:eastAsia="Arial" w:hAnsi="Arial"/>
          <w:sz w:val="20"/>
          <w:szCs w:val="20"/>
        </w:rPr>
        <w:t xml:space="preserve">今回の分析により、北海道開発局リファレンスによる全国展開の可能性と限界が定量的に明らかになった。以下に主要な知見と推奨アクションをまとめる。</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80"/>
            </w:tcMar>
          </w:tcPr>
          <w:p>
            <w:r>
              <w:rPr>
                <w:rFonts w:ascii="Arial" w:cs="Arial" w:eastAsia="Arial" w:hAnsi="Arial"/>
                <w:b/>
                <w:bCs/>
                <w:color w:val="FFFFFF"/>
                <w:sz w:val="18"/>
                <w:szCs w:val="18"/>
              </w:rPr>
              <w:t xml:space="preserve">知見・アクション</w:t>
            </w:r>
          </w:p>
        </w:tc>
        <w:tc>
          <w:tcPr>
            <w:tcW w:type="dxa" w:w="6426"/>
            <w:tcBorders>
              <w:top w:val="single" w:color="CCCCCC" w:sz="1"/>
              <w:left w:val="single" w:color="CCCCCC" w:sz="1"/>
              <w:bottom w:val="single" w:color="CCCCCC" w:sz="1"/>
              <w:right w:val="single" w:color="CCCCCC" w:sz="1"/>
            </w:tcBorders>
            <w:shd w:fill="2E75B6" w:val="clear"/>
            <w:tcMar>
              <w:top w:type="dxa" w:w="70"/>
              <w:left w:type="dxa" w:w="100"/>
              <w:bottom w:type="dxa" w:w="70"/>
              <w:right w:type="dxa" w:w="80"/>
            </w:tcMar>
          </w:tcPr>
          <w:p>
            <w:r>
              <w:rPr>
                <w:rFonts w:ascii="Arial" w:cs="Arial" w:eastAsia="Arial" w:hAnsi="Arial"/>
                <w:b/>
                <w:bCs/>
                <w:color w:val="FFFFFF"/>
                <w:sz w:val="18"/>
                <w:szCs w:val="18"/>
              </w:rPr>
              <w:t xml:space="preserve">内容</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①北海道内には高い展開性</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G1の76.7%が全層推定可能。北海道内ダムへのリファレンス展開は即時適用できる段階にある</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②全国展開には大きなギャップ</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G2の69.6%が全層推定不可。特にPre-N層のマッチ率1.4%が象徴する通り、白亜紀以前の古期岩石が最大の課題</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③K21_pam_aを最優先で調査</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1つのsymbolで141件に恩恵。広島・香川・佐賀等の白亜紀花崗岩帯のダム1〜2件を優先調査することを強く推奨</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④揚川・泰阜ダムは二重の価値</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未知symbol数と展開価値の両方が高い。これらの調査は複数のsymbolを一度に追加できる効率的な選択</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⑤東北・中部の火山岩帯も重要</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N1_vas_al（60件）・N1_vis_al（54件）は東北〜中部の安山岩質溶岩。この地域からも代表ダムの選定が必要</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00"/>
              <w:bottom w:type="dxa" w:w="70"/>
              <w:right w:type="dxa" w:w="80"/>
            </w:tcMar>
          </w:tcPr>
          <w:p>
            <w:r>
              <w:rPr>
                <w:rFonts w:ascii="Arial" w:cs="Arial" w:eastAsia="Arial" w:hAnsi="Arial"/>
                <w:b/>
                <w:bCs/>
                <w:color w:val="000000"/>
                <w:sz w:val="18"/>
                <w:szCs w:val="18"/>
              </w:rPr>
              <w:t xml:space="preserve">⑥北海道G1の残り22件も追加調査対象</w:t>
            </w:r>
          </w:p>
        </w:tc>
        <w:tc>
          <w:tcPr>
            <w:tcW w:type="dxa" w:w="64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80"/>
            </w:tcMar>
          </w:tcPr>
          <w:p>
            <w:r>
              <w:rPr>
                <w:rFonts w:ascii="Arial" w:cs="Arial" w:eastAsia="Arial" w:hAnsi="Arial"/>
                <w:b w:val="false"/>
                <w:bCs w:val="false"/>
                <w:color w:val="000000"/>
                <w:sz w:val="18"/>
                <w:szCs w:val="18"/>
              </w:rPr>
              <w:t xml:space="preserve">G1で全層推定不可の22件は北海道内にあり、地域管理の観点からも早期の調査価値が高い</w:t>
            </w:r>
          </w:p>
        </w:tc>
      </w:tr>
    </w:tbl>
    <w:p>
      <w:pPr>
        <w:spacing w:after="0" w:before="0"/>
      </w:pPr>
      <w:r>
        <w:t xml:space="preserve"/>
      </w:r>
    </w:p>
    <w:p>
      <w:pPr>
        <w:spacing w:after="70" w:before="70" w:line="360" w:lineRule="auto"/>
      </w:pPr>
      <w:r>
        <w:rPr>
          <w:rFonts w:ascii="Arial" w:cs="Arial" w:eastAsia="Arial" w:hAnsi="Arial"/>
          <w:sz w:val="20"/>
          <w:szCs w:val="20"/>
        </w:rPr>
        <w:t xml:space="preserve">北海道60ダムの評価を「出発点」とし、展開価値スコアの上位ダムから系統的に調査を進めることで、最小限の調査投資で最大の推定カバレッジ拡大が実現できる。本分析が示した「調査1件あたりの効果」の定量値は、限られた調査リソースを最も効果的に配分するための科学的根拠となる。</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5B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6E4F0" w:sz="2" w:space="4"/>
      </w:pBdr>
      <w:spacing w:after="8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2026-04-17T07:40:39.711Z</dcterms:created>
  <dcterms:modified xsi:type="dcterms:W3CDTF">2026-04-17T07:40:39.711Z</dcterms:modified>
</cp:coreProperties>
</file>

<file path=docProps/custom.xml><?xml version="1.0" encoding="utf-8"?>
<Properties xmlns="http://schemas.openxmlformats.org/officeDocument/2006/custom-properties" xmlns:vt="http://schemas.openxmlformats.org/officeDocument/2006/docPropsVTypes"/>
</file>