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F74E" w14:textId="77777777" w:rsidR="00087313" w:rsidRPr="00087313" w:rsidRDefault="00087313" w:rsidP="00087313">
      <w:pPr>
        <w:rPr>
          <w:b/>
          <w:bCs/>
        </w:rPr>
      </w:pPr>
      <w:r w:rsidRPr="00087313">
        <w:rPr>
          <w:rFonts w:ascii="Segoe UI Emoji" w:hAnsi="Segoe UI Emoji" w:cs="Segoe UI Emoji"/>
          <w:b/>
          <w:bCs/>
        </w:rPr>
        <w:t>🔹</w:t>
      </w:r>
      <w:r w:rsidRPr="00087313">
        <w:rPr>
          <w:b/>
          <w:bCs/>
        </w:rPr>
        <w:t xml:space="preserve"> LLM-Based Optimization in EEG Spectrogram Classification</w:t>
      </w:r>
    </w:p>
    <w:p w14:paraId="32D74819" w14:textId="77777777" w:rsidR="00087313" w:rsidRPr="00087313" w:rsidRDefault="00087313" w:rsidP="00087313">
      <w:pPr>
        <w:rPr>
          <w:b/>
          <w:bCs/>
        </w:rPr>
      </w:pPr>
      <w:r w:rsidRPr="00087313">
        <w:rPr>
          <w:b/>
          <w:bCs/>
        </w:rPr>
        <w:t>Phase 1: Baseline Model (Without Optimization)</w:t>
      </w:r>
    </w:p>
    <w:p w14:paraId="07F5BBFB" w14:textId="77777777" w:rsidR="00087313" w:rsidRPr="00087313" w:rsidRDefault="00087313" w:rsidP="00087313">
      <w:r w:rsidRPr="00087313">
        <w:t xml:space="preserve">The baseline system consisted of a manually configured EfficientNet-B0 + LSTM model designed for EEG spectrogram classification. The </w:t>
      </w:r>
      <w:proofErr w:type="spellStart"/>
      <w:r w:rsidRPr="00087313">
        <w:t>EfficientNet</w:t>
      </w:r>
      <w:proofErr w:type="spellEnd"/>
      <w:r w:rsidRPr="00087313">
        <w:t xml:space="preserve"> backbone captured spatial–frequency features from 21-channel spectrograms, while the LSTM </w:t>
      </w:r>
      <w:proofErr w:type="spellStart"/>
      <w:r w:rsidRPr="00087313">
        <w:t>modeled</w:t>
      </w:r>
      <w:proofErr w:type="spellEnd"/>
      <w:r w:rsidRPr="00087313">
        <w:t xml:space="preserve"> temporal correlations between consecutive EEG windows.</w:t>
      </w:r>
      <w:r w:rsidRPr="00087313">
        <w:br/>
        <w:t>All training hyperparameters (learning rate ≈ 1e-3, batch size = 64, epochs = 80) were manually chosen. While this configuration yielded reasonable results, performance varied across patients due to the absence of systematic tuning.</w:t>
      </w:r>
    </w:p>
    <w:p w14:paraId="793937F0" w14:textId="77777777" w:rsidR="00087313" w:rsidRPr="00087313" w:rsidRDefault="00087313" w:rsidP="00087313">
      <w:pPr>
        <w:rPr>
          <w:b/>
          <w:bCs/>
        </w:rPr>
      </w:pPr>
      <w:r w:rsidRPr="00087313">
        <w:rPr>
          <w:b/>
          <w:bCs/>
        </w:rPr>
        <w:pict w14:anchorId="6BB77AA2">
          <v:rect id="_x0000_i1104" style="width:0;height:1.5pt" o:hralign="center" o:hrstd="t" o:hr="t" fillcolor="#a0a0a0" stroked="f"/>
        </w:pict>
      </w:r>
    </w:p>
    <w:p w14:paraId="2323F564" w14:textId="77777777" w:rsidR="00087313" w:rsidRPr="00087313" w:rsidRDefault="00087313" w:rsidP="00087313">
      <w:pPr>
        <w:rPr>
          <w:b/>
          <w:bCs/>
        </w:rPr>
      </w:pPr>
      <w:r w:rsidRPr="00087313">
        <w:rPr>
          <w:b/>
          <w:bCs/>
        </w:rPr>
        <w:t xml:space="preserve">Phase 2: </w:t>
      </w:r>
      <w:proofErr w:type="spellStart"/>
      <w:r w:rsidRPr="00087313">
        <w:rPr>
          <w:b/>
          <w:bCs/>
        </w:rPr>
        <w:t>Optuna</w:t>
      </w:r>
      <w:proofErr w:type="spellEnd"/>
      <w:r w:rsidRPr="00087313">
        <w:rPr>
          <w:b/>
          <w:bCs/>
        </w:rPr>
        <w:t xml:space="preserve"> + LLM-Assisted Optimization</w:t>
      </w:r>
    </w:p>
    <w:p w14:paraId="3589B2E7" w14:textId="77777777" w:rsidR="00087313" w:rsidRPr="00087313" w:rsidRDefault="00087313" w:rsidP="00087313">
      <w:r w:rsidRPr="00087313">
        <w:t xml:space="preserve">In the optimized phase, the model training pipeline incorporated </w:t>
      </w:r>
      <w:proofErr w:type="spellStart"/>
      <w:r w:rsidRPr="00087313">
        <w:t>Optuna</w:t>
      </w:r>
      <w:proofErr w:type="spellEnd"/>
      <w:r w:rsidRPr="00087313">
        <w:t xml:space="preserve"> for structured hyperparameter optimization, enhanced by a Large Language Model (LLM) – Google Gemini for intelligent guidance.</w:t>
      </w:r>
      <w:r w:rsidRPr="00087313">
        <w:br/>
        <w:t xml:space="preserve">The LLM proposed initial and mid-run hyperparameter configurations based on prior </w:t>
      </w:r>
      <w:proofErr w:type="spellStart"/>
      <w:r w:rsidRPr="00087313">
        <w:t>Optuna</w:t>
      </w:r>
      <w:proofErr w:type="spellEnd"/>
      <w:r w:rsidRPr="00087313">
        <w:t xml:space="preserve"> trials, refining search efficiency and improving exploration of promising parameter ranges.</w:t>
      </w:r>
    </w:p>
    <w:p w14:paraId="7EA11CE2" w14:textId="77777777" w:rsidR="00087313" w:rsidRPr="00087313" w:rsidRDefault="00087313" w:rsidP="00087313">
      <w:r w:rsidRPr="00087313">
        <w:t>Despite the numerical improvement being modest (≈1% across most metrics), the consistency, stability, and reproducibility of training improved notably. The LLM-guided process reduced trial variance and minimized random search overhead, achieving more reliable convergence. Even small performance gains are meaningful in medical signal analysis, where marginal increases in sensitivity or F1-score can translate to earlier seizure detection and fewer false negatives—critical in clinical use cases.</w:t>
      </w:r>
    </w:p>
    <w:p w14:paraId="05DE098F" w14:textId="77777777" w:rsidR="00087313" w:rsidRPr="00087313" w:rsidRDefault="00087313" w:rsidP="00087313">
      <w:pPr>
        <w:rPr>
          <w:b/>
          <w:bCs/>
        </w:rPr>
      </w:pPr>
      <w:r w:rsidRPr="00087313">
        <w:rPr>
          <w:b/>
          <w:bCs/>
        </w:rPr>
        <w:pict w14:anchorId="78E8917C">
          <v:rect id="_x0000_i1105" style="width:0;height:1.5pt" o:hralign="center" o:hrstd="t" o:hr="t" fillcolor="#a0a0a0" stroked="f"/>
        </w:pict>
      </w:r>
    </w:p>
    <w:p w14:paraId="32216561" w14:textId="77777777" w:rsidR="00087313" w:rsidRPr="00087313" w:rsidRDefault="00087313" w:rsidP="00087313">
      <w:pPr>
        <w:rPr>
          <w:b/>
          <w:bCs/>
        </w:rPr>
      </w:pPr>
      <w:r w:rsidRPr="00087313">
        <w:rPr>
          <w:b/>
          <w:bCs/>
        </w:rPr>
        <w:t>Quantitative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1701"/>
        <w:gridCol w:w="1985"/>
      </w:tblGrid>
      <w:tr w:rsidR="00087313" w:rsidRPr="00087313" w14:paraId="22FE2B3A" w14:textId="77777777" w:rsidTr="00087313">
        <w:trPr>
          <w:tblHeader/>
          <w:tblCellSpacing w:w="15" w:type="dxa"/>
        </w:trPr>
        <w:tc>
          <w:tcPr>
            <w:tcW w:w="1651" w:type="dxa"/>
            <w:vAlign w:val="center"/>
            <w:hideMark/>
          </w:tcPr>
          <w:p w14:paraId="463AF714" w14:textId="77777777" w:rsidR="00087313" w:rsidRPr="00087313" w:rsidRDefault="00087313" w:rsidP="00087313">
            <w:pPr>
              <w:rPr>
                <w:b/>
                <w:bCs/>
              </w:rPr>
            </w:pPr>
            <w:r w:rsidRPr="00087313">
              <w:rPr>
                <w:b/>
                <w:bCs/>
              </w:rPr>
              <w:t>Metric</w:t>
            </w:r>
          </w:p>
        </w:tc>
        <w:tc>
          <w:tcPr>
            <w:tcW w:w="1246" w:type="dxa"/>
            <w:vAlign w:val="center"/>
            <w:hideMark/>
          </w:tcPr>
          <w:p w14:paraId="5F25A6FC" w14:textId="77777777" w:rsidR="00087313" w:rsidRPr="00087313" w:rsidRDefault="00087313" w:rsidP="00087313">
            <w:pPr>
              <w:rPr>
                <w:b/>
                <w:bCs/>
              </w:rPr>
            </w:pPr>
            <w:r w:rsidRPr="00087313">
              <w:rPr>
                <w:b/>
                <w:bCs/>
              </w:rPr>
              <w:t>Baseline</w:t>
            </w:r>
          </w:p>
        </w:tc>
        <w:tc>
          <w:tcPr>
            <w:tcW w:w="1671" w:type="dxa"/>
            <w:vAlign w:val="center"/>
            <w:hideMark/>
          </w:tcPr>
          <w:p w14:paraId="428400E4" w14:textId="77777777" w:rsidR="00087313" w:rsidRPr="00087313" w:rsidRDefault="00087313" w:rsidP="00087313">
            <w:pPr>
              <w:rPr>
                <w:b/>
                <w:bCs/>
              </w:rPr>
            </w:pPr>
            <w:proofErr w:type="spellStart"/>
            <w:r w:rsidRPr="00087313">
              <w:rPr>
                <w:b/>
                <w:bCs/>
              </w:rPr>
              <w:t>Optuna</w:t>
            </w:r>
            <w:proofErr w:type="spellEnd"/>
            <w:r w:rsidRPr="00087313">
              <w:rPr>
                <w:b/>
                <w:bCs/>
              </w:rPr>
              <w:t xml:space="preserve"> + LLM</w:t>
            </w:r>
          </w:p>
        </w:tc>
        <w:tc>
          <w:tcPr>
            <w:tcW w:w="1940" w:type="dxa"/>
            <w:vAlign w:val="center"/>
            <w:hideMark/>
          </w:tcPr>
          <w:p w14:paraId="5D230185" w14:textId="77777777" w:rsidR="00087313" w:rsidRPr="00087313" w:rsidRDefault="00087313" w:rsidP="00087313">
            <w:pPr>
              <w:rPr>
                <w:b/>
                <w:bCs/>
              </w:rPr>
            </w:pPr>
            <w:r w:rsidRPr="00087313">
              <w:rPr>
                <w:b/>
                <w:bCs/>
              </w:rPr>
              <w:t>Δ (Improvement)</w:t>
            </w:r>
          </w:p>
        </w:tc>
      </w:tr>
      <w:tr w:rsidR="00087313" w:rsidRPr="00087313" w14:paraId="3778E675" w14:textId="77777777" w:rsidTr="00087313">
        <w:trPr>
          <w:tblCellSpacing w:w="15" w:type="dxa"/>
        </w:trPr>
        <w:tc>
          <w:tcPr>
            <w:tcW w:w="1651" w:type="dxa"/>
            <w:vAlign w:val="center"/>
            <w:hideMark/>
          </w:tcPr>
          <w:p w14:paraId="0BCD16BB" w14:textId="77777777" w:rsidR="00087313" w:rsidRPr="00087313" w:rsidRDefault="00087313" w:rsidP="00087313">
            <w:pPr>
              <w:rPr>
                <w:b/>
                <w:bCs/>
              </w:rPr>
            </w:pPr>
            <w:r w:rsidRPr="00087313">
              <w:rPr>
                <w:b/>
                <w:bCs/>
              </w:rPr>
              <w:t>Accuracy (%)</w:t>
            </w:r>
          </w:p>
        </w:tc>
        <w:tc>
          <w:tcPr>
            <w:tcW w:w="1246" w:type="dxa"/>
            <w:vAlign w:val="center"/>
            <w:hideMark/>
          </w:tcPr>
          <w:p w14:paraId="55EDC26C" w14:textId="42CFED6B" w:rsidR="00087313" w:rsidRPr="00087313" w:rsidRDefault="00087313" w:rsidP="00087313">
            <w:pPr>
              <w:rPr>
                <w:b/>
                <w:bCs/>
              </w:rPr>
            </w:pPr>
          </w:p>
        </w:tc>
        <w:tc>
          <w:tcPr>
            <w:tcW w:w="1671" w:type="dxa"/>
            <w:vAlign w:val="center"/>
            <w:hideMark/>
          </w:tcPr>
          <w:p w14:paraId="1D4895CF" w14:textId="3AD285C2" w:rsidR="00087313" w:rsidRPr="00087313" w:rsidRDefault="00087313" w:rsidP="00087313">
            <w:pPr>
              <w:rPr>
                <w:b/>
                <w:bCs/>
              </w:rPr>
            </w:pPr>
          </w:p>
        </w:tc>
        <w:tc>
          <w:tcPr>
            <w:tcW w:w="1940" w:type="dxa"/>
            <w:vAlign w:val="center"/>
            <w:hideMark/>
          </w:tcPr>
          <w:p w14:paraId="04A7E13F" w14:textId="695A50CB" w:rsidR="00087313" w:rsidRPr="00087313" w:rsidRDefault="00087313" w:rsidP="00087313">
            <w:pPr>
              <w:rPr>
                <w:b/>
                <w:bCs/>
              </w:rPr>
            </w:pPr>
          </w:p>
        </w:tc>
      </w:tr>
      <w:tr w:rsidR="00087313" w:rsidRPr="00087313" w14:paraId="0324A9BF" w14:textId="77777777" w:rsidTr="00087313">
        <w:trPr>
          <w:tblCellSpacing w:w="15" w:type="dxa"/>
        </w:trPr>
        <w:tc>
          <w:tcPr>
            <w:tcW w:w="1651" w:type="dxa"/>
            <w:vAlign w:val="center"/>
            <w:hideMark/>
          </w:tcPr>
          <w:p w14:paraId="342DF5AA" w14:textId="77777777" w:rsidR="00087313" w:rsidRPr="00087313" w:rsidRDefault="00087313" w:rsidP="00087313">
            <w:pPr>
              <w:rPr>
                <w:b/>
                <w:bCs/>
              </w:rPr>
            </w:pPr>
            <w:r w:rsidRPr="00087313">
              <w:rPr>
                <w:b/>
                <w:bCs/>
              </w:rPr>
              <w:t>Sensitivity (%)</w:t>
            </w:r>
          </w:p>
        </w:tc>
        <w:tc>
          <w:tcPr>
            <w:tcW w:w="1246" w:type="dxa"/>
            <w:vAlign w:val="center"/>
            <w:hideMark/>
          </w:tcPr>
          <w:p w14:paraId="62364875" w14:textId="464D59CA" w:rsidR="00087313" w:rsidRPr="00087313" w:rsidRDefault="00087313" w:rsidP="00087313">
            <w:pPr>
              <w:rPr>
                <w:b/>
                <w:bCs/>
              </w:rPr>
            </w:pPr>
          </w:p>
        </w:tc>
        <w:tc>
          <w:tcPr>
            <w:tcW w:w="1671" w:type="dxa"/>
            <w:vAlign w:val="center"/>
            <w:hideMark/>
          </w:tcPr>
          <w:p w14:paraId="57869834" w14:textId="68203050" w:rsidR="00087313" w:rsidRPr="00087313" w:rsidRDefault="00087313" w:rsidP="00087313">
            <w:pPr>
              <w:rPr>
                <w:b/>
                <w:bCs/>
              </w:rPr>
            </w:pPr>
          </w:p>
        </w:tc>
        <w:tc>
          <w:tcPr>
            <w:tcW w:w="1940" w:type="dxa"/>
            <w:vAlign w:val="center"/>
            <w:hideMark/>
          </w:tcPr>
          <w:p w14:paraId="6189EBB7" w14:textId="665BB5D2" w:rsidR="00087313" w:rsidRPr="00087313" w:rsidRDefault="00087313" w:rsidP="00087313">
            <w:pPr>
              <w:rPr>
                <w:b/>
                <w:bCs/>
              </w:rPr>
            </w:pPr>
          </w:p>
        </w:tc>
      </w:tr>
      <w:tr w:rsidR="00087313" w:rsidRPr="00087313" w14:paraId="4D6FA1D5" w14:textId="77777777" w:rsidTr="00087313">
        <w:trPr>
          <w:tblCellSpacing w:w="15" w:type="dxa"/>
        </w:trPr>
        <w:tc>
          <w:tcPr>
            <w:tcW w:w="1651" w:type="dxa"/>
            <w:vAlign w:val="center"/>
            <w:hideMark/>
          </w:tcPr>
          <w:p w14:paraId="3090A4D5" w14:textId="77777777" w:rsidR="00087313" w:rsidRPr="00087313" w:rsidRDefault="00087313" w:rsidP="00087313">
            <w:pPr>
              <w:rPr>
                <w:b/>
                <w:bCs/>
              </w:rPr>
            </w:pPr>
            <w:r w:rsidRPr="00087313">
              <w:rPr>
                <w:b/>
                <w:bCs/>
              </w:rPr>
              <w:t>Specificity (%)</w:t>
            </w:r>
          </w:p>
        </w:tc>
        <w:tc>
          <w:tcPr>
            <w:tcW w:w="1246" w:type="dxa"/>
            <w:vAlign w:val="center"/>
            <w:hideMark/>
          </w:tcPr>
          <w:p w14:paraId="38104BCF" w14:textId="4CFA6888" w:rsidR="00087313" w:rsidRPr="00087313" w:rsidRDefault="00087313" w:rsidP="00087313">
            <w:pPr>
              <w:rPr>
                <w:b/>
                <w:bCs/>
              </w:rPr>
            </w:pPr>
          </w:p>
        </w:tc>
        <w:tc>
          <w:tcPr>
            <w:tcW w:w="1671" w:type="dxa"/>
            <w:vAlign w:val="center"/>
            <w:hideMark/>
          </w:tcPr>
          <w:p w14:paraId="6439192B" w14:textId="3B60B0B3" w:rsidR="00087313" w:rsidRPr="00087313" w:rsidRDefault="00087313" w:rsidP="00087313">
            <w:pPr>
              <w:rPr>
                <w:b/>
                <w:bCs/>
              </w:rPr>
            </w:pPr>
          </w:p>
        </w:tc>
        <w:tc>
          <w:tcPr>
            <w:tcW w:w="1940" w:type="dxa"/>
            <w:vAlign w:val="center"/>
            <w:hideMark/>
          </w:tcPr>
          <w:p w14:paraId="7D875FB5" w14:textId="55AB171C" w:rsidR="00087313" w:rsidRPr="00087313" w:rsidRDefault="00087313" w:rsidP="00087313">
            <w:pPr>
              <w:rPr>
                <w:b/>
                <w:bCs/>
              </w:rPr>
            </w:pPr>
          </w:p>
        </w:tc>
      </w:tr>
      <w:tr w:rsidR="00087313" w:rsidRPr="00087313" w14:paraId="42ECB218" w14:textId="77777777" w:rsidTr="00087313">
        <w:trPr>
          <w:tblCellSpacing w:w="15" w:type="dxa"/>
        </w:trPr>
        <w:tc>
          <w:tcPr>
            <w:tcW w:w="1651" w:type="dxa"/>
            <w:vAlign w:val="center"/>
            <w:hideMark/>
          </w:tcPr>
          <w:p w14:paraId="4EA0449D" w14:textId="6D8D0FF0" w:rsidR="00087313" w:rsidRPr="00087313" w:rsidRDefault="00087313" w:rsidP="00087313">
            <w:pPr>
              <w:rPr>
                <w:b/>
                <w:bCs/>
              </w:rPr>
            </w:pPr>
            <w:r w:rsidRPr="00087313">
              <w:rPr>
                <w:b/>
                <w:bCs/>
              </w:rPr>
              <w:t>F1-Score</w:t>
            </w:r>
            <w:r>
              <w:rPr>
                <w:b/>
                <w:bCs/>
              </w:rPr>
              <w:t xml:space="preserve"> (%)</w:t>
            </w:r>
          </w:p>
        </w:tc>
        <w:tc>
          <w:tcPr>
            <w:tcW w:w="1246" w:type="dxa"/>
            <w:vAlign w:val="center"/>
            <w:hideMark/>
          </w:tcPr>
          <w:p w14:paraId="75752BE0" w14:textId="089484FB" w:rsidR="00087313" w:rsidRPr="00087313" w:rsidRDefault="00087313" w:rsidP="00087313">
            <w:pPr>
              <w:rPr>
                <w:b/>
                <w:bCs/>
              </w:rPr>
            </w:pPr>
          </w:p>
        </w:tc>
        <w:tc>
          <w:tcPr>
            <w:tcW w:w="1671" w:type="dxa"/>
            <w:vAlign w:val="center"/>
            <w:hideMark/>
          </w:tcPr>
          <w:p w14:paraId="2B211F58" w14:textId="08C14D31" w:rsidR="00087313" w:rsidRPr="00087313" w:rsidRDefault="00087313" w:rsidP="00087313">
            <w:pPr>
              <w:rPr>
                <w:b/>
                <w:bCs/>
              </w:rPr>
            </w:pPr>
          </w:p>
        </w:tc>
        <w:tc>
          <w:tcPr>
            <w:tcW w:w="1940" w:type="dxa"/>
            <w:vAlign w:val="center"/>
            <w:hideMark/>
          </w:tcPr>
          <w:p w14:paraId="30BC4D42" w14:textId="7FF1DC38" w:rsidR="00087313" w:rsidRPr="00087313" w:rsidRDefault="00087313" w:rsidP="00087313">
            <w:pPr>
              <w:rPr>
                <w:b/>
                <w:bCs/>
              </w:rPr>
            </w:pPr>
          </w:p>
        </w:tc>
      </w:tr>
    </w:tbl>
    <w:p w14:paraId="1813F0BB" w14:textId="77777777" w:rsidR="00087313" w:rsidRDefault="00087313" w:rsidP="00087313">
      <w:pPr>
        <w:rPr>
          <w:b/>
          <w:bCs/>
        </w:rPr>
      </w:pPr>
    </w:p>
    <w:p w14:paraId="7D4D4C87" w14:textId="4447F878" w:rsidR="002D2AEF" w:rsidRPr="004040D4" w:rsidRDefault="00087313" w:rsidP="00087313">
      <w:r w:rsidRPr="00087313">
        <w:lastRenderedPageBreak/>
        <w:t>Even a 1% improvement achieved through a data-driven, AI-guided optimization loop demonstrates the value of integrating LLM reasoning into traditional hyperparameter tuning workflows—yielding more stable and generalizable performance without increasing model complexity.</w:t>
      </w:r>
    </w:p>
    <w:p w14:paraId="1A250643" w14:textId="77777777" w:rsidR="004040D4" w:rsidRDefault="004040D4" w:rsidP="00087313">
      <w:pPr>
        <w:rPr>
          <w:b/>
          <w:bCs/>
        </w:rPr>
      </w:pPr>
    </w:p>
    <w:p w14:paraId="3A870CB6" w14:textId="77777777" w:rsidR="004040D4" w:rsidRPr="004040D4" w:rsidRDefault="004040D4" w:rsidP="004040D4">
      <w:pPr>
        <w:rPr>
          <w:b/>
          <w:bCs/>
        </w:rPr>
      </w:pPr>
      <w:r w:rsidRPr="004040D4">
        <w:rPr>
          <w:rFonts w:ascii="Segoe UI Emoji" w:hAnsi="Segoe UI Emoji" w:cs="Segoe UI Emoji"/>
          <w:b/>
          <w:bCs/>
        </w:rPr>
        <w:t>🔹</w:t>
      </w:r>
      <w:r w:rsidRPr="004040D4">
        <w:rPr>
          <w:b/>
          <w:bCs/>
        </w:rPr>
        <w:t xml:space="preserve"> Explainable AI (XAI) and LLM-Based Multimodal Reporting</w:t>
      </w:r>
    </w:p>
    <w:p w14:paraId="69FF7403" w14:textId="77777777" w:rsidR="004040D4" w:rsidRPr="004040D4" w:rsidRDefault="004040D4" w:rsidP="004040D4">
      <w:pPr>
        <w:rPr>
          <w:b/>
          <w:bCs/>
        </w:rPr>
      </w:pPr>
      <w:r w:rsidRPr="004040D4">
        <w:rPr>
          <w:b/>
          <w:bCs/>
        </w:rPr>
        <w:t>Explainable AI Integration</w:t>
      </w:r>
    </w:p>
    <w:p w14:paraId="08128563" w14:textId="77777777" w:rsidR="004040D4" w:rsidRPr="004040D4" w:rsidRDefault="004040D4" w:rsidP="004040D4">
      <w:r w:rsidRPr="004040D4">
        <w:t xml:space="preserve">To ensure transparency and clinical interpretability, the proposed </w:t>
      </w:r>
      <w:proofErr w:type="spellStart"/>
      <w:r w:rsidRPr="004040D4">
        <w:t>EfficientNet</w:t>
      </w:r>
      <w:proofErr w:type="spellEnd"/>
      <w:r w:rsidRPr="004040D4">
        <w:t>-LSTM model was extended with Explainable AI (XAI) capabilities.</w:t>
      </w:r>
      <w:r w:rsidRPr="004040D4">
        <w:br/>
        <w:t xml:space="preserve">The </w:t>
      </w:r>
      <w:proofErr w:type="spellStart"/>
      <w:r w:rsidRPr="004040D4">
        <w:t>EfficientNet</w:t>
      </w:r>
      <w:proofErr w:type="spellEnd"/>
      <w:r w:rsidRPr="004040D4">
        <w:t xml:space="preserve"> backbone enables pixel-level feature localization, making it suitable for Class Activation Mapping (CAM) or Grad-CAM visualization. These methods highlight the spectral–temporal regions most responsible for model predictions.</w:t>
      </w:r>
      <w:r w:rsidRPr="004040D4">
        <w:br/>
        <w:t>In the context of EEG spectrograms, this helps identify:</w:t>
      </w:r>
    </w:p>
    <w:p w14:paraId="4993E8D4" w14:textId="77777777" w:rsidR="004040D4" w:rsidRPr="004040D4" w:rsidRDefault="004040D4" w:rsidP="004040D4">
      <w:pPr>
        <w:numPr>
          <w:ilvl w:val="0"/>
          <w:numId w:val="5"/>
        </w:numPr>
      </w:pPr>
      <w:r w:rsidRPr="004040D4">
        <w:t>Frequency bands and time windows most correlated with seizure activity.</w:t>
      </w:r>
    </w:p>
    <w:p w14:paraId="4A57D9E4" w14:textId="77777777" w:rsidR="004040D4" w:rsidRPr="004040D4" w:rsidRDefault="004040D4" w:rsidP="004040D4">
      <w:pPr>
        <w:numPr>
          <w:ilvl w:val="0"/>
          <w:numId w:val="5"/>
        </w:numPr>
      </w:pPr>
      <w:r w:rsidRPr="004040D4">
        <w:t>Spatial channel contributions across the 21 EEG leads.</w:t>
      </w:r>
    </w:p>
    <w:p w14:paraId="274EE79B" w14:textId="77777777" w:rsidR="004040D4" w:rsidRDefault="004040D4" w:rsidP="004040D4">
      <w:r w:rsidRPr="004040D4">
        <w:t>By overlaying activation heatmaps onto spectrograms, the XAI component allows clinicians to verify that the model’s focus aligns with physiologically meaningful patterns.</w:t>
      </w:r>
      <w:r w:rsidRPr="004040D4">
        <w:br/>
        <w:t>This interpretability is critical in medical AI systems, increasing user trust and supporting regulatory transparency.</w:t>
      </w:r>
    </w:p>
    <w:p w14:paraId="418547A7" w14:textId="77777777" w:rsidR="00E90A7E" w:rsidRDefault="00E90A7E" w:rsidP="004040D4"/>
    <w:p w14:paraId="68E7583D" w14:textId="77777777" w:rsidR="00E90A7E" w:rsidRDefault="00E90A7E" w:rsidP="004040D4"/>
    <w:p w14:paraId="0B25C3F7" w14:textId="77777777" w:rsidR="00E90A7E" w:rsidRDefault="00E90A7E" w:rsidP="004040D4"/>
    <w:p w14:paraId="7A13EE22" w14:textId="77777777" w:rsidR="00E90A7E" w:rsidRDefault="00E90A7E" w:rsidP="004040D4"/>
    <w:p w14:paraId="405C0975" w14:textId="77777777" w:rsidR="00E90A7E" w:rsidRDefault="00E90A7E" w:rsidP="004040D4"/>
    <w:p w14:paraId="28D7154F" w14:textId="77777777" w:rsidR="00E90A7E" w:rsidRDefault="00E90A7E" w:rsidP="004040D4"/>
    <w:p w14:paraId="1EEB42BC" w14:textId="77777777" w:rsidR="00E90A7E" w:rsidRDefault="00E90A7E" w:rsidP="004040D4"/>
    <w:p w14:paraId="430EFEBE" w14:textId="77777777" w:rsidR="00E90A7E" w:rsidRDefault="00E90A7E" w:rsidP="004040D4"/>
    <w:p w14:paraId="5526CDC7" w14:textId="77777777" w:rsidR="00E90A7E" w:rsidRDefault="00E90A7E" w:rsidP="004040D4"/>
    <w:p w14:paraId="41E4C6CB" w14:textId="77777777" w:rsidR="00E90A7E" w:rsidRDefault="00E90A7E" w:rsidP="004040D4"/>
    <w:p w14:paraId="418B02D0" w14:textId="77777777" w:rsidR="00E90A7E" w:rsidRDefault="00E90A7E" w:rsidP="004040D4"/>
    <w:p w14:paraId="17629076" w14:textId="77777777" w:rsidR="00E90A7E" w:rsidRPr="004040D4" w:rsidRDefault="00E90A7E" w:rsidP="004040D4"/>
    <w:p w14:paraId="279824E9" w14:textId="77777777" w:rsidR="00E90A7E" w:rsidRDefault="00E90A7E" w:rsidP="00E90A7E">
      <w:pPr>
        <w:rPr>
          <w:b/>
          <w:bCs/>
          <w:lang w:val="en-US"/>
        </w:rPr>
      </w:pPr>
      <w:r w:rsidRPr="00E90A7E">
        <w:rPr>
          <w:b/>
          <w:bCs/>
          <w:lang w:val="en-US"/>
        </w:rPr>
        <w:lastRenderedPageBreak/>
        <w:t xml:space="preserve">Explainable AI and LLM-Based Multimodal Report </w:t>
      </w:r>
    </w:p>
    <w:p w14:paraId="3B5060D9" w14:textId="1B6EED7C" w:rsidR="00E90A7E" w:rsidRPr="00E90A7E" w:rsidRDefault="00E90A7E" w:rsidP="00E90A7E">
      <w:pPr>
        <w:rPr>
          <w:lang w:val="en-US"/>
        </w:rPr>
      </w:pPr>
      <w:r w:rsidRPr="00E90A7E">
        <w:rPr>
          <w:lang w:val="en-US"/>
        </w:rPr>
        <w:t>This section presents the explainable AI and multimodal analysis results for</w:t>
      </w:r>
      <w:r>
        <w:rPr>
          <w:lang w:val="en-US"/>
        </w:rPr>
        <w:t xml:space="preserve"> selected</w:t>
      </w:r>
      <w:r w:rsidRPr="00E90A7E">
        <w:rPr>
          <w:lang w:val="en-US"/>
        </w:rPr>
        <w:t xml:space="preserve"> patient</w:t>
      </w:r>
      <w:r>
        <w:rPr>
          <w:lang w:val="en-US"/>
        </w:rPr>
        <w:t>s</w:t>
      </w:r>
      <w:r w:rsidRPr="00E90A7E">
        <w:rPr>
          <w:lang w:val="en-US"/>
        </w:rPr>
        <w:t>. Explainability methods—Grad-CAM, Grad-CAM++, and Integrated Gradients (IG)—were applied to interpret the model’s decisions.</w:t>
      </w:r>
    </w:p>
    <w:p w14:paraId="5A4C4719" w14:textId="77777777" w:rsidR="00E90A7E" w:rsidRPr="00E90A7E" w:rsidRDefault="00E90A7E" w:rsidP="00E90A7E">
      <w:pPr>
        <w:rPr>
          <w:b/>
          <w:bCs/>
          <w:lang w:val="en-US"/>
        </w:rPr>
      </w:pPr>
    </w:p>
    <w:p w14:paraId="13CE7CD6" w14:textId="606C733E" w:rsidR="00E90A7E" w:rsidRPr="00E90A7E" w:rsidRDefault="00E90A7E" w:rsidP="00E90A7E">
      <w:pPr>
        <w:rPr>
          <w:b/>
          <w:bCs/>
          <w:lang w:val="en-US"/>
        </w:rPr>
      </w:pPr>
      <w:r w:rsidRPr="00E90A7E">
        <w:rPr>
          <w:b/>
          <w:bCs/>
          <w:lang w:val="en-US"/>
        </w:rPr>
        <w:t>Patient chb20</w:t>
      </w:r>
    </w:p>
    <w:p w14:paraId="5DE22380" w14:textId="77777777" w:rsidR="00E90A7E" w:rsidRPr="00E90A7E" w:rsidRDefault="00E90A7E" w:rsidP="00E90A7E">
      <w:pPr>
        <w:rPr>
          <w:b/>
          <w:bCs/>
          <w:lang w:val="en-US"/>
        </w:rPr>
      </w:pPr>
      <w:r w:rsidRPr="00E90A7E">
        <w:rPr>
          <w:b/>
          <w:bCs/>
          <w:lang w:val="en-US"/>
        </w:rPr>
        <w:drawing>
          <wp:inline distT="0" distB="0" distL="0" distR="0" wp14:anchorId="31A62CF2" wp14:editId="67A6DF41">
            <wp:extent cx="1762208" cy="1501140"/>
            <wp:effectExtent l="0" t="0" r="9525" b="3810"/>
            <wp:docPr id="68222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0995" cy="1508626"/>
                    </a:xfrm>
                    <a:prstGeom prst="rect">
                      <a:avLst/>
                    </a:prstGeom>
                    <a:noFill/>
                    <a:ln>
                      <a:noFill/>
                    </a:ln>
                  </pic:spPr>
                </pic:pic>
              </a:graphicData>
            </a:graphic>
          </wp:inline>
        </w:drawing>
      </w:r>
    </w:p>
    <w:p w14:paraId="4778C196" w14:textId="07948414" w:rsidR="00E90A7E" w:rsidRPr="00E90A7E" w:rsidRDefault="00E90A7E" w:rsidP="00E90A7E">
      <w:pPr>
        <w:rPr>
          <w:lang w:val="en-US"/>
        </w:rPr>
      </w:pPr>
      <w:r w:rsidRPr="00E90A7E">
        <w:rPr>
          <w:lang w:val="en-US"/>
        </w:rPr>
        <w:t>Confusion matrix for patient chb20 showing perfect classification performance (True Positives = 32, True Negatives = 64, False Positives = 0, False Negatives = 0). Light-blue tones indicate correct classifications, with no misclassified samples.</w:t>
      </w:r>
    </w:p>
    <w:p w14:paraId="7EA77A65" w14:textId="77777777" w:rsidR="00E90A7E" w:rsidRPr="00E90A7E" w:rsidRDefault="00E90A7E" w:rsidP="00E90A7E">
      <w:pPr>
        <w:rPr>
          <w:b/>
          <w:bCs/>
          <w:lang w:val="en-US"/>
        </w:rPr>
      </w:pPr>
      <w:r w:rsidRPr="00E90A7E">
        <w:rPr>
          <w:b/>
          <w:bCs/>
          <w:lang w:val="en-US"/>
        </w:rPr>
        <w:t>Sample 0 – Seizure</w:t>
      </w:r>
    </w:p>
    <w:p w14:paraId="7A0F6BE6" w14:textId="77777777" w:rsidR="00E90A7E" w:rsidRPr="00E90A7E" w:rsidRDefault="00E90A7E" w:rsidP="00E90A7E">
      <w:pPr>
        <w:rPr>
          <w:b/>
          <w:bCs/>
          <w:lang w:val="en-US"/>
        </w:rPr>
      </w:pPr>
    </w:p>
    <w:p w14:paraId="3CAB5675" w14:textId="77777777" w:rsidR="00E90A7E" w:rsidRPr="00E90A7E" w:rsidRDefault="00E90A7E" w:rsidP="00E90A7E">
      <w:pPr>
        <w:rPr>
          <w:lang w:val="en-US"/>
        </w:rPr>
      </w:pPr>
      <w:r w:rsidRPr="00E90A7E">
        <w:rPr>
          <w:lang w:val="en-US"/>
        </w:rPr>
        <w:t xml:space="preserve">The model correctly identified this as a seizure segment with probability 1.00. </w:t>
      </w:r>
    </w:p>
    <w:p w14:paraId="1420A2BE" w14:textId="77777777" w:rsidR="00E90A7E" w:rsidRPr="00E90A7E" w:rsidRDefault="00E90A7E" w:rsidP="00E90A7E">
      <w:pPr>
        <w:rPr>
          <w:lang w:val="en-US"/>
        </w:rPr>
      </w:pPr>
    </w:p>
    <w:p w14:paraId="43101D81" w14:textId="77777777" w:rsidR="00E90A7E" w:rsidRPr="00E90A7E" w:rsidRDefault="00E90A7E" w:rsidP="00E90A7E">
      <w:pPr>
        <w:rPr>
          <w:lang w:val="en-US"/>
        </w:rPr>
      </w:pPr>
      <w:r w:rsidRPr="00E90A7E">
        <w:rPr>
          <w:lang w:val="en-US"/>
        </w:rPr>
        <w:t xml:space="preserve">Spectrograms show high power in upper frequency bands (yellow regions). </w:t>
      </w:r>
    </w:p>
    <w:p w14:paraId="5C48A678" w14:textId="77777777" w:rsidR="00E90A7E" w:rsidRPr="00E90A7E" w:rsidRDefault="00E90A7E" w:rsidP="00E90A7E">
      <w:pPr>
        <w:rPr>
          <w:lang w:val="en-US"/>
        </w:rPr>
      </w:pPr>
    </w:p>
    <w:p w14:paraId="6A2723CE" w14:textId="77777777" w:rsidR="00E90A7E" w:rsidRPr="00E90A7E" w:rsidRDefault="00E90A7E" w:rsidP="00E90A7E">
      <w:pPr>
        <w:rPr>
          <w:lang w:val="en-US"/>
        </w:rPr>
      </w:pPr>
      <w:r w:rsidRPr="00E90A7E">
        <w:rPr>
          <w:lang w:val="en-US"/>
        </w:rPr>
        <w:t xml:space="preserve">Grad-CAM and Grad-CAM++ highlight these high-frequency bursts as red zones, confirming seizure-related activation. </w:t>
      </w:r>
    </w:p>
    <w:p w14:paraId="7A958A59" w14:textId="77777777" w:rsidR="00E90A7E" w:rsidRPr="00E90A7E" w:rsidRDefault="00E90A7E" w:rsidP="00E90A7E">
      <w:pPr>
        <w:rPr>
          <w:lang w:val="en-US"/>
        </w:rPr>
      </w:pPr>
    </w:p>
    <w:p w14:paraId="55E9637A" w14:textId="77777777" w:rsidR="00E90A7E" w:rsidRPr="00E90A7E" w:rsidRDefault="00E90A7E" w:rsidP="00E90A7E">
      <w:pPr>
        <w:rPr>
          <w:lang w:val="en-US"/>
        </w:rPr>
      </w:pPr>
      <w:r w:rsidRPr="00E90A7E">
        <w:rPr>
          <w:lang w:val="en-US"/>
        </w:rPr>
        <w:t>IG maps indicate positive (red) contributions in the same regions, showing that these frequencies increase seizure probability. The LLM summary confirms temporal and spectral consistency, validating clinical relevance.</w:t>
      </w:r>
    </w:p>
    <w:p w14:paraId="759A35EE" w14:textId="77777777" w:rsidR="00E90A7E" w:rsidRPr="00E90A7E" w:rsidRDefault="00E90A7E" w:rsidP="00E90A7E">
      <w:pPr>
        <w:rPr>
          <w:b/>
          <w:bCs/>
          <w:lang w:val="en-US"/>
        </w:rPr>
      </w:pPr>
      <w:r w:rsidRPr="00E90A7E">
        <w:rPr>
          <w:b/>
          <w:bCs/>
          <w:lang w:val="en-US"/>
        </w:rPr>
        <w:t>Sample 1 – Seizure</w:t>
      </w:r>
    </w:p>
    <w:p w14:paraId="3813D9E8" w14:textId="77777777" w:rsidR="00E90A7E" w:rsidRPr="00E90A7E" w:rsidRDefault="00E90A7E" w:rsidP="00E90A7E">
      <w:pPr>
        <w:rPr>
          <w:lang w:val="en-US"/>
        </w:rPr>
      </w:pPr>
      <w:r w:rsidRPr="00E90A7E">
        <w:rPr>
          <w:lang w:val="en-US"/>
        </w:rPr>
        <w:t xml:space="preserve">Another seizure sequence predicted with probability 1.00. Spectrograms show sustained high-frequency energy. Grad-CAM and Grad-CAM++ consistently focus on upper spectral bands across timesteps. Integrated Gradients maps display widespread red attributions, confirming that upper-band features drive the seizure </w:t>
      </w:r>
      <w:r w:rsidRPr="00E90A7E">
        <w:rPr>
          <w:lang w:val="en-US"/>
        </w:rPr>
        <w:lastRenderedPageBreak/>
        <w:t>decision. The LLM explanation notes stable temporal attention and clinical plausibility of activation regions.</w:t>
      </w:r>
    </w:p>
    <w:p w14:paraId="6C9B693A" w14:textId="77777777" w:rsidR="00E90A7E" w:rsidRPr="00E90A7E" w:rsidRDefault="00E90A7E" w:rsidP="00E90A7E">
      <w:pPr>
        <w:rPr>
          <w:b/>
          <w:bCs/>
          <w:lang w:val="en-US"/>
        </w:rPr>
      </w:pPr>
      <w:r w:rsidRPr="00E90A7E">
        <w:rPr>
          <w:b/>
          <w:bCs/>
          <w:lang w:val="en-US"/>
        </w:rPr>
        <w:t>Sample 4 – Non-Seizure</w:t>
      </w:r>
    </w:p>
    <w:p w14:paraId="2120CF02" w14:textId="77777777" w:rsidR="00E90A7E" w:rsidRPr="00E90A7E" w:rsidRDefault="00E90A7E" w:rsidP="00E90A7E">
      <w:pPr>
        <w:rPr>
          <w:lang w:val="en-US"/>
        </w:rPr>
      </w:pPr>
      <w:r w:rsidRPr="00E90A7E">
        <w:rPr>
          <w:lang w:val="en-US"/>
        </w:rPr>
        <w:t>This non-seizure segment was correctly classified with a seizure probability of 0.00. Spectrograms remain mostly blue, indicating low broadband activity. Grad-CAM and Grad-CAM++ maps show minimal activation, except for isolated weak red areas in t=2. IG attributions are predominantly negative (blue), meaning that the model suppressed false seizure evidence. The LLM report confirms reliable artifact rejection and stability in non-ictal detection.</w:t>
      </w:r>
    </w:p>
    <w:p w14:paraId="02B239CD" w14:textId="77777777" w:rsidR="00E90A7E" w:rsidRPr="00E90A7E" w:rsidRDefault="00E90A7E" w:rsidP="00E90A7E">
      <w:pPr>
        <w:rPr>
          <w:b/>
          <w:bCs/>
          <w:lang w:val="en-US"/>
        </w:rPr>
      </w:pPr>
      <w:r w:rsidRPr="00E90A7E">
        <w:rPr>
          <w:b/>
          <w:bCs/>
          <w:lang w:val="en-US"/>
        </w:rPr>
        <w:t>Sample 6 – Non-Seizure</w:t>
      </w:r>
    </w:p>
    <w:p w14:paraId="0A60182F" w14:textId="77777777" w:rsidR="00E90A7E" w:rsidRPr="00E90A7E" w:rsidRDefault="00E90A7E" w:rsidP="00E90A7E">
      <w:pPr>
        <w:rPr>
          <w:lang w:val="en-US"/>
        </w:rPr>
      </w:pPr>
      <w:r w:rsidRPr="00E90A7E">
        <w:rPr>
          <w:lang w:val="en-US"/>
        </w:rPr>
        <w:t>A second non-seizure example confidently classified as non-ictal (</w:t>
      </w:r>
      <w:proofErr w:type="spellStart"/>
      <w:r w:rsidRPr="00E90A7E">
        <w:rPr>
          <w:lang w:val="en-US"/>
        </w:rPr>
        <w:t>p_seizure</w:t>
      </w:r>
      <w:proofErr w:type="spellEnd"/>
      <w:r w:rsidRPr="00E90A7E">
        <w:rPr>
          <w:lang w:val="en-US"/>
        </w:rPr>
        <w:t xml:space="preserve"> = 0.00). Spectrograms show uniform low-frequency energy. Grad-CAM maps reveal only faint high-band activations that were ignored by the model. IG analysis displays predominantly blue values, showing negative influence on seizure probability. The LLM analysis confirms correct temporal suppression of false positives and robust baseline recognition.</w:t>
      </w:r>
    </w:p>
    <w:p w14:paraId="238C8B16" w14:textId="5242CC5D" w:rsidR="00E90A7E" w:rsidRPr="00E90A7E" w:rsidRDefault="00E90A7E" w:rsidP="00E90A7E">
      <w:pPr>
        <w:rPr>
          <w:b/>
          <w:bCs/>
          <w:lang w:val="en-US"/>
        </w:rPr>
      </w:pPr>
      <w:r w:rsidRPr="00E90A7E">
        <w:rPr>
          <w:b/>
          <w:bCs/>
          <w:lang w:val="en-US"/>
        </w:rPr>
        <w:t>Summary and Clinical Implication</w:t>
      </w:r>
    </w:p>
    <w:p w14:paraId="61C08473" w14:textId="77777777" w:rsidR="00E90A7E" w:rsidRPr="00E90A7E" w:rsidRDefault="00E90A7E" w:rsidP="00E90A7E">
      <w:pPr>
        <w:rPr>
          <w:lang w:val="en-US"/>
        </w:rPr>
      </w:pPr>
      <w:r w:rsidRPr="00E90A7E">
        <w:rPr>
          <w:lang w:val="en-US"/>
        </w:rPr>
        <w:t xml:space="preserve">Across patient chb20, all test samples were classified correctly, yielding 100 % accuracy, sensitivity, and specificity. Explainable AI methods (Grad-CAM, Grad-CAM++, IG) consistently emphasized physiologically meaningful regions—particularly high-frequency activity in seizure segments and stable low-frequency baselines in non-seizure segments. The integrated LLM commentary aligns these findings with clinical reasoning, confirming the reliability and interpretability of the LLM-optimized </w:t>
      </w:r>
      <w:proofErr w:type="spellStart"/>
      <w:r w:rsidRPr="00E90A7E">
        <w:rPr>
          <w:lang w:val="en-US"/>
        </w:rPr>
        <w:t>EfficientNet</w:t>
      </w:r>
      <w:proofErr w:type="spellEnd"/>
      <w:r w:rsidRPr="00E90A7E">
        <w:rPr>
          <w:lang w:val="en-US"/>
        </w:rPr>
        <w:t>-LSTM model for EEG seizure detection.</w:t>
      </w:r>
    </w:p>
    <w:p w14:paraId="29EDF7BC" w14:textId="77777777" w:rsidR="004040D4" w:rsidRPr="00E90A7E" w:rsidRDefault="004040D4" w:rsidP="00087313">
      <w:pPr>
        <w:rPr>
          <w:b/>
          <w:bCs/>
          <w:lang w:val="en-US"/>
        </w:rPr>
      </w:pPr>
    </w:p>
    <w:sectPr w:rsidR="004040D4" w:rsidRPr="00E90A7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2CD"/>
    <w:multiLevelType w:val="multilevel"/>
    <w:tmpl w:val="D26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C38BF"/>
    <w:multiLevelType w:val="multilevel"/>
    <w:tmpl w:val="6A4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2083B"/>
    <w:multiLevelType w:val="multilevel"/>
    <w:tmpl w:val="FA005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E50B29"/>
    <w:multiLevelType w:val="multilevel"/>
    <w:tmpl w:val="BDC8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B5590"/>
    <w:multiLevelType w:val="multilevel"/>
    <w:tmpl w:val="9C0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375627">
    <w:abstractNumId w:val="3"/>
  </w:num>
  <w:num w:numId="2" w16cid:durableId="1441687108">
    <w:abstractNumId w:val="2"/>
  </w:num>
  <w:num w:numId="3" w16cid:durableId="935096045">
    <w:abstractNumId w:val="0"/>
  </w:num>
  <w:num w:numId="4" w16cid:durableId="338122260">
    <w:abstractNumId w:val="1"/>
  </w:num>
  <w:num w:numId="5" w16cid:durableId="1189758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13"/>
    <w:rsid w:val="00087313"/>
    <w:rsid w:val="002D2AEF"/>
    <w:rsid w:val="003A6792"/>
    <w:rsid w:val="004040D4"/>
    <w:rsid w:val="004A26AE"/>
    <w:rsid w:val="00A617AF"/>
    <w:rsid w:val="00D41013"/>
    <w:rsid w:val="00E90A7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79A8"/>
  <w15:chartTrackingRefBased/>
  <w15:docId w15:val="{CA18510D-4EDC-4268-8A0C-B59BFF51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7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3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73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3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3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3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313"/>
    <w:rPr>
      <w:rFonts w:eastAsiaTheme="majorEastAsia" w:cstheme="majorBidi"/>
      <w:color w:val="272727" w:themeColor="text1" w:themeTint="D8"/>
    </w:rPr>
  </w:style>
  <w:style w:type="paragraph" w:styleId="Title">
    <w:name w:val="Title"/>
    <w:basedOn w:val="Normal"/>
    <w:next w:val="Normal"/>
    <w:link w:val="TitleChar"/>
    <w:uiPriority w:val="10"/>
    <w:qFormat/>
    <w:rsid w:val="00087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313"/>
    <w:pPr>
      <w:spacing w:before="160"/>
      <w:jc w:val="center"/>
    </w:pPr>
    <w:rPr>
      <w:i/>
      <w:iCs/>
      <w:color w:val="404040" w:themeColor="text1" w:themeTint="BF"/>
    </w:rPr>
  </w:style>
  <w:style w:type="character" w:customStyle="1" w:styleId="QuoteChar">
    <w:name w:val="Quote Char"/>
    <w:basedOn w:val="DefaultParagraphFont"/>
    <w:link w:val="Quote"/>
    <w:uiPriority w:val="29"/>
    <w:rsid w:val="00087313"/>
    <w:rPr>
      <w:i/>
      <w:iCs/>
      <w:color w:val="404040" w:themeColor="text1" w:themeTint="BF"/>
    </w:rPr>
  </w:style>
  <w:style w:type="paragraph" w:styleId="ListParagraph">
    <w:name w:val="List Paragraph"/>
    <w:basedOn w:val="Normal"/>
    <w:uiPriority w:val="34"/>
    <w:qFormat/>
    <w:rsid w:val="00087313"/>
    <w:pPr>
      <w:ind w:left="720"/>
      <w:contextualSpacing/>
    </w:pPr>
  </w:style>
  <w:style w:type="character" w:styleId="IntenseEmphasis">
    <w:name w:val="Intense Emphasis"/>
    <w:basedOn w:val="DefaultParagraphFont"/>
    <w:uiPriority w:val="21"/>
    <w:qFormat/>
    <w:rsid w:val="00087313"/>
    <w:rPr>
      <w:i/>
      <w:iCs/>
      <w:color w:val="2F5496" w:themeColor="accent1" w:themeShade="BF"/>
    </w:rPr>
  </w:style>
  <w:style w:type="paragraph" w:styleId="IntenseQuote">
    <w:name w:val="Intense Quote"/>
    <w:basedOn w:val="Normal"/>
    <w:next w:val="Normal"/>
    <w:link w:val="IntenseQuoteChar"/>
    <w:uiPriority w:val="30"/>
    <w:qFormat/>
    <w:rsid w:val="00087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313"/>
    <w:rPr>
      <w:i/>
      <w:iCs/>
      <w:color w:val="2F5496" w:themeColor="accent1" w:themeShade="BF"/>
    </w:rPr>
  </w:style>
  <w:style w:type="character" w:styleId="IntenseReference">
    <w:name w:val="Intense Reference"/>
    <w:basedOn w:val="DefaultParagraphFont"/>
    <w:uiPriority w:val="32"/>
    <w:qFormat/>
    <w:rsid w:val="000873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4</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ali</dc:creator>
  <cp:keywords/>
  <dc:description/>
  <cp:lastModifiedBy>jana ali</cp:lastModifiedBy>
  <cp:revision>1</cp:revision>
  <dcterms:created xsi:type="dcterms:W3CDTF">2025-11-16T08:53:00Z</dcterms:created>
  <dcterms:modified xsi:type="dcterms:W3CDTF">2025-11-16T13:31:00Z</dcterms:modified>
</cp:coreProperties>
</file>