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7DFB" w14:textId="77777777" w:rsidR="009F1451" w:rsidRPr="00D75555" w:rsidRDefault="00000000">
      <w:pPr>
        <w:pStyle w:val="Heading1"/>
        <w:rPr>
          <w:rFonts w:ascii="Times New Roman" w:hAnsi="Times New Roman" w:cs="Times New Roman"/>
          <w:color w:val="auto"/>
          <w:sz w:val="24"/>
          <w:szCs w:val="24"/>
        </w:rPr>
      </w:pPr>
      <w:bookmarkStart w:id="0" w:name="X1e2242bc3c7aa4231d53599138831306eea235e"/>
      <w:r w:rsidRPr="00D75555">
        <w:rPr>
          <w:rFonts w:ascii="Times New Roman" w:hAnsi="Times New Roman" w:cs="Times New Roman"/>
          <w:color w:val="auto"/>
          <w:sz w:val="24"/>
          <w:szCs w:val="24"/>
        </w:rPr>
        <w:t>The Causal Effect of Birthweight on Infant Mortality in the Twins Dataset</w:t>
      </w:r>
    </w:p>
    <w:p w14:paraId="2C43DC94" w14:textId="72239BA6" w:rsidR="009F1451" w:rsidRDefault="00000000">
      <w:pPr>
        <w:pStyle w:val="FirstParagraph"/>
        <w:rPr>
          <w:rFonts w:ascii="Times New Roman" w:hAnsi="Times New Roman" w:cs="Times New Roman"/>
        </w:rPr>
      </w:pPr>
      <w:r w:rsidRPr="00D75555">
        <w:rPr>
          <w:rFonts w:ascii="Times New Roman" w:hAnsi="Times New Roman" w:cs="Times New Roman"/>
        </w:rPr>
        <w:t>Causal Models in Data Science</w:t>
      </w:r>
      <w:r w:rsidR="00D75555">
        <w:rPr>
          <w:rFonts w:ascii="Times New Roman" w:hAnsi="Times New Roman" w:cs="Times New Roman"/>
        </w:rPr>
        <w:t>: Final Project Report</w:t>
      </w:r>
    </w:p>
    <w:p w14:paraId="1CAB8E2C" w14:textId="1FA2C60C" w:rsidR="00D75555" w:rsidRPr="00D75555" w:rsidRDefault="00D75555" w:rsidP="00D75555">
      <w:pPr>
        <w:pStyle w:val="BodyText"/>
        <w:rPr>
          <w:rFonts w:ascii="Times New Roman" w:hAnsi="Times New Roman" w:cs="Times New Roman"/>
        </w:rPr>
      </w:pPr>
      <w:r w:rsidRPr="00D75555">
        <w:rPr>
          <w:rFonts w:ascii="Times New Roman" w:hAnsi="Times New Roman" w:cs="Times New Roman"/>
        </w:rPr>
        <w:t>Hannah Yamashita</w:t>
      </w:r>
    </w:p>
    <w:p w14:paraId="4271DDCD"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All tables and figures come from running </w:t>
      </w:r>
      <w:r w:rsidRPr="00D75555">
        <w:rPr>
          <w:rStyle w:val="VerbatimChar"/>
          <w:rFonts w:ascii="Times New Roman" w:hAnsi="Times New Roman" w:cs="Times New Roman"/>
          <w:sz w:val="24"/>
        </w:rPr>
        <w:t>python scripts/run_all.py</w:t>
      </w:r>
      <w:r w:rsidRPr="00D75555">
        <w:rPr>
          <w:rFonts w:ascii="Times New Roman" w:hAnsi="Times New Roman" w:cs="Times New Roman"/>
        </w:rPr>
        <w:t xml:space="preserve"> with seed 0. The repository includes the code, raw-data instructions, generated results, and figures.</w:t>
      </w:r>
    </w:p>
    <w:p w14:paraId="2556D89E" w14:textId="77777777" w:rsidR="009F1451" w:rsidRPr="00D75555" w:rsidRDefault="00000000">
      <w:pPr>
        <w:pStyle w:val="Heading2"/>
        <w:rPr>
          <w:rFonts w:ascii="Times New Roman" w:hAnsi="Times New Roman" w:cs="Times New Roman"/>
          <w:color w:val="auto"/>
          <w:sz w:val="24"/>
          <w:szCs w:val="24"/>
        </w:rPr>
      </w:pPr>
      <w:bookmarkStart w:id="1" w:name="X3618ed01957ce46eac61fd12c45cdc24e5e3a46"/>
      <w:r w:rsidRPr="00D75555">
        <w:rPr>
          <w:rFonts w:ascii="Times New Roman" w:hAnsi="Times New Roman" w:cs="Times New Roman"/>
          <w:color w:val="auto"/>
          <w:sz w:val="24"/>
          <w:szCs w:val="24"/>
        </w:rPr>
        <w:t>1. Causal Question and Motivation</w:t>
      </w:r>
    </w:p>
    <w:p w14:paraId="0FC0E265"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Low birthweight is strongly associated with infant mortality, but the key causal question is whether birthweight itself affects mortality or whether the association mostly reflects maternal and pregnancy risks that also lead to lower birthweight. This distinction matters for intervention. If birthweight has a causal effect, improving fetal growth may reduce mortality. If the association is mostly confounding, resources may be better directed toward the underlying maternal and pregnancy conditions.</w:t>
      </w:r>
    </w:p>
    <w:p w14:paraId="75B9EA9F" w14:textId="041423D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I </w:t>
      </w:r>
      <w:r w:rsidR="002E761B">
        <w:rPr>
          <w:rFonts w:ascii="Times New Roman" w:hAnsi="Times New Roman" w:cs="Times New Roman"/>
        </w:rPr>
        <w:t>study</w:t>
      </w:r>
      <w:r w:rsidRPr="00D75555">
        <w:rPr>
          <w:rFonts w:ascii="Times New Roman" w:hAnsi="Times New Roman" w:cs="Times New Roman"/>
        </w:rPr>
        <w:t xml:space="preserve"> this question with the Twins dataset, preprocessed by Louizos et al. (2017), restricted to same-sex twin pairs where both infants weigh under 2 kg. The treatment is being the heavier twin, </w:t>
      </w:r>
      <w:r w:rsidRPr="00D75555">
        <w:rPr>
          <w:rStyle w:val="VerbatimChar"/>
          <w:rFonts w:ascii="Times New Roman" w:hAnsi="Times New Roman" w:cs="Times New Roman"/>
          <w:sz w:val="24"/>
        </w:rPr>
        <w:t>T = 1</w:t>
      </w:r>
      <w:r w:rsidRPr="00D75555">
        <w:rPr>
          <w:rFonts w:ascii="Times New Roman" w:hAnsi="Times New Roman" w:cs="Times New Roman"/>
        </w:rPr>
        <w:t xml:space="preserve">. The outcome is one-year mortality, </w:t>
      </w:r>
      <w:r w:rsidRPr="00D75555">
        <w:rPr>
          <w:rStyle w:val="VerbatimChar"/>
          <w:rFonts w:ascii="Times New Roman" w:hAnsi="Times New Roman" w:cs="Times New Roman"/>
          <w:sz w:val="24"/>
        </w:rPr>
        <w:t>Y</w:t>
      </w:r>
      <w:r w:rsidRPr="00D75555">
        <w:rPr>
          <w:rFonts w:ascii="Times New Roman" w:hAnsi="Times New Roman" w:cs="Times New Roman"/>
        </w:rPr>
        <w:t xml:space="preserve">. The covariates, </w:t>
      </w:r>
      <w:r w:rsidRPr="00D75555">
        <w:rPr>
          <w:rStyle w:val="VerbatimChar"/>
          <w:rFonts w:ascii="Times New Roman" w:hAnsi="Times New Roman" w:cs="Times New Roman"/>
          <w:sz w:val="24"/>
        </w:rPr>
        <w:t>X</w:t>
      </w:r>
      <w:r w:rsidRPr="00D75555">
        <w:rPr>
          <w:rFonts w:ascii="Times New Roman" w:hAnsi="Times New Roman" w:cs="Times New Roman"/>
        </w:rPr>
        <w:t>, are 50 maternal and pregnancy characteristics such as gestational age, prenatal visits, parity, maternal age and education, race, marital status, and medical risk indicators.</w:t>
      </w:r>
    </w:p>
    <w:p w14:paraId="786ABCDC"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project estimates two causal quantities. The first is the average treatment effect, or ATE: among these twin pairs, what is the average effect of being the heavier twin on one-year mortality? The second is the conditional average treatment effect, or CATE: how does that effect vary across measured maternal and pregnancy characteristics?</w:t>
      </w:r>
    </w:p>
    <w:p w14:paraId="31DC41BA"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report proceeds as follows. Section 2 describes the data and preprocessing. Section 3 states the identification assumptions and estimators. Section 4 presents the main ATE and CATE results. Section 5 evaluates the estimates using the twin-pair benchmark, refutation tests, model-selection diagnostics, and sensitivity analysis. Section 6 summarizes the conclusion and limitations.</w:t>
      </w:r>
    </w:p>
    <w:p w14:paraId="69D25582"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main result is that being the heavier twin reduces one-year mortality by about 2.4 to 2.5 percentage points. The AIPW estimate is -0.0248 with a 95% CI from -0.0375 to -0.0122, and it closely matches the within-pair benchmark of -0.0252. CATE results are more fragile: the causal forest ranks pairs best, but subgroup analyses based only on AIPW can be misleading.</w:t>
      </w:r>
    </w:p>
    <w:p w14:paraId="45274D5E" w14:textId="77777777" w:rsidR="009F1451" w:rsidRPr="00D75555" w:rsidRDefault="00000000">
      <w:pPr>
        <w:pStyle w:val="Heading2"/>
        <w:rPr>
          <w:rFonts w:ascii="Times New Roman" w:hAnsi="Times New Roman" w:cs="Times New Roman"/>
          <w:color w:val="auto"/>
          <w:sz w:val="24"/>
          <w:szCs w:val="24"/>
        </w:rPr>
      </w:pPr>
      <w:bookmarkStart w:id="2" w:name="X65a706f8ca5eacb1920452eda3b0af309359f5a"/>
      <w:bookmarkEnd w:id="1"/>
      <w:r w:rsidRPr="00D75555">
        <w:rPr>
          <w:rFonts w:ascii="Times New Roman" w:hAnsi="Times New Roman" w:cs="Times New Roman"/>
          <w:color w:val="auto"/>
          <w:sz w:val="24"/>
          <w:szCs w:val="24"/>
        </w:rPr>
        <w:t>2. Exploratory Data Analysis and Preprocessing</w:t>
      </w:r>
    </w:p>
    <w:p w14:paraId="0FCFF3A1"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The raw data come from the AMLab-Amsterdam CEVAE repository. I filter to twin pairs where both birthweights are present and below 2000 g, both one-year mortality outcomes are present, and non-covariate ID columns are removed. Remaining missing covariates are median-imputed. The final analysis sample has 11,984 pairs and 50 covariates.</w:t>
      </w:r>
    </w:p>
    <w:p w14:paraId="37C23138"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50 covariates fall into four groups. Pregnancy variables include gestational age (</w:t>
      </w:r>
      <w:r w:rsidRPr="00D75555">
        <w:rPr>
          <w:rStyle w:val="VerbatimChar"/>
          <w:rFonts w:ascii="Times New Roman" w:hAnsi="Times New Roman" w:cs="Times New Roman"/>
          <w:sz w:val="24"/>
        </w:rPr>
        <w:t>gestat10</w:t>
      </w:r>
      <w:r w:rsidRPr="00D75555">
        <w:rPr>
          <w:rFonts w:ascii="Times New Roman" w:hAnsi="Times New Roman" w:cs="Times New Roman"/>
        </w:rPr>
        <w:t xml:space="preserve">), prenatal visits, parity, and birth order. Maternal demographics include age, education, race, </w:t>
      </w:r>
      <w:r w:rsidRPr="00D75555">
        <w:rPr>
          <w:rFonts w:ascii="Times New Roman" w:hAnsi="Times New Roman" w:cs="Times New Roman"/>
        </w:rPr>
        <w:lastRenderedPageBreak/>
        <w:t>marital status, and birthplace. Maternal risk indicators include anemia, diabetes, chronic and pregnancy-induced hypertension, eclampsia, and preterm history, plus tobacco and alcohol use. Administrative controls include state, birth month, and data year.</w:t>
      </w:r>
    </w:p>
    <w:p w14:paraId="2FE700FE"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Because the raw Twins benchmark observes mortality for both the heavier and lighter twin in each pair, the within-pair mortality difference can be used later as validation data. To create an observational-study setting, I follow Louizos et al. and select one twin per pair using a covariate-dependent assignment rule:</w:t>
      </w:r>
    </w:p>
    <w:p w14:paraId="4C1DED55" w14:textId="77777777" w:rsidR="009F1451" w:rsidRPr="00D75555" w:rsidRDefault="00000000" w:rsidP="002E761B">
      <w:pPr>
        <w:pStyle w:val="BodyText"/>
        <w:jc w:val="center"/>
        <w:rPr>
          <w:rFonts w:ascii="Times New Roman" w:hAnsi="Times New Roman" w:cs="Times New Roman"/>
        </w:rPr>
      </w:pPr>
      <w:r w:rsidRPr="00D75555">
        <w:rPr>
          <w:rStyle w:val="VerbatimChar"/>
          <w:rFonts w:ascii="Times New Roman" w:hAnsi="Times New Roman" w:cs="Times New Roman"/>
          <w:sz w:val="24"/>
        </w:rPr>
        <w:t xml:space="preserve">p_i = </w:t>
      </w:r>
      <w:proofErr w:type="gramStart"/>
      <w:r w:rsidRPr="00D75555">
        <w:rPr>
          <w:rStyle w:val="VerbatimChar"/>
          <w:rFonts w:ascii="Times New Roman" w:hAnsi="Times New Roman" w:cs="Times New Roman"/>
          <w:sz w:val="24"/>
        </w:rPr>
        <w:t>sigmoid(</w:t>
      </w:r>
      <w:proofErr w:type="gramEnd"/>
      <w:r w:rsidRPr="00D75555">
        <w:rPr>
          <w:rStyle w:val="VerbatimChar"/>
          <w:rFonts w:ascii="Times New Roman" w:hAnsi="Times New Roman" w:cs="Times New Roman"/>
          <w:sz w:val="24"/>
        </w:rPr>
        <w:t>z_i^T w + n_i</w:t>
      </w:r>
      <w:proofErr w:type="gramStart"/>
      <w:r w:rsidRPr="00D75555">
        <w:rPr>
          <w:rStyle w:val="VerbatimChar"/>
          <w:rFonts w:ascii="Times New Roman" w:hAnsi="Times New Roman" w:cs="Times New Roman"/>
          <w:sz w:val="24"/>
        </w:rPr>
        <w:t>),  T</w:t>
      </w:r>
      <w:proofErr w:type="gramEnd"/>
      <w:r w:rsidRPr="00D75555">
        <w:rPr>
          <w:rStyle w:val="VerbatimChar"/>
          <w:rFonts w:ascii="Times New Roman" w:hAnsi="Times New Roman" w:cs="Times New Roman"/>
          <w:sz w:val="24"/>
        </w:rPr>
        <w:t>_i ~ Bernoulli(p_i)</w:t>
      </w:r>
    </w:p>
    <w:p w14:paraId="3326C6A6"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Here </w:t>
      </w:r>
      <w:r w:rsidRPr="00D75555">
        <w:rPr>
          <w:rStyle w:val="VerbatimChar"/>
          <w:rFonts w:ascii="Times New Roman" w:hAnsi="Times New Roman" w:cs="Times New Roman"/>
          <w:sz w:val="24"/>
        </w:rPr>
        <w:t>z_i</w:t>
      </w:r>
      <w:r w:rsidRPr="00D75555">
        <w:rPr>
          <w:rFonts w:ascii="Times New Roman" w:hAnsi="Times New Roman" w:cs="Times New Roman"/>
        </w:rPr>
        <w:t xml:space="preserve"> is the standardized covariate vector, </w:t>
      </w:r>
      <w:r w:rsidRPr="00D75555">
        <w:rPr>
          <w:rStyle w:val="VerbatimChar"/>
          <w:rFonts w:ascii="Times New Roman" w:hAnsi="Times New Roman" w:cs="Times New Roman"/>
          <w:sz w:val="24"/>
        </w:rPr>
        <w:t>w</w:t>
      </w:r>
      <w:r w:rsidRPr="00D75555">
        <w:rPr>
          <w:rFonts w:ascii="Times New Roman" w:hAnsi="Times New Roman" w:cs="Times New Roman"/>
        </w:rPr>
        <w:t xml:space="preserve"> is a random coefficient vector, and </w:t>
      </w:r>
      <w:r w:rsidRPr="00D75555">
        <w:rPr>
          <w:rStyle w:val="VerbatimChar"/>
          <w:rFonts w:ascii="Times New Roman" w:hAnsi="Times New Roman" w:cs="Times New Roman"/>
          <w:sz w:val="24"/>
        </w:rPr>
        <w:t>n_i</w:t>
      </w:r>
      <w:r w:rsidRPr="00D75555">
        <w:rPr>
          <w:rFonts w:ascii="Times New Roman" w:hAnsi="Times New Roman" w:cs="Times New Roman"/>
        </w:rPr>
        <w:t xml:space="preserve"> is noise. The observed outcome is the selected twin's mortality. The other twin's outcome is held back and used only for validation. This setup is useful because it lets us test whether observational causal estimators recover a known design-based benchmark.</w:t>
      </w:r>
    </w:p>
    <w:p w14:paraId="719F8FF0"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observed mortality rate is 0.164 for the heavier-twin group and 0.193 for the lighter-twin group, giving a naive difference of -0.028. The true within-pair ATE is -0.025. The naive estimate is close but slightly more negative, which is exactly why adjustment is still needed: treatment assignment was simulated to depend on covariates that also predict mortality.</w:t>
      </w:r>
    </w:p>
    <w:p w14:paraId="1161EEE4"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propensity-score overlap plot shows strong overlap between treatment groups, so I do not trim observations. Standardized mean differences show meaningful pre-adjustment imbalance, especially in state or region, birthplace, race, birth order, and parental education. This is important because the estimators are not solving an artificial no-confounding problem; they need to adjust for real imbalance while still having enough overlap to be credible.</w:t>
      </w:r>
    </w:p>
    <w:p w14:paraId="75164850" w14:textId="2019A758" w:rsidR="009F1451" w:rsidRDefault="00000000">
      <w:pPr>
        <w:pStyle w:val="BodyText"/>
        <w:rPr>
          <w:rFonts w:ascii="Times New Roman" w:hAnsi="Times New Roman" w:cs="Times New Roman"/>
        </w:rPr>
      </w:pPr>
      <w:r w:rsidRPr="00D75555">
        <w:rPr>
          <w:rFonts w:ascii="Times New Roman" w:hAnsi="Times New Roman" w:cs="Times New Roman"/>
          <w:noProof/>
        </w:rPr>
        <w:drawing>
          <wp:inline distT="0" distB="0" distL="0" distR="0" wp14:anchorId="4113B4F0" wp14:editId="15B7A6C5">
            <wp:extent cx="4683213" cy="3122141"/>
            <wp:effectExtent l="0" t="0" r="0" b="0"/>
            <wp:docPr id="1" name="Picture" descr="Figure 1. Propensity-score overlap."/>
            <wp:cNvGraphicFramePr/>
            <a:graphic xmlns:a="http://schemas.openxmlformats.org/drawingml/2006/main">
              <a:graphicData uri="http://schemas.openxmlformats.org/drawingml/2006/picture">
                <pic:pic xmlns:pic="http://schemas.openxmlformats.org/drawingml/2006/picture">
                  <pic:nvPicPr>
                    <pic:cNvPr id="0" name="Picture" descr="../figures/01_overlap.png"/>
                    <pic:cNvPicPr>
                      <a:picLocks noChangeAspect="1" noChangeArrowheads="1"/>
                    </pic:cNvPicPr>
                  </pic:nvPicPr>
                  <pic:blipFill>
                    <a:blip r:embed="rId7"/>
                    <a:stretch>
                      <a:fillRect/>
                    </a:stretch>
                  </pic:blipFill>
                  <pic:spPr bwMode="auto">
                    <a:xfrm>
                      <a:off x="0" y="0"/>
                      <a:ext cx="4699073" cy="3132715"/>
                    </a:xfrm>
                    <a:prstGeom prst="rect">
                      <a:avLst/>
                    </a:prstGeom>
                    <a:noFill/>
                    <a:ln w="9525">
                      <a:noFill/>
                      <a:headEnd/>
                      <a:tailEnd/>
                    </a:ln>
                  </pic:spPr>
                </pic:pic>
              </a:graphicData>
            </a:graphic>
          </wp:inline>
        </w:drawing>
      </w:r>
    </w:p>
    <w:p w14:paraId="0CF92B4D" w14:textId="2364E712" w:rsidR="00D75555" w:rsidRPr="00D75555" w:rsidRDefault="00D75555">
      <w:pPr>
        <w:pStyle w:val="BodyText"/>
        <w:rPr>
          <w:rFonts w:ascii="Times New Roman" w:hAnsi="Times New Roman" w:cs="Times New Roman"/>
        </w:rPr>
      </w:pPr>
      <w:r>
        <w:rPr>
          <w:rFonts w:ascii="Times New Roman" w:hAnsi="Times New Roman" w:cs="Times New Roman"/>
        </w:rPr>
        <w:t>Figure 1: Propensity-Score Overlap</w:t>
      </w:r>
    </w:p>
    <w:p w14:paraId="72E11AB2" w14:textId="55F0DAEA" w:rsidR="009F1451" w:rsidRPr="00D75555" w:rsidRDefault="00000000">
      <w:pPr>
        <w:pStyle w:val="BodyText"/>
        <w:rPr>
          <w:rFonts w:ascii="Times New Roman" w:hAnsi="Times New Roman" w:cs="Times New Roman"/>
        </w:rPr>
      </w:pPr>
      <w:r w:rsidRPr="00D75555">
        <w:rPr>
          <w:rFonts w:ascii="Times New Roman" w:hAnsi="Times New Roman" w:cs="Times New Roman"/>
          <w:noProof/>
        </w:rPr>
        <w:lastRenderedPageBreak/>
        <w:drawing>
          <wp:inline distT="0" distB="0" distL="0" distR="0" wp14:anchorId="2B010128" wp14:editId="4B87F3AF">
            <wp:extent cx="4586829" cy="3822357"/>
            <wp:effectExtent l="0" t="0" r="0" b="0"/>
            <wp:docPr id="392483659" name="Picture" descr="Figure 2. Top-20 standardized mean differences before adjustment."/>
            <wp:cNvGraphicFramePr/>
            <a:graphic xmlns:a="http://schemas.openxmlformats.org/drawingml/2006/main">
              <a:graphicData uri="http://schemas.openxmlformats.org/drawingml/2006/picture">
                <pic:pic xmlns:pic="http://schemas.openxmlformats.org/drawingml/2006/picture">
                  <pic:nvPicPr>
                    <pic:cNvPr id="0" name="Picture" descr="../figures/01_smd_top20.png"/>
                    <pic:cNvPicPr>
                      <a:picLocks noChangeAspect="1" noChangeArrowheads="1"/>
                    </pic:cNvPicPr>
                  </pic:nvPicPr>
                  <pic:blipFill>
                    <a:blip r:embed="rId8"/>
                    <a:stretch>
                      <a:fillRect/>
                    </a:stretch>
                  </pic:blipFill>
                  <pic:spPr bwMode="auto">
                    <a:xfrm>
                      <a:off x="0" y="0"/>
                      <a:ext cx="4606760" cy="3838966"/>
                    </a:xfrm>
                    <a:prstGeom prst="rect">
                      <a:avLst/>
                    </a:prstGeom>
                    <a:noFill/>
                    <a:ln w="9525">
                      <a:noFill/>
                      <a:headEnd/>
                      <a:tailEnd/>
                    </a:ln>
                  </pic:spPr>
                </pic:pic>
              </a:graphicData>
            </a:graphic>
          </wp:inline>
        </w:drawing>
      </w:r>
      <w:r w:rsidR="00D75555">
        <w:rPr>
          <w:rFonts w:ascii="Times New Roman" w:hAnsi="Times New Roman" w:cs="Times New Roman"/>
        </w:rPr>
        <w:br/>
        <w:t>Figure 2: Top 20 Covariate Imbalances</w:t>
      </w:r>
    </w:p>
    <w:p w14:paraId="40CA259C" w14:textId="77777777" w:rsidR="009F1451" w:rsidRPr="00D75555" w:rsidRDefault="00000000">
      <w:pPr>
        <w:pStyle w:val="Heading2"/>
        <w:rPr>
          <w:rFonts w:ascii="Times New Roman" w:hAnsi="Times New Roman" w:cs="Times New Roman"/>
          <w:color w:val="auto"/>
          <w:sz w:val="24"/>
          <w:szCs w:val="24"/>
        </w:rPr>
      </w:pPr>
      <w:bookmarkStart w:id="3" w:name="X1481c044492b4967a8e844d1a58d2b978c733fe"/>
      <w:bookmarkEnd w:id="2"/>
      <w:r w:rsidRPr="00D75555">
        <w:rPr>
          <w:rFonts w:ascii="Times New Roman" w:hAnsi="Times New Roman" w:cs="Times New Roman"/>
          <w:color w:val="auto"/>
          <w:sz w:val="24"/>
          <w:szCs w:val="24"/>
        </w:rPr>
        <w:t>3. Causal Identification and Estimation</w:t>
      </w:r>
    </w:p>
    <w:p w14:paraId="0FB6C936" w14:textId="6F9FBCC8" w:rsidR="009F1451" w:rsidRPr="00D75555" w:rsidRDefault="00D75555" w:rsidP="00D75555">
      <w:pPr>
        <w:pStyle w:val="FirstParagraph"/>
        <w:rPr>
          <w:rFonts w:ascii="Times New Roman" w:hAnsi="Times New Roman" w:cs="Times New Roman"/>
        </w:rPr>
      </w:pPr>
      <w:r w:rsidRPr="00D75555">
        <w:rPr>
          <w:rFonts w:ascii="Times New Roman" w:hAnsi="Times New Roman" w:cs="Times New Roman"/>
        </w:rPr>
        <w:t xml:space="preserve">Conceptually, the causal structure is that maternal and pregnancy covariates affect both which twin is selected as the heavier-twin observation and the mortality outcome. Therefore, these covariates create backdoor paths between treatment and outcome. I adjust for the observed covariates X and rely on conditional </w:t>
      </w:r>
      <w:proofErr w:type="spellStart"/>
      <w:r w:rsidRPr="00D75555">
        <w:rPr>
          <w:rFonts w:ascii="Times New Roman" w:hAnsi="Times New Roman" w:cs="Times New Roman"/>
        </w:rPr>
        <w:t>ignorability</w:t>
      </w:r>
      <w:proofErr w:type="spellEnd"/>
      <w:r w:rsidRPr="00D75555">
        <w:rPr>
          <w:rFonts w:ascii="Times New Roman" w:hAnsi="Times New Roman" w:cs="Times New Roman"/>
        </w:rPr>
        <w:t>, positivity, consistency, and a pair-level version of SUTVA for identification.</w:t>
      </w:r>
    </w:p>
    <w:p w14:paraId="7251E213"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Identification relies on four assumptions:</w:t>
      </w:r>
    </w:p>
    <w:p w14:paraId="4A5ADB5A" w14:textId="77777777" w:rsidR="009F1451" w:rsidRPr="00D75555" w:rsidRDefault="00000000">
      <w:pPr>
        <w:pStyle w:val="Compact"/>
        <w:numPr>
          <w:ilvl w:val="0"/>
          <w:numId w:val="2"/>
        </w:numPr>
        <w:rPr>
          <w:rFonts w:ascii="Times New Roman" w:hAnsi="Times New Roman" w:cs="Times New Roman"/>
        </w:rPr>
      </w:pPr>
      <w:r w:rsidRPr="00D75555">
        <w:rPr>
          <w:rFonts w:ascii="Times New Roman" w:hAnsi="Times New Roman" w:cs="Times New Roman"/>
        </w:rPr>
        <w:t xml:space="preserve">Conditional ignorability: </w:t>
      </w:r>
      <w:proofErr w:type="gramStart"/>
      <w:r w:rsidRPr="00D75555">
        <w:rPr>
          <w:rStyle w:val="VerbatimChar"/>
          <w:rFonts w:ascii="Times New Roman" w:hAnsi="Times New Roman" w:cs="Times New Roman"/>
          <w:sz w:val="24"/>
        </w:rPr>
        <w:t>Y(</w:t>
      </w:r>
      <w:proofErr w:type="gramEnd"/>
      <w:r w:rsidRPr="00D75555">
        <w:rPr>
          <w:rStyle w:val="VerbatimChar"/>
          <w:rFonts w:ascii="Times New Roman" w:hAnsi="Times New Roman" w:cs="Times New Roman"/>
          <w:sz w:val="24"/>
        </w:rPr>
        <w:t xml:space="preserve">0), </w:t>
      </w:r>
      <w:proofErr w:type="gramStart"/>
      <w:r w:rsidRPr="00D75555">
        <w:rPr>
          <w:rStyle w:val="VerbatimChar"/>
          <w:rFonts w:ascii="Times New Roman" w:hAnsi="Times New Roman" w:cs="Times New Roman"/>
          <w:sz w:val="24"/>
        </w:rPr>
        <w:t>Y(</w:t>
      </w:r>
      <w:proofErr w:type="gramEnd"/>
      <w:r w:rsidRPr="00D75555">
        <w:rPr>
          <w:rStyle w:val="VerbatimChar"/>
          <w:rFonts w:ascii="Times New Roman" w:hAnsi="Times New Roman" w:cs="Times New Roman"/>
          <w:sz w:val="24"/>
        </w:rPr>
        <w:t>1) independent of T given X</w:t>
      </w:r>
      <w:r w:rsidRPr="00D75555">
        <w:rPr>
          <w:rFonts w:ascii="Times New Roman" w:hAnsi="Times New Roman" w:cs="Times New Roman"/>
        </w:rPr>
        <w:t>. In the simulated observational study, this is justified because treatment assignment is generated from observed covariates.</w:t>
      </w:r>
    </w:p>
    <w:p w14:paraId="1A9DED7B" w14:textId="77777777" w:rsidR="009F1451" w:rsidRPr="00D75555" w:rsidRDefault="00000000">
      <w:pPr>
        <w:pStyle w:val="Compact"/>
        <w:numPr>
          <w:ilvl w:val="0"/>
          <w:numId w:val="2"/>
        </w:numPr>
        <w:rPr>
          <w:rFonts w:ascii="Times New Roman" w:hAnsi="Times New Roman" w:cs="Times New Roman"/>
        </w:rPr>
      </w:pPr>
      <w:r w:rsidRPr="00D75555">
        <w:rPr>
          <w:rFonts w:ascii="Times New Roman" w:hAnsi="Times New Roman" w:cs="Times New Roman"/>
        </w:rPr>
        <w:t>Positivity: each covariate profile has a nonzero probability of being assigned to either treatment group. The overlap plot supports this.</w:t>
      </w:r>
    </w:p>
    <w:p w14:paraId="37AC3CBC" w14:textId="77777777" w:rsidR="009F1451" w:rsidRPr="00D75555" w:rsidRDefault="00000000">
      <w:pPr>
        <w:pStyle w:val="Compact"/>
        <w:numPr>
          <w:ilvl w:val="0"/>
          <w:numId w:val="2"/>
        </w:numPr>
        <w:rPr>
          <w:rFonts w:ascii="Times New Roman" w:hAnsi="Times New Roman" w:cs="Times New Roman"/>
        </w:rPr>
      </w:pPr>
      <w:r w:rsidRPr="00D75555">
        <w:rPr>
          <w:rFonts w:ascii="Times New Roman" w:hAnsi="Times New Roman" w:cs="Times New Roman"/>
        </w:rPr>
        <w:t>Consistency: the observed outcome equals the potential outcome under the observed treatment.</w:t>
      </w:r>
    </w:p>
    <w:p w14:paraId="65A2C2D9" w14:textId="77777777" w:rsidR="009F1451" w:rsidRPr="00D75555" w:rsidRDefault="00000000">
      <w:pPr>
        <w:pStyle w:val="Compact"/>
        <w:numPr>
          <w:ilvl w:val="0"/>
          <w:numId w:val="2"/>
        </w:numPr>
        <w:rPr>
          <w:rFonts w:ascii="Times New Roman" w:hAnsi="Times New Roman" w:cs="Times New Roman"/>
        </w:rPr>
      </w:pPr>
      <w:r w:rsidRPr="00D75555">
        <w:rPr>
          <w:rFonts w:ascii="Times New Roman" w:hAnsi="Times New Roman" w:cs="Times New Roman"/>
        </w:rPr>
        <w:t>SUTVA, interpreted carefully: treatment is defined within a pair as heavier versus lighter, so the estimand is a pair-level contrast rather than a literal policy of changing one infant's birthweight in isolation.</w:t>
      </w:r>
    </w:p>
    <w:p w14:paraId="3019F4C5" w14:textId="31071B23" w:rsidR="009F1451" w:rsidRPr="00D75555" w:rsidRDefault="00000000">
      <w:pPr>
        <w:pStyle w:val="FirstParagraph"/>
        <w:rPr>
          <w:rFonts w:ascii="Times New Roman" w:hAnsi="Times New Roman" w:cs="Times New Roman"/>
        </w:rPr>
      </w:pPr>
      <w:r w:rsidRPr="00D75555">
        <w:rPr>
          <w:rFonts w:ascii="Times New Roman" w:hAnsi="Times New Roman" w:cs="Times New Roman"/>
        </w:rPr>
        <w:t xml:space="preserve">For the ATE, I use two estimators. Outcome regression estimates </w:t>
      </w:r>
      <w:proofErr w:type="gramStart"/>
      <w:r w:rsidRPr="00D75555">
        <w:rPr>
          <w:rStyle w:val="VerbatimChar"/>
          <w:rFonts w:ascii="Times New Roman" w:hAnsi="Times New Roman" w:cs="Times New Roman"/>
          <w:sz w:val="24"/>
        </w:rPr>
        <w:t>E[</w:t>
      </w:r>
      <w:proofErr w:type="gramEnd"/>
      <w:r w:rsidRPr="00D75555">
        <w:rPr>
          <w:rStyle w:val="VerbatimChar"/>
          <w:rFonts w:ascii="Times New Roman" w:hAnsi="Times New Roman" w:cs="Times New Roman"/>
          <w:sz w:val="24"/>
        </w:rPr>
        <w:t>Y | X, T]</w:t>
      </w:r>
      <w:r w:rsidRPr="00D75555">
        <w:rPr>
          <w:rFonts w:ascii="Times New Roman" w:hAnsi="Times New Roman" w:cs="Times New Roman"/>
        </w:rPr>
        <w:t xml:space="preserve"> and averages the predicted difference </w:t>
      </w:r>
      <w:r w:rsidRPr="00D75555">
        <w:rPr>
          <w:rStyle w:val="VerbatimChar"/>
          <w:rFonts w:ascii="Times New Roman" w:hAnsi="Times New Roman" w:cs="Times New Roman"/>
          <w:sz w:val="24"/>
        </w:rPr>
        <w:t>mu_1(X) - mu_0(X)</w:t>
      </w:r>
      <w:r w:rsidRPr="00D75555">
        <w:rPr>
          <w:rFonts w:ascii="Times New Roman" w:hAnsi="Times New Roman" w:cs="Times New Roman"/>
        </w:rPr>
        <w:t xml:space="preserve">. AIPW combines the outcome model with a propensity model: the AIPW score for unit </w:t>
      </w:r>
      <w:r w:rsidRPr="00D75555">
        <w:rPr>
          <w:rStyle w:val="VerbatimChar"/>
          <w:rFonts w:ascii="Times New Roman" w:hAnsi="Times New Roman" w:cs="Times New Roman"/>
          <w:sz w:val="24"/>
        </w:rPr>
        <w:t>i</w:t>
      </w:r>
      <w:r w:rsidRPr="00D75555">
        <w:rPr>
          <w:rFonts w:ascii="Times New Roman" w:hAnsi="Times New Roman" w:cs="Times New Roman"/>
        </w:rPr>
        <w:t xml:space="preserve"> is </w:t>
      </w:r>
      <w:r w:rsidRPr="00D75555">
        <w:rPr>
          <w:rStyle w:val="VerbatimChar"/>
          <w:rFonts w:ascii="Times New Roman" w:hAnsi="Times New Roman" w:cs="Times New Roman"/>
          <w:sz w:val="24"/>
        </w:rPr>
        <w:t xml:space="preserve">psi_i = mu_1(X_i) - mu_0(X_i) + T_i (Y_i - mu_1(X_i)) / </w:t>
      </w:r>
      <w:r w:rsidRPr="00D75555">
        <w:rPr>
          <w:rStyle w:val="VerbatimChar"/>
          <w:rFonts w:ascii="Times New Roman" w:hAnsi="Times New Roman" w:cs="Times New Roman"/>
          <w:sz w:val="24"/>
        </w:rPr>
        <w:lastRenderedPageBreak/>
        <w:t>e(X_i) - (1 - T_i)(Y_i - mu_0(X_i)) / (1 - e(X_i))</w:t>
      </w:r>
      <w:r w:rsidRPr="00D75555">
        <w:rPr>
          <w:rFonts w:ascii="Times New Roman" w:hAnsi="Times New Roman" w:cs="Times New Roman"/>
        </w:rPr>
        <w:t xml:space="preserve">, and the estimate is the mean of those scores with SE </w:t>
      </w:r>
      <w:r w:rsidRPr="00D75555">
        <w:rPr>
          <w:rStyle w:val="VerbatimChar"/>
          <w:rFonts w:ascii="Times New Roman" w:hAnsi="Times New Roman" w:cs="Times New Roman"/>
          <w:sz w:val="24"/>
        </w:rPr>
        <w:t>sd(psi) / sqrt(n)</w:t>
      </w:r>
      <w:r w:rsidRPr="00D75555">
        <w:rPr>
          <w:rFonts w:ascii="Times New Roman" w:hAnsi="Times New Roman" w:cs="Times New Roman"/>
        </w:rPr>
        <w:t xml:space="preserve">. AIPW is less dependent on either model being </w:t>
      </w:r>
      <w:r w:rsidR="00D75555" w:rsidRPr="00D75555">
        <w:rPr>
          <w:rFonts w:ascii="Times New Roman" w:hAnsi="Times New Roman" w:cs="Times New Roman"/>
        </w:rPr>
        <w:t>correct</w:t>
      </w:r>
      <w:r w:rsidRPr="00D75555">
        <w:rPr>
          <w:rFonts w:ascii="Times New Roman" w:hAnsi="Times New Roman" w:cs="Times New Roman"/>
        </w:rPr>
        <w:t>, which matters because rare binary outcomes can make any single model unstable.</w:t>
      </w:r>
    </w:p>
    <w:p w14:paraId="6ECFFFA8"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For CATE, I fit five estimators: S-learner, T-learner, DR-learner, R-learner, and causal forest. The S- and T-learners are useful baselines. The DR-learner regresses the AIPW pseudo-outcome (the same </w:t>
      </w:r>
      <w:r w:rsidRPr="00D75555">
        <w:rPr>
          <w:rStyle w:val="VerbatimChar"/>
          <w:rFonts w:ascii="Times New Roman" w:hAnsi="Times New Roman" w:cs="Times New Roman"/>
          <w:sz w:val="24"/>
        </w:rPr>
        <w:t>psi_i</w:t>
      </w:r>
      <w:r w:rsidRPr="00D75555">
        <w:rPr>
          <w:rFonts w:ascii="Times New Roman" w:hAnsi="Times New Roman" w:cs="Times New Roman"/>
        </w:rPr>
        <w:t xml:space="preserve"> above) on </w:t>
      </w:r>
      <w:r w:rsidRPr="00D75555">
        <w:rPr>
          <w:rStyle w:val="VerbatimChar"/>
          <w:rFonts w:ascii="Times New Roman" w:hAnsi="Times New Roman" w:cs="Times New Roman"/>
          <w:sz w:val="24"/>
        </w:rPr>
        <w:t>X</w:t>
      </w:r>
      <w:r w:rsidRPr="00D75555">
        <w:rPr>
          <w:rFonts w:ascii="Times New Roman" w:hAnsi="Times New Roman" w:cs="Times New Roman"/>
        </w:rPr>
        <w:t xml:space="preserve"> with a regularized GBM. The R-learner minimizes </w:t>
      </w:r>
      <w:r w:rsidRPr="00D75555">
        <w:rPr>
          <w:rStyle w:val="VerbatimChar"/>
          <w:rFonts w:ascii="Times New Roman" w:hAnsi="Times New Roman" w:cs="Times New Roman"/>
          <w:sz w:val="24"/>
        </w:rPr>
        <w:t>sum_i (y_tilde_i - t_tilde_i * tau(X_i))^2</w:t>
      </w:r>
      <w:r w:rsidRPr="00D75555">
        <w:rPr>
          <w:rFonts w:ascii="Times New Roman" w:hAnsi="Times New Roman" w:cs="Times New Roman"/>
        </w:rPr>
        <w:t xml:space="preserve"> where </w:t>
      </w:r>
      <w:r w:rsidRPr="00D75555">
        <w:rPr>
          <w:rStyle w:val="VerbatimChar"/>
          <w:rFonts w:ascii="Times New Roman" w:hAnsi="Times New Roman" w:cs="Times New Roman"/>
          <w:sz w:val="24"/>
        </w:rPr>
        <w:t>y_tilde = Y - m_hat(X)</w:t>
      </w:r>
      <w:r w:rsidRPr="00D75555">
        <w:rPr>
          <w:rFonts w:ascii="Times New Roman" w:hAnsi="Times New Roman" w:cs="Times New Roman"/>
        </w:rPr>
        <w:t xml:space="preserve"> and </w:t>
      </w:r>
      <w:r w:rsidRPr="00D75555">
        <w:rPr>
          <w:rStyle w:val="VerbatimChar"/>
          <w:rFonts w:ascii="Times New Roman" w:hAnsi="Times New Roman" w:cs="Times New Roman"/>
          <w:sz w:val="24"/>
        </w:rPr>
        <w:t>t_tilde = T - e_hat(X)</w:t>
      </w:r>
      <w:r w:rsidRPr="00D75555">
        <w:rPr>
          <w:rFonts w:ascii="Times New Roman" w:hAnsi="Times New Roman" w:cs="Times New Roman"/>
        </w:rPr>
        <w:t xml:space="preserve">, which becomes a weighted regression of </w:t>
      </w:r>
      <w:r w:rsidRPr="00D75555">
        <w:rPr>
          <w:rStyle w:val="VerbatimChar"/>
          <w:rFonts w:ascii="Times New Roman" w:hAnsi="Times New Roman" w:cs="Times New Roman"/>
          <w:sz w:val="24"/>
        </w:rPr>
        <w:t>y_tilde / t_tilde</w:t>
      </w:r>
      <w:r w:rsidRPr="00D75555">
        <w:rPr>
          <w:rFonts w:ascii="Times New Roman" w:hAnsi="Times New Roman" w:cs="Times New Roman"/>
        </w:rPr>
        <w:t xml:space="preserve"> on </w:t>
      </w:r>
      <w:r w:rsidRPr="00D75555">
        <w:rPr>
          <w:rStyle w:val="VerbatimChar"/>
          <w:rFonts w:ascii="Times New Roman" w:hAnsi="Times New Roman" w:cs="Times New Roman"/>
          <w:sz w:val="24"/>
        </w:rPr>
        <w:t>X</w:t>
      </w:r>
      <w:r w:rsidRPr="00D75555">
        <w:rPr>
          <w:rFonts w:ascii="Times New Roman" w:hAnsi="Times New Roman" w:cs="Times New Roman"/>
        </w:rPr>
        <w:t xml:space="preserve"> with weights </w:t>
      </w:r>
      <w:r w:rsidRPr="00D75555">
        <w:rPr>
          <w:rStyle w:val="VerbatimChar"/>
          <w:rFonts w:ascii="Times New Roman" w:hAnsi="Times New Roman" w:cs="Times New Roman"/>
          <w:sz w:val="24"/>
        </w:rPr>
        <w:t>t_tilde^2</w:t>
      </w:r>
      <w:r w:rsidRPr="00D75555">
        <w:rPr>
          <w:rFonts w:ascii="Times New Roman" w:hAnsi="Times New Roman" w:cs="Times New Roman"/>
        </w:rPr>
        <w:t>. Both should reduce sensitivity to first-stage nuisance errors. The causal forest is designed to find treatment-effect heterogeneity directly and provides pointwise confidence intervals.</w:t>
      </w:r>
    </w:p>
    <w:p w14:paraId="3C8FC4EB"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All AIPW, DR, and R estimates use five-fold cross-fitted nuisance functions. The propensity model is L2-regularized logistic regression, the outcome model is gradient-boosted trees, and propensity scores are clipped to </w:t>
      </w:r>
      <w:r w:rsidRPr="00D75555">
        <w:rPr>
          <w:rStyle w:val="VerbatimChar"/>
          <w:rFonts w:ascii="Times New Roman" w:hAnsi="Times New Roman" w:cs="Times New Roman"/>
          <w:sz w:val="24"/>
        </w:rPr>
        <w:t>[0.01, 0.99]</w:t>
      </w:r>
      <w:r w:rsidRPr="00D75555">
        <w:rPr>
          <w:rFonts w:ascii="Times New Roman" w:hAnsi="Times New Roman" w:cs="Times New Roman"/>
        </w:rPr>
        <w:t>.</w:t>
      </w:r>
    </w:p>
    <w:p w14:paraId="728252FF" w14:textId="77777777" w:rsidR="009F1451" w:rsidRPr="00D75555" w:rsidRDefault="00000000">
      <w:pPr>
        <w:pStyle w:val="Heading2"/>
        <w:rPr>
          <w:rFonts w:ascii="Times New Roman" w:hAnsi="Times New Roman" w:cs="Times New Roman"/>
          <w:color w:val="auto"/>
          <w:sz w:val="24"/>
          <w:szCs w:val="24"/>
        </w:rPr>
      </w:pPr>
      <w:bookmarkStart w:id="4" w:name="Xaa8a497534208a706f4d22f16cd06fc1e3bd8b7"/>
      <w:bookmarkEnd w:id="3"/>
      <w:r w:rsidRPr="00D75555">
        <w:rPr>
          <w:rFonts w:ascii="Times New Roman" w:hAnsi="Times New Roman" w:cs="Times New Roman"/>
          <w:color w:val="auto"/>
          <w:sz w:val="24"/>
          <w:szCs w:val="24"/>
        </w:rPr>
        <w:t>4. Results and Comparative Analysis</w:t>
      </w:r>
    </w:p>
    <w:p w14:paraId="638E675C" w14:textId="77777777" w:rsidR="00D75555" w:rsidRDefault="00000000" w:rsidP="00D75555">
      <w:pPr>
        <w:pStyle w:val="FirstParagraph"/>
        <w:rPr>
          <w:rFonts w:ascii="Times New Roman" w:hAnsi="Times New Roman" w:cs="Times New Roman"/>
        </w:rPr>
      </w:pPr>
      <w:r w:rsidRPr="00D75555">
        <w:rPr>
          <w:rFonts w:ascii="Times New Roman" w:hAnsi="Times New Roman" w:cs="Times New Roman"/>
        </w:rPr>
        <w:t>Table 1 shows the ATE estimates. Both methods recover a protective effect of about 2.5 percentage points. The agreement between outcome regression and AIPW is important because the two methods rely on different modeling structures. It suggests the main ATE conclusion is not driven by one estimator alon</w:t>
      </w:r>
      <w:r w:rsidR="00D75555">
        <w:rPr>
          <w:rFonts w:ascii="Times New Roman" w:hAnsi="Times New Roman" w:cs="Times New Roman"/>
        </w:rPr>
        <w:t xml:space="preserve">e. </w:t>
      </w:r>
    </w:p>
    <w:p w14:paraId="2992697D" w14:textId="0A3D0FA8" w:rsidR="00D75555" w:rsidRPr="00D75555" w:rsidRDefault="00D75555" w:rsidP="00D75555">
      <w:pPr>
        <w:pStyle w:val="FirstParagraph"/>
        <w:rPr>
          <w:rFonts w:ascii="Times New Roman" w:hAnsi="Times New Roman" w:cs="Times New Roman"/>
        </w:rPr>
      </w:pPr>
      <w:r>
        <w:rPr>
          <w:rFonts w:ascii="Times New Roman" w:hAnsi="Times New Roman" w:cs="Times New Roman"/>
        </w:rPr>
        <w:t>Table 1: ATE Estimates</w:t>
      </w:r>
    </w:p>
    <w:tbl>
      <w:tblPr>
        <w:tblStyle w:val="Table"/>
        <w:tblW w:w="0" w:type="pct"/>
        <w:tblLook w:val="0020" w:firstRow="1" w:lastRow="0" w:firstColumn="0" w:lastColumn="0" w:noHBand="0" w:noVBand="0"/>
      </w:tblPr>
      <w:tblGrid>
        <w:gridCol w:w="2462"/>
        <w:gridCol w:w="1016"/>
        <w:gridCol w:w="996"/>
        <w:gridCol w:w="1976"/>
      </w:tblGrid>
      <w:tr w:rsidR="009F1451" w:rsidRPr="00D75555" w14:paraId="26BFC6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1BDE27"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method</w:t>
            </w:r>
          </w:p>
        </w:tc>
        <w:tc>
          <w:tcPr>
            <w:tcW w:w="0" w:type="auto"/>
          </w:tcPr>
          <w:p w14:paraId="4B266AF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estimate</w:t>
            </w:r>
          </w:p>
        </w:tc>
        <w:tc>
          <w:tcPr>
            <w:tcW w:w="0" w:type="auto"/>
          </w:tcPr>
          <w:p w14:paraId="1BE255AE"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SE</w:t>
            </w:r>
          </w:p>
        </w:tc>
        <w:tc>
          <w:tcPr>
            <w:tcW w:w="0" w:type="auto"/>
          </w:tcPr>
          <w:p w14:paraId="54FDC6C8"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95% CI</w:t>
            </w:r>
          </w:p>
        </w:tc>
      </w:tr>
      <w:tr w:rsidR="009F1451" w:rsidRPr="00D75555" w14:paraId="75EAE888" w14:textId="77777777">
        <w:tc>
          <w:tcPr>
            <w:tcW w:w="0" w:type="auto"/>
          </w:tcPr>
          <w:p w14:paraId="263FCEB0"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Outcome regression</w:t>
            </w:r>
          </w:p>
        </w:tc>
        <w:tc>
          <w:tcPr>
            <w:tcW w:w="0" w:type="auto"/>
          </w:tcPr>
          <w:p w14:paraId="78E9062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-0.0242</w:t>
            </w:r>
          </w:p>
        </w:tc>
        <w:tc>
          <w:tcPr>
            <w:tcW w:w="0" w:type="auto"/>
          </w:tcPr>
          <w:p w14:paraId="1E9F278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0.00057</w:t>
            </w:r>
          </w:p>
        </w:tc>
        <w:tc>
          <w:tcPr>
            <w:tcW w:w="0" w:type="auto"/>
          </w:tcPr>
          <w:p w14:paraId="5ABBE91D"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(-0.0253, -0.0230)</w:t>
            </w:r>
          </w:p>
        </w:tc>
      </w:tr>
      <w:tr w:rsidR="009F1451" w:rsidRPr="00D75555" w14:paraId="07F619AA" w14:textId="77777777">
        <w:tc>
          <w:tcPr>
            <w:tcW w:w="0" w:type="auto"/>
          </w:tcPr>
          <w:p w14:paraId="4FE791EE"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AIPW</w:t>
            </w:r>
          </w:p>
        </w:tc>
        <w:tc>
          <w:tcPr>
            <w:tcW w:w="0" w:type="auto"/>
          </w:tcPr>
          <w:p w14:paraId="01D6404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-0.0248</w:t>
            </w:r>
          </w:p>
        </w:tc>
        <w:tc>
          <w:tcPr>
            <w:tcW w:w="0" w:type="auto"/>
          </w:tcPr>
          <w:p w14:paraId="136D0EC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0.00647</w:t>
            </w:r>
          </w:p>
        </w:tc>
        <w:tc>
          <w:tcPr>
            <w:tcW w:w="0" w:type="auto"/>
          </w:tcPr>
          <w:p w14:paraId="59DCD577"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(-0.0375, -0.0122)</w:t>
            </w:r>
          </w:p>
        </w:tc>
      </w:tr>
      <w:tr w:rsidR="009F1451" w:rsidRPr="00D75555" w14:paraId="215381C5" w14:textId="77777777">
        <w:tc>
          <w:tcPr>
            <w:tcW w:w="0" w:type="auto"/>
          </w:tcPr>
          <w:p w14:paraId="074343A9"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Within-pair benchmark</w:t>
            </w:r>
          </w:p>
        </w:tc>
        <w:tc>
          <w:tcPr>
            <w:tcW w:w="0" w:type="auto"/>
          </w:tcPr>
          <w:p w14:paraId="3A87670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-0.0252</w:t>
            </w:r>
          </w:p>
        </w:tc>
        <w:tc>
          <w:tcPr>
            <w:tcW w:w="0" w:type="auto"/>
          </w:tcPr>
          <w:p w14:paraId="7787B5E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0.00292</w:t>
            </w:r>
          </w:p>
        </w:tc>
        <w:tc>
          <w:tcPr>
            <w:tcW w:w="0" w:type="auto"/>
          </w:tcPr>
          <w:p w14:paraId="2C5A5AA0"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w:t>
            </w:r>
          </w:p>
        </w:tc>
      </w:tr>
    </w:tbl>
    <w:p w14:paraId="1BA62DA6"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outcome-regression SE is based on a fixed-nuisance bootstrap, so I treat the AIPW influence-function SE as the main uncertainty estimate. The AIPW interval covers the within-pair benchmark.</w:t>
      </w:r>
    </w:p>
    <w:p w14:paraId="756CC96E" w14:textId="77777777" w:rsidR="00D75555" w:rsidRDefault="00000000">
      <w:pPr>
        <w:pStyle w:val="BodyText"/>
        <w:rPr>
          <w:rFonts w:ascii="Times New Roman" w:hAnsi="Times New Roman" w:cs="Times New Roman"/>
        </w:rPr>
      </w:pPr>
      <w:r w:rsidRPr="00D75555">
        <w:rPr>
          <w:rFonts w:ascii="Times New Roman" w:hAnsi="Times New Roman" w:cs="Times New Roman"/>
        </w:rPr>
        <w:t xml:space="preserve">The CATE estimators agree on the average effect but disagree on how much heterogeneity exists. </w:t>
      </w:r>
      <w:r w:rsidR="00D75555">
        <w:rPr>
          <w:rFonts w:ascii="Times New Roman" w:hAnsi="Times New Roman" w:cs="Times New Roman"/>
        </w:rPr>
        <w:t>That means a</w:t>
      </w:r>
      <w:r w:rsidRPr="00D75555">
        <w:rPr>
          <w:rFonts w:ascii="Times New Roman" w:hAnsi="Times New Roman" w:cs="Times New Roman"/>
        </w:rPr>
        <w:t xml:space="preserve"> model can get the ATE right while still ranking individuals or subgroups poorly.</w:t>
      </w:r>
      <w:r w:rsidR="00D75555">
        <w:rPr>
          <w:rFonts w:ascii="Times New Roman" w:hAnsi="Times New Roman" w:cs="Times New Roman"/>
        </w:rPr>
        <w:t xml:space="preserve"> </w:t>
      </w:r>
    </w:p>
    <w:p w14:paraId="5131ECEE" w14:textId="7C9B85E6" w:rsidR="009F1451" w:rsidRPr="00D75555" w:rsidRDefault="00D75555">
      <w:pPr>
        <w:pStyle w:val="BodyText"/>
        <w:rPr>
          <w:rFonts w:ascii="Times New Roman" w:hAnsi="Times New Roman" w:cs="Times New Roman"/>
        </w:rPr>
      </w:pPr>
      <w:r>
        <w:rPr>
          <w:rFonts w:ascii="Times New Roman" w:hAnsi="Times New Roman" w:cs="Times New Roman"/>
        </w:rPr>
        <w:t>Table 2: CATE Estimators</w:t>
      </w:r>
    </w:p>
    <w:tbl>
      <w:tblPr>
        <w:tblStyle w:val="Table"/>
        <w:tblW w:w="0" w:type="pct"/>
        <w:tblLook w:val="0020" w:firstRow="1" w:lastRow="0" w:firstColumn="0" w:lastColumn="0" w:noHBand="0" w:noVBand="0"/>
      </w:tblPr>
      <w:tblGrid>
        <w:gridCol w:w="1476"/>
        <w:gridCol w:w="1423"/>
        <w:gridCol w:w="1116"/>
      </w:tblGrid>
      <w:tr w:rsidR="009F1451" w:rsidRPr="00D75555" w14:paraId="4A9CC4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5B461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method</w:t>
            </w:r>
          </w:p>
        </w:tc>
        <w:tc>
          <w:tcPr>
            <w:tcW w:w="0" w:type="auto"/>
          </w:tcPr>
          <w:p w14:paraId="5F9BF1A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mean CATE</w:t>
            </w:r>
          </w:p>
        </w:tc>
        <w:tc>
          <w:tcPr>
            <w:tcW w:w="0" w:type="auto"/>
          </w:tcPr>
          <w:p w14:paraId="7C93BBE9"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sd CATE</w:t>
            </w:r>
          </w:p>
        </w:tc>
      </w:tr>
      <w:tr w:rsidR="009F1451" w:rsidRPr="00D75555" w14:paraId="5BC78A01" w14:textId="77777777">
        <w:tc>
          <w:tcPr>
            <w:tcW w:w="0" w:type="auto"/>
          </w:tcPr>
          <w:p w14:paraId="7B33900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S-learner</w:t>
            </w:r>
          </w:p>
        </w:tc>
        <w:tc>
          <w:tcPr>
            <w:tcW w:w="0" w:type="auto"/>
          </w:tcPr>
          <w:p w14:paraId="042A07F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-0.0179</w:t>
            </w:r>
          </w:p>
        </w:tc>
        <w:tc>
          <w:tcPr>
            <w:tcW w:w="0" w:type="auto"/>
          </w:tcPr>
          <w:p w14:paraId="5B80158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0.0115</w:t>
            </w:r>
          </w:p>
        </w:tc>
      </w:tr>
      <w:tr w:rsidR="009F1451" w:rsidRPr="00D75555" w14:paraId="2AAA67D6" w14:textId="77777777">
        <w:tc>
          <w:tcPr>
            <w:tcW w:w="0" w:type="auto"/>
          </w:tcPr>
          <w:p w14:paraId="110622A8"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T-learner</w:t>
            </w:r>
          </w:p>
        </w:tc>
        <w:tc>
          <w:tcPr>
            <w:tcW w:w="0" w:type="auto"/>
          </w:tcPr>
          <w:p w14:paraId="336C35C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-0.0250</w:t>
            </w:r>
          </w:p>
        </w:tc>
        <w:tc>
          <w:tcPr>
            <w:tcW w:w="0" w:type="auto"/>
          </w:tcPr>
          <w:p w14:paraId="5958470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0.0622</w:t>
            </w:r>
          </w:p>
        </w:tc>
      </w:tr>
      <w:tr w:rsidR="009F1451" w:rsidRPr="00D75555" w14:paraId="545D1536" w14:textId="77777777">
        <w:tc>
          <w:tcPr>
            <w:tcW w:w="0" w:type="auto"/>
          </w:tcPr>
          <w:p w14:paraId="665E335D"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DR-learner</w:t>
            </w:r>
          </w:p>
        </w:tc>
        <w:tc>
          <w:tcPr>
            <w:tcW w:w="0" w:type="auto"/>
          </w:tcPr>
          <w:p w14:paraId="46E5609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-0.0250</w:t>
            </w:r>
          </w:p>
        </w:tc>
        <w:tc>
          <w:tcPr>
            <w:tcW w:w="0" w:type="auto"/>
          </w:tcPr>
          <w:p w14:paraId="68B7204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0.1683</w:t>
            </w:r>
          </w:p>
        </w:tc>
      </w:tr>
      <w:tr w:rsidR="009F1451" w:rsidRPr="00D75555" w14:paraId="351DC8C5" w14:textId="77777777">
        <w:tc>
          <w:tcPr>
            <w:tcW w:w="0" w:type="auto"/>
          </w:tcPr>
          <w:p w14:paraId="120389EB"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R-learner</w:t>
            </w:r>
          </w:p>
        </w:tc>
        <w:tc>
          <w:tcPr>
            <w:tcW w:w="0" w:type="auto"/>
          </w:tcPr>
          <w:p w14:paraId="2CCEB2E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-0.0245</w:t>
            </w:r>
          </w:p>
        </w:tc>
        <w:tc>
          <w:tcPr>
            <w:tcW w:w="0" w:type="auto"/>
          </w:tcPr>
          <w:p w14:paraId="10B2C43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0.0586</w:t>
            </w:r>
          </w:p>
        </w:tc>
      </w:tr>
      <w:tr w:rsidR="009F1451" w:rsidRPr="00D75555" w14:paraId="78F24AC4" w14:textId="77777777">
        <w:tc>
          <w:tcPr>
            <w:tcW w:w="0" w:type="auto"/>
          </w:tcPr>
          <w:p w14:paraId="52AC0B27"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Causal forest</w:t>
            </w:r>
          </w:p>
        </w:tc>
        <w:tc>
          <w:tcPr>
            <w:tcW w:w="0" w:type="auto"/>
          </w:tcPr>
          <w:p w14:paraId="2D34ABFD"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-0.0242</w:t>
            </w:r>
          </w:p>
        </w:tc>
        <w:tc>
          <w:tcPr>
            <w:tcW w:w="0" w:type="auto"/>
          </w:tcPr>
          <w:p w14:paraId="58B6D41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0.0215</w:t>
            </w:r>
          </w:p>
        </w:tc>
      </w:tr>
      <w:tr w:rsidR="009F1451" w:rsidRPr="00D75555" w14:paraId="2BAC27FD" w14:textId="77777777">
        <w:tc>
          <w:tcPr>
            <w:tcW w:w="0" w:type="auto"/>
          </w:tcPr>
          <w:p w14:paraId="022B430F"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True ITE</w:t>
            </w:r>
          </w:p>
        </w:tc>
        <w:tc>
          <w:tcPr>
            <w:tcW w:w="0" w:type="auto"/>
          </w:tcPr>
          <w:p w14:paraId="50B841A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-0.0252</w:t>
            </w:r>
          </w:p>
        </w:tc>
        <w:tc>
          <w:tcPr>
            <w:tcW w:w="0" w:type="auto"/>
          </w:tcPr>
          <w:p w14:paraId="47BCA8F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0.3199</w:t>
            </w:r>
          </w:p>
        </w:tc>
      </w:tr>
    </w:tbl>
    <w:p w14:paraId="0686D73A" w14:textId="659F8F08" w:rsidR="009F1451" w:rsidRPr="00D75555" w:rsidRDefault="00000000">
      <w:pPr>
        <w:pStyle w:val="BodyText"/>
        <w:rPr>
          <w:rFonts w:ascii="Times New Roman" w:hAnsi="Times New Roman" w:cs="Times New Roman"/>
        </w:rPr>
      </w:pPr>
      <w:r w:rsidRPr="00D75555">
        <w:rPr>
          <w:rFonts w:ascii="Times New Roman" w:hAnsi="Times New Roman" w:cs="Times New Roman"/>
        </w:rPr>
        <w:lastRenderedPageBreak/>
        <w:t xml:space="preserve">To compare the spreads against something meaningful, I built a non-parametric lower bound on the true </w:t>
      </w:r>
      <w:r w:rsidRPr="00D75555">
        <w:rPr>
          <w:rStyle w:val="VerbatimChar"/>
          <w:rFonts w:ascii="Times New Roman" w:hAnsi="Times New Roman" w:cs="Times New Roman"/>
          <w:sz w:val="24"/>
        </w:rPr>
        <w:t>sd[tau(X)]</w:t>
      </w:r>
      <w:r w:rsidRPr="00D75555">
        <w:rPr>
          <w:rFonts w:ascii="Times New Roman" w:hAnsi="Times New Roman" w:cs="Times New Roman"/>
        </w:rPr>
        <w:t xml:space="preserve"> by binning units into 50 bins ranked by causal forest prediction and taking the between-bin variance of the true ITE. That gives </w:t>
      </w:r>
      <w:r w:rsidRPr="00D75555">
        <w:rPr>
          <w:rStyle w:val="VerbatimChar"/>
          <w:rFonts w:ascii="Times New Roman" w:hAnsi="Times New Roman" w:cs="Times New Roman"/>
          <w:sz w:val="24"/>
        </w:rPr>
        <w:t>sd[tau(X)] &gt;= 0.079</w:t>
      </w:r>
      <w:r w:rsidRPr="00D75555">
        <w:rPr>
          <w:rFonts w:ascii="Times New Roman" w:hAnsi="Times New Roman" w:cs="Times New Roman"/>
        </w:rPr>
        <w:t>. Against this benchmark, the S-learner (0.012) and causal forest (0.022) clearly under-disperse, T (0.062) and R (0.059) are closest to the bound, and DR (0.168) over-disperses badly</w:t>
      </w:r>
      <w:r w:rsidR="0016647A">
        <w:rPr>
          <w:rFonts w:ascii="Times New Roman" w:hAnsi="Times New Roman" w:cs="Times New Roman"/>
        </w:rPr>
        <w:t xml:space="preserve">, as </w:t>
      </w:r>
      <w:proofErr w:type="spellStart"/>
      <w:r w:rsidRPr="00D75555">
        <w:rPr>
          <w:rFonts w:ascii="Times New Roman" w:hAnsi="Times New Roman" w:cs="Times New Roman"/>
        </w:rPr>
        <w:t>its</w:t>
      </w:r>
      <w:proofErr w:type="spellEnd"/>
      <w:r w:rsidRPr="00D75555">
        <w:rPr>
          <w:rFonts w:ascii="Times New Roman" w:hAnsi="Times New Roman" w:cs="Times New Roman"/>
        </w:rPr>
        <w:t xml:space="preserve"> spread is mostly noise. The true ITE sd of 0.32 is mechanically larger than any estimator's because each ITE lives in {-1, 0, +1}, so the right comparison is to the lower bound, not to the raw ITE sd.</w:t>
      </w:r>
    </w:p>
    <w:p w14:paraId="7DFB7607"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causal forest has the best rank correlation with the true within-pair effects, but its CATE distribution is still much smoother than the raw ITE distribution. That is expected because individual binary outcomes contain a lot of noise. The right question is not whether the model reproduces every pair's observed difference, but whether it ranks and summarizes heterogeneity better than chance.</w:t>
      </w:r>
    </w:p>
    <w:p w14:paraId="32EBDFF5" w14:textId="77777777" w:rsidR="009F1451" w:rsidRPr="00D75555" w:rsidRDefault="00000000">
      <w:pPr>
        <w:pStyle w:val="Heading2"/>
        <w:rPr>
          <w:rFonts w:ascii="Times New Roman" w:hAnsi="Times New Roman" w:cs="Times New Roman"/>
          <w:color w:val="auto"/>
          <w:sz w:val="24"/>
          <w:szCs w:val="24"/>
        </w:rPr>
      </w:pPr>
      <w:bookmarkStart w:id="5" w:name="X57424d8347da7d124c42b0f2f3ed48fe4395121"/>
      <w:bookmarkEnd w:id="4"/>
      <w:r w:rsidRPr="00D75555">
        <w:rPr>
          <w:rFonts w:ascii="Times New Roman" w:hAnsi="Times New Roman" w:cs="Times New Roman"/>
          <w:color w:val="auto"/>
          <w:sz w:val="24"/>
          <w:szCs w:val="24"/>
        </w:rPr>
        <w:t>5. Evaluation</w:t>
      </w:r>
    </w:p>
    <w:p w14:paraId="1DFB85C2" w14:textId="77777777" w:rsidR="009F1451" w:rsidRPr="00D75555" w:rsidRDefault="00000000">
      <w:pPr>
        <w:pStyle w:val="Heading3"/>
        <w:rPr>
          <w:rFonts w:ascii="Times New Roman" w:hAnsi="Times New Roman" w:cs="Times New Roman"/>
          <w:color w:val="auto"/>
        </w:rPr>
      </w:pPr>
      <w:bookmarkStart w:id="6" w:name="Xe06f1a596931286726040f560e3a9473d55e27c"/>
      <w:r w:rsidRPr="00D75555">
        <w:rPr>
          <w:rFonts w:ascii="Times New Roman" w:hAnsi="Times New Roman" w:cs="Times New Roman"/>
          <w:color w:val="auto"/>
        </w:rPr>
        <w:t>5.1 ATE Refutations</w:t>
      </w:r>
    </w:p>
    <w:p w14:paraId="6CF83A5D" w14:textId="77777777" w:rsidR="00D75555" w:rsidRDefault="00000000">
      <w:pPr>
        <w:pStyle w:val="FirstParagraph"/>
        <w:rPr>
          <w:rFonts w:ascii="Times New Roman" w:hAnsi="Times New Roman" w:cs="Times New Roman"/>
        </w:rPr>
      </w:pPr>
      <w:r w:rsidRPr="00D75555">
        <w:rPr>
          <w:rFonts w:ascii="Times New Roman" w:hAnsi="Times New Roman" w:cs="Times New Roman"/>
        </w:rPr>
        <w:t>I run three DoWhy-style refutation tests on the AIPW estimate.</w:t>
      </w:r>
      <w:r w:rsidR="00D75555">
        <w:rPr>
          <w:rFonts w:ascii="Times New Roman" w:hAnsi="Times New Roman" w:cs="Times New Roman"/>
        </w:rPr>
        <w:t xml:space="preserve"> </w:t>
      </w:r>
    </w:p>
    <w:p w14:paraId="55472F74" w14:textId="0DDE6CAE" w:rsidR="009F1451" w:rsidRPr="00D75555" w:rsidRDefault="00D75555">
      <w:pPr>
        <w:pStyle w:val="FirstParagraph"/>
        <w:rPr>
          <w:rFonts w:ascii="Times New Roman" w:hAnsi="Times New Roman" w:cs="Times New Roman"/>
        </w:rPr>
      </w:pPr>
      <w:r>
        <w:rPr>
          <w:rFonts w:ascii="Times New Roman" w:hAnsi="Times New Roman" w:cs="Times New Roman"/>
        </w:rPr>
        <w:t>Table 3: ATE Refutation Tests</w:t>
      </w:r>
    </w:p>
    <w:tbl>
      <w:tblPr>
        <w:tblStyle w:val="Table"/>
        <w:tblW w:w="0" w:type="pct"/>
        <w:tblLook w:val="0020" w:firstRow="1" w:lastRow="0" w:firstColumn="0" w:lastColumn="0" w:noHBand="0" w:noVBand="0"/>
      </w:tblPr>
      <w:tblGrid>
        <w:gridCol w:w="2523"/>
        <w:gridCol w:w="1490"/>
        <w:gridCol w:w="1423"/>
        <w:gridCol w:w="1012"/>
      </w:tblGrid>
      <w:tr w:rsidR="009F1451" w:rsidRPr="00D75555" w14:paraId="0D7EDB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F45606"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test</w:t>
            </w:r>
          </w:p>
        </w:tc>
        <w:tc>
          <w:tcPr>
            <w:tcW w:w="0" w:type="auto"/>
          </w:tcPr>
          <w:p w14:paraId="0694F8B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original ATE</w:t>
            </w:r>
          </w:p>
        </w:tc>
        <w:tc>
          <w:tcPr>
            <w:tcW w:w="0" w:type="auto"/>
          </w:tcPr>
          <w:p w14:paraId="1C15C0A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refuted ATE</w:t>
            </w:r>
          </w:p>
        </w:tc>
        <w:tc>
          <w:tcPr>
            <w:tcW w:w="0" w:type="auto"/>
          </w:tcPr>
          <w:p w14:paraId="098D519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change</w:t>
            </w:r>
          </w:p>
        </w:tc>
      </w:tr>
      <w:tr w:rsidR="009F1451" w:rsidRPr="00D75555" w14:paraId="710C01EC" w14:textId="77777777">
        <w:tc>
          <w:tcPr>
            <w:tcW w:w="0" w:type="auto"/>
          </w:tcPr>
          <w:p w14:paraId="56AFF895"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Placebo treatment</w:t>
            </w:r>
          </w:p>
        </w:tc>
        <w:tc>
          <w:tcPr>
            <w:tcW w:w="0" w:type="auto"/>
          </w:tcPr>
          <w:p w14:paraId="37E03D4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-0.0248</w:t>
            </w:r>
          </w:p>
        </w:tc>
        <w:tc>
          <w:tcPr>
            <w:tcW w:w="0" w:type="auto"/>
          </w:tcPr>
          <w:p w14:paraId="309B9BC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-0.0003</w:t>
            </w:r>
          </w:p>
        </w:tc>
        <w:tc>
          <w:tcPr>
            <w:tcW w:w="0" w:type="auto"/>
          </w:tcPr>
          <w:p w14:paraId="5CB3994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+0.0245</w:t>
            </w:r>
          </w:p>
        </w:tc>
      </w:tr>
      <w:tr w:rsidR="009F1451" w:rsidRPr="00D75555" w14:paraId="0FD29EF1" w14:textId="77777777">
        <w:tc>
          <w:tcPr>
            <w:tcW w:w="0" w:type="auto"/>
          </w:tcPr>
          <w:p w14:paraId="74B29F5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Random common cause</w:t>
            </w:r>
          </w:p>
        </w:tc>
        <w:tc>
          <w:tcPr>
            <w:tcW w:w="0" w:type="auto"/>
          </w:tcPr>
          <w:p w14:paraId="03988A8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-0.0248</w:t>
            </w:r>
          </w:p>
        </w:tc>
        <w:tc>
          <w:tcPr>
            <w:tcW w:w="0" w:type="auto"/>
          </w:tcPr>
          <w:p w14:paraId="0E072B7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-0.0252</w:t>
            </w:r>
          </w:p>
        </w:tc>
        <w:tc>
          <w:tcPr>
            <w:tcW w:w="0" w:type="auto"/>
          </w:tcPr>
          <w:p w14:paraId="441C616E"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-0.0003</w:t>
            </w:r>
          </w:p>
        </w:tc>
      </w:tr>
      <w:tr w:rsidR="009F1451" w:rsidRPr="00D75555" w14:paraId="4C28BFA2" w14:textId="77777777">
        <w:tc>
          <w:tcPr>
            <w:tcW w:w="0" w:type="auto"/>
          </w:tcPr>
          <w:p w14:paraId="1E283F32"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80% subset refuter</w:t>
            </w:r>
          </w:p>
        </w:tc>
        <w:tc>
          <w:tcPr>
            <w:tcW w:w="0" w:type="auto"/>
          </w:tcPr>
          <w:p w14:paraId="090D2B1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-0.0248</w:t>
            </w:r>
          </w:p>
        </w:tc>
        <w:tc>
          <w:tcPr>
            <w:tcW w:w="0" w:type="auto"/>
          </w:tcPr>
          <w:p w14:paraId="593C027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-0.0235</w:t>
            </w:r>
          </w:p>
        </w:tc>
        <w:tc>
          <w:tcPr>
            <w:tcW w:w="0" w:type="auto"/>
          </w:tcPr>
          <w:p w14:paraId="6E36ECD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+0.0013</w:t>
            </w:r>
          </w:p>
        </w:tc>
      </w:tr>
    </w:tbl>
    <w:p w14:paraId="524C8749"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These checks support the ATE result. The placebo </w:t>
      </w:r>
      <w:proofErr w:type="gramStart"/>
      <w:r w:rsidRPr="00D75555">
        <w:rPr>
          <w:rFonts w:ascii="Times New Roman" w:hAnsi="Times New Roman" w:cs="Times New Roman"/>
        </w:rPr>
        <w:t>estimate</w:t>
      </w:r>
      <w:proofErr w:type="gramEnd"/>
      <w:r w:rsidRPr="00D75555">
        <w:rPr>
          <w:rFonts w:ascii="Times New Roman" w:hAnsi="Times New Roman" w:cs="Times New Roman"/>
        </w:rPr>
        <w:t xml:space="preserve"> collapses to about zero, which is what should happen if the treatment label is destroyed. Adding a random covariate barely changes the estimate, which suggests the procedure is not overly sensitive to irrelevant controls. Re-estimating on 80% subsamples produces nearly the same result, so the ATE is not being driven by a small set of observations.</w:t>
      </w:r>
    </w:p>
    <w:p w14:paraId="5CEEE8C3" w14:textId="77777777" w:rsidR="009F1451" w:rsidRPr="00D75555" w:rsidRDefault="00000000">
      <w:pPr>
        <w:pStyle w:val="Heading3"/>
        <w:rPr>
          <w:rFonts w:ascii="Times New Roman" w:hAnsi="Times New Roman" w:cs="Times New Roman"/>
          <w:color w:val="auto"/>
        </w:rPr>
      </w:pPr>
      <w:bookmarkStart w:id="7" w:name="Xda1aca8594e9bef49d4fae6a2173f32fe6335f6"/>
      <w:bookmarkEnd w:id="6"/>
      <w:r w:rsidRPr="00D75555">
        <w:rPr>
          <w:rFonts w:ascii="Times New Roman" w:hAnsi="Times New Roman" w:cs="Times New Roman"/>
          <w:color w:val="auto"/>
        </w:rPr>
        <w:t>5.2 CATE Ground-Truth Evaluation</w:t>
      </w:r>
    </w:p>
    <w:p w14:paraId="15C27AD1" w14:textId="77777777" w:rsidR="00D75555" w:rsidRDefault="00000000">
      <w:pPr>
        <w:pStyle w:val="FirstParagraph"/>
        <w:rPr>
          <w:rFonts w:ascii="Times New Roman" w:hAnsi="Times New Roman" w:cs="Times New Roman"/>
        </w:rPr>
      </w:pPr>
      <w:r w:rsidRPr="00D75555">
        <w:rPr>
          <w:rFonts w:ascii="Times New Roman" w:hAnsi="Times New Roman" w:cs="Times New Roman"/>
        </w:rPr>
        <w:t xml:space="preserve">The Twins benchmark lets me compare predicted CATEs against the within-pair ITE, </w:t>
      </w:r>
      <w:r w:rsidRPr="00D75555">
        <w:rPr>
          <w:rStyle w:val="VerbatimChar"/>
          <w:rFonts w:ascii="Times New Roman" w:hAnsi="Times New Roman" w:cs="Times New Roman"/>
          <w:sz w:val="24"/>
        </w:rPr>
        <w:t>Y_heavy - Y_light</w:t>
      </w:r>
      <w:r w:rsidRPr="00D75555">
        <w:rPr>
          <w:rFonts w:ascii="Times New Roman" w:hAnsi="Times New Roman" w:cs="Times New Roman"/>
        </w:rPr>
        <w:t>. This is the strongest evaluation available because most real observational datasets do not provide any ground truth for heterogeneity.</w:t>
      </w:r>
      <w:r w:rsidR="00D75555">
        <w:rPr>
          <w:rFonts w:ascii="Times New Roman" w:hAnsi="Times New Roman" w:cs="Times New Roman"/>
        </w:rPr>
        <w:t xml:space="preserve"> </w:t>
      </w:r>
    </w:p>
    <w:p w14:paraId="54647A99" w14:textId="33711F17" w:rsidR="009F1451" w:rsidRPr="00D75555" w:rsidRDefault="00D75555">
      <w:pPr>
        <w:pStyle w:val="FirstParagraph"/>
        <w:rPr>
          <w:rFonts w:ascii="Times New Roman" w:hAnsi="Times New Roman" w:cs="Times New Roman"/>
        </w:rPr>
      </w:pPr>
      <w:r>
        <w:rPr>
          <w:rFonts w:ascii="Times New Roman" w:hAnsi="Times New Roman" w:cs="Times New Roman"/>
        </w:rPr>
        <w:t>Table 4: CATE Evaluation Results</w:t>
      </w:r>
    </w:p>
    <w:tbl>
      <w:tblPr>
        <w:tblStyle w:val="Table"/>
        <w:tblW w:w="0" w:type="pct"/>
        <w:tblLook w:val="0020" w:firstRow="1" w:lastRow="0" w:firstColumn="0" w:lastColumn="0" w:noHBand="0" w:noVBand="0"/>
      </w:tblPr>
      <w:tblGrid>
        <w:gridCol w:w="1476"/>
        <w:gridCol w:w="876"/>
        <w:gridCol w:w="1012"/>
        <w:gridCol w:w="1556"/>
        <w:gridCol w:w="1329"/>
      </w:tblGrid>
      <w:tr w:rsidR="009F1451" w:rsidRPr="00D75555" w14:paraId="083B05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C01FCB"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method</w:t>
            </w:r>
          </w:p>
        </w:tc>
        <w:tc>
          <w:tcPr>
            <w:tcW w:w="0" w:type="auto"/>
          </w:tcPr>
          <w:p w14:paraId="3E906AE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PEHE</w:t>
            </w:r>
          </w:p>
        </w:tc>
        <w:tc>
          <w:tcPr>
            <w:tcW w:w="0" w:type="auto"/>
          </w:tcPr>
          <w:p w14:paraId="4562676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bias</w:t>
            </w:r>
          </w:p>
        </w:tc>
        <w:tc>
          <w:tcPr>
            <w:tcW w:w="0" w:type="auto"/>
          </w:tcPr>
          <w:p w14:paraId="6B24BBF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Spearman rho</w:t>
            </w:r>
          </w:p>
        </w:tc>
        <w:tc>
          <w:tcPr>
            <w:tcW w:w="0" w:type="auto"/>
          </w:tcPr>
          <w:p w14:paraId="7B4B063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Kendall tau</w:t>
            </w:r>
          </w:p>
        </w:tc>
      </w:tr>
      <w:tr w:rsidR="009F1451" w:rsidRPr="00D75555" w14:paraId="2F9A46D6" w14:textId="77777777">
        <w:tc>
          <w:tcPr>
            <w:tcW w:w="0" w:type="auto"/>
          </w:tcPr>
          <w:p w14:paraId="5B3D10FF"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S-learner</w:t>
            </w:r>
          </w:p>
        </w:tc>
        <w:tc>
          <w:tcPr>
            <w:tcW w:w="0" w:type="auto"/>
          </w:tcPr>
          <w:p w14:paraId="50C1E199"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0.3199</w:t>
            </w:r>
          </w:p>
        </w:tc>
        <w:tc>
          <w:tcPr>
            <w:tcW w:w="0" w:type="auto"/>
          </w:tcPr>
          <w:p w14:paraId="38F8980E"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+0.0073</w:t>
            </w:r>
          </w:p>
        </w:tc>
        <w:tc>
          <w:tcPr>
            <w:tcW w:w="0" w:type="auto"/>
          </w:tcPr>
          <w:p w14:paraId="33EE130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0.020</w:t>
            </w:r>
          </w:p>
        </w:tc>
        <w:tc>
          <w:tcPr>
            <w:tcW w:w="0" w:type="auto"/>
          </w:tcPr>
          <w:p w14:paraId="4F5CA10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0.016</w:t>
            </w:r>
          </w:p>
        </w:tc>
      </w:tr>
      <w:tr w:rsidR="009F1451" w:rsidRPr="00D75555" w14:paraId="4EAE61F8" w14:textId="77777777">
        <w:tc>
          <w:tcPr>
            <w:tcW w:w="0" w:type="auto"/>
          </w:tcPr>
          <w:p w14:paraId="4C9C498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T-learner</w:t>
            </w:r>
          </w:p>
        </w:tc>
        <w:tc>
          <w:tcPr>
            <w:tcW w:w="0" w:type="auto"/>
          </w:tcPr>
          <w:p w14:paraId="22BE567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0.3183</w:t>
            </w:r>
          </w:p>
        </w:tc>
        <w:tc>
          <w:tcPr>
            <w:tcW w:w="0" w:type="auto"/>
          </w:tcPr>
          <w:p w14:paraId="7B085F4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+0.0002</w:t>
            </w:r>
          </w:p>
        </w:tc>
        <w:tc>
          <w:tcPr>
            <w:tcW w:w="0" w:type="auto"/>
          </w:tcPr>
          <w:p w14:paraId="0B3B581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0.103</w:t>
            </w:r>
          </w:p>
        </w:tc>
        <w:tc>
          <w:tcPr>
            <w:tcW w:w="0" w:type="auto"/>
          </w:tcPr>
          <w:p w14:paraId="7EB05B6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0.084</w:t>
            </w:r>
          </w:p>
        </w:tc>
      </w:tr>
      <w:tr w:rsidR="009F1451" w:rsidRPr="00D75555" w14:paraId="6D830AFD" w14:textId="77777777">
        <w:tc>
          <w:tcPr>
            <w:tcW w:w="0" w:type="auto"/>
          </w:tcPr>
          <w:p w14:paraId="12F136BF"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DR-learner</w:t>
            </w:r>
          </w:p>
        </w:tc>
        <w:tc>
          <w:tcPr>
            <w:tcW w:w="0" w:type="auto"/>
          </w:tcPr>
          <w:p w14:paraId="4ACDF41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0.3600</w:t>
            </w:r>
          </w:p>
        </w:tc>
        <w:tc>
          <w:tcPr>
            <w:tcW w:w="0" w:type="auto"/>
          </w:tcPr>
          <w:p w14:paraId="5A19BA6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+0.0002</w:t>
            </w:r>
          </w:p>
        </w:tc>
        <w:tc>
          <w:tcPr>
            <w:tcW w:w="0" w:type="auto"/>
          </w:tcPr>
          <w:p w14:paraId="28109CB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0.036</w:t>
            </w:r>
          </w:p>
        </w:tc>
        <w:tc>
          <w:tcPr>
            <w:tcW w:w="0" w:type="auto"/>
          </w:tcPr>
          <w:p w14:paraId="205810A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0.029</w:t>
            </w:r>
          </w:p>
        </w:tc>
      </w:tr>
      <w:tr w:rsidR="009F1451" w:rsidRPr="00D75555" w14:paraId="213886FD" w14:textId="77777777">
        <w:tc>
          <w:tcPr>
            <w:tcW w:w="0" w:type="auto"/>
          </w:tcPr>
          <w:p w14:paraId="57497A94"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R-learner</w:t>
            </w:r>
          </w:p>
        </w:tc>
        <w:tc>
          <w:tcPr>
            <w:tcW w:w="0" w:type="auto"/>
          </w:tcPr>
          <w:p w14:paraId="38F0648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0.3213</w:t>
            </w:r>
          </w:p>
        </w:tc>
        <w:tc>
          <w:tcPr>
            <w:tcW w:w="0" w:type="auto"/>
          </w:tcPr>
          <w:p w14:paraId="794E0E1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+0.0007</w:t>
            </w:r>
          </w:p>
        </w:tc>
        <w:tc>
          <w:tcPr>
            <w:tcW w:w="0" w:type="auto"/>
          </w:tcPr>
          <w:p w14:paraId="427FBA9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0.046</w:t>
            </w:r>
          </w:p>
        </w:tc>
        <w:tc>
          <w:tcPr>
            <w:tcW w:w="0" w:type="auto"/>
          </w:tcPr>
          <w:p w14:paraId="3926D14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0.037</w:t>
            </w:r>
          </w:p>
        </w:tc>
      </w:tr>
      <w:tr w:rsidR="009F1451" w:rsidRPr="00D75555" w14:paraId="03A69C3C" w14:textId="77777777">
        <w:tc>
          <w:tcPr>
            <w:tcW w:w="0" w:type="auto"/>
          </w:tcPr>
          <w:p w14:paraId="109F4FB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Causal forest</w:t>
            </w:r>
          </w:p>
        </w:tc>
        <w:tc>
          <w:tcPr>
            <w:tcW w:w="0" w:type="auto"/>
          </w:tcPr>
          <w:p w14:paraId="4AC29F2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0.3160</w:t>
            </w:r>
          </w:p>
        </w:tc>
        <w:tc>
          <w:tcPr>
            <w:tcW w:w="0" w:type="auto"/>
          </w:tcPr>
          <w:p w14:paraId="275FD24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+0.0010</w:t>
            </w:r>
          </w:p>
        </w:tc>
        <w:tc>
          <w:tcPr>
            <w:tcW w:w="0" w:type="auto"/>
          </w:tcPr>
          <w:p w14:paraId="2212384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0.197</w:t>
            </w:r>
          </w:p>
        </w:tc>
        <w:tc>
          <w:tcPr>
            <w:tcW w:w="0" w:type="auto"/>
          </w:tcPr>
          <w:p w14:paraId="30067AED"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0.160</w:t>
            </w:r>
          </w:p>
        </w:tc>
      </w:tr>
    </w:tbl>
    <w:p w14:paraId="29C45DE0"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lastRenderedPageBreak/>
        <w:t>The causal forest performs best, especially on rank correlation. The PEHE differences are small because the true ITE is noisy and binary, but ranking matters for heterogeneity: a useful CATE model should identify which pairs are more likely to benefit from being heavier. The causal forest does that better than the meta-learners.</w:t>
      </w:r>
    </w:p>
    <w:p w14:paraId="6D521711" w14:textId="77777777" w:rsidR="009F1451" w:rsidRPr="00D75555" w:rsidRDefault="00000000">
      <w:pPr>
        <w:pStyle w:val="Heading3"/>
        <w:rPr>
          <w:rFonts w:ascii="Times New Roman" w:hAnsi="Times New Roman" w:cs="Times New Roman"/>
          <w:color w:val="auto"/>
        </w:rPr>
      </w:pPr>
      <w:bookmarkStart w:id="8" w:name="X8acb22513ad8035913e69c7e653f48dca33d94d"/>
      <w:bookmarkEnd w:id="7"/>
      <w:r w:rsidRPr="00D75555">
        <w:rPr>
          <w:rFonts w:ascii="Times New Roman" w:hAnsi="Times New Roman" w:cs="Times New Roman"/>
          <w:color w:val="auto"/>
        </w:rPr>
        <w:t>5.3 Ground-Truth-Free CATE Diagnostics</w:t>
      </w:r>
    </w:p>
    <w:p w14:paraId="2A4BF8C2" w14:textId="77777777" w:rsidR="00D75555" w:rsidRDefault="00000000" w:rsidP="00D75555">
      <w:pPr>
        <w:pStyle w:val="FirstParagraph"/>
        <w:rPr>
          <w:rFonts w:ascii="Times New Roman" w:hAnsi="Times New Roman" w:cs="Times New Roman"/>
        </w:rPr>
      </w:pPr>
      <w:r w:rsidRPr="00D75555">
        <w:rPr>
          <w:rFonts w:ascii="Times New Roman" w:hAnsi="Times New Roman" w:cs="Times New Roman"/>
        </w:rPr>
        <w:t>I also evaluate CATE models using held-out R-loss and DR-score MSE. These are the kinds of diagnostics available when there is no twin-pair benchmark.</w:t>
      </w:r>
      <w:r w:rsidR="00D75555">
        <w:rPr>
          <w:rFonts w:ascii="Times New Roman" w:hAnsi="Times New Roman" w:cs="Times New Roman"/>
        </w:rPr>
        <w:t xml:space="preserve"> </w:t>
      </w:r>
    </w:p>
    <w:p w14:paraId="34CC62DF" w14:textId="6A250C0B" w:rsidR="00D75555" w:rsidRPr="00D75555" w:rsidRDefault="00D75555" w:rsidP="00D75555">
      <w:pPr>
        <w:pStyle w:val="FirstParagraph"/>
        <w:rPr>
          <w:rFonts w:ascii="Times New Roman" w:hAnsi="Times New Roman" w:cs="Times New Roman"/>
        </w:rPr>
      </w:pPr>
      <w:r>
        <w:rPr>
          <w:rFonts w:ascii="Times New Roman" w:hAnsi="Times New Roman" w:cs="Times New Roman"/>
        </w:rPr>
        <w:t>Table 5: CATE Diagnostics</w:t>
      </w:r>
    </w:p>
    <w:tbl>
      <w:tblPr>
        <w:tblStyle w:val="Table"/>
        <w:tblW w:w="0" w:type="pct"/>
        <w:tblLook w:val="0020" w:firstRow="1" w:lastRow="0" w:firstColumn="0" w:lastColumn="0" w:noHBand="0" w:noVBand="0"/>
      </w:tblPr>
      <w:tblGrid>
        <w:gridCol w:w="1476"/>
        <w:gridCol w:w="876"/>
        <w:gridCol w:w="1690"/>
      </w:tblGrid>
      <w:tr w:rsidR="009F1451" w:rsidRPr="00D75555" w14:paraId="66D121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F63FAA"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method</w:t>
            </w:r>
          </w:p>
        </w:tc>
        <w:tc>
          <w:tcPr>
            <w:tcW w:w="0" w:type="auto"/>
          </w:tcPr>
          <w:p w14:paraId="4BF539A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R-loss</w:t>
            </w:r>
          </w:p>
        </w:tc>
        <w:tc>
          <w:tcPr>
            <w:tcW w:w="0" w:type="auto"/>
          </w:tcPr>
          <w:p w14:paraId="19B2436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DR-score MSE</w:t>
            </w:r>
          </w:p>
        </w:tc>
      </w:tr>
      <w:tr w:rsidR="009F1451" w:rsidRPr="00D75555" w14:paraId="180F7DD8" w14:textId="77777777">
        <w:tc>
          <w:tcPr>
            <w:tcW w:w="0" w:type="auto"/>
          </w:tcPr>
          <w:p w14:paraId="0007F62D"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S-learner</w:t>
            </w:r>
          </w:p>
        </w:tc>
        <w:tc>
          <w:tcPr>
            <w:tcW w:w="0" w:type="auto"/>
          </w:tcPr>
          <w:p w14:paraId="4C7BDDC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0.0984</w:t>
            </w:r>
          </w:p>
        </w:tc>
        <w:tc>
          <w:tcPr>
            <w:tcW w:w="0" w:type="auto"/>
          </w:tcPr>
          <w:p w14:paraId="46F74B4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0.5015</w:t>
            </w:r>
          </w:p>
        </w:tc>
      </w:tr>
      <w:tr w:rsidR="009F1451" w:rsidRPr="00D75555" w14:paraId="7CD17DBC" w14:textId="77777777">
        <w:tc>
          <w:tcPr>
            <w:tcW w:w="0" w:type="auto"/>
          </w:tcPr>
          <w:p w14:paraId="255B90E7"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T-learner</w:t>
            </w:r>
          </w:p>
        </w:tc>
        <w:tc>
          <w:tcPr>
            <w:tcW w:w="0" w:type="auto"/>
          </w:tcPr>
          <w:p w14:paraId="44D2A1B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0.0989</w:t>
            </w:r>
          </w:p>
        </w:tc>
        <w:tc>
          <w:tcPr>
            <w:tcW w:w="0" w:type="auto"/>
          </w:tcPr>
          <w:p w14:paraId="5F91F0D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0.5037</w:t>
            </w:r>
          </w:p>
        </w:tc>
      </w:tr>
      <w:tr w:rsidR="009F1451" w:rsidRPr="00D75555" w14:paraId="4952DBBA" w14:textId="77777777">
        <w:tc>
          <w:tcPr>
            <w:tcW w:w="0" w:type="auto"/>
          </w:tcPr>
          <w:p w14:paraId="0BD18B6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DR-learner</w:t>
            </w:r>
          </w:p>
        </w:tc>
        <w:tc>
          <w:tcPr>
            <w:tcW w:w="0" w:type="auto"/>
          </w:tcPr>
          <w:p w14:paraId="00DD12A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0.1010</w:t>
            </w:r>
          </w:p>
        </w:tc>
        <w:tc>
          <w:tcPr>
            <w:tcW w:w="0" w:type="auto"/>
          </w:tcPr>
          <w:p w14:paraId="3C20972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0.5044</w:t>
            </w:r>
          </w:p>
        </w:tc>
      </w:tr>
      <w:tr w:rsidR="009F1451" w:rsidRPr="00D75555" w14:paraId="229BAF50" w14:textId="77777777">
        <w:tc>
          <w:tcPr>
            <w:tcW w:w="0" w:type="auto"/>
          </w:tcPr>
          <w:p w14:paraId="0AC454DA"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R-learner</w:t>
            </w:r>
          </w:p>
        </w:tc>
        <w:tc>
          <w:tcPr>
            <w:tcW w:w="0" w:type="auto"/>
          </w:tcPr>
          <w:p w14:paraId="28F7E05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0.0987</w:t>
            </w:r>
          </w:p>
        </w:tc>
        <w:tc>
          <w:tcPr>
            <w:tcW w:w="0" w:type="auto"/>
          </w:tcPr>
          <w:p w14:paraId="4866962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0.5033</w:t>
            </w:r>
          </w:p>
        </w:tc>
      </w:tr>
      <w:tr w:rsidR="009F1451" w:rsidRPr="00D75555" w14:paraId="000CA642" w14:textId="77777777">
        <w:tc>
          <w:tcPr>
            <w:tcW w:w="0" w:type="auto"/>
          </w:tcPr>
          <w:p w14:paraId="49A152A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Causal forest</w:t>
            </w:r>
          </w:p>
        </w:tc>
        <w:tc>
          <w:tcPr>
            <w:tcW w:w="0" w:type="auto"/>
          </w:tcPr>
          <w:p w14:paraId="4CED7CAE"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0.0985</w:t>
            </w:r>
          </w:p>
        </w:tc>
        <w:tc>
          <w:tcPr>
            <w:tcW w:w="0" w:type="auto"/>
          </w:tcPr>
          <w:p w14:paraId="4DD5042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0.5014</w:t>
            </w:r>
          </w:p>
        </w:tc>
      </w:tr>
    </w:tbl>
    <w:p w14:paraId="0052E8E7"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These scores are very close across methods. They flag the DR-learner as weaker, but they do not separate the remaining models clearly. This is an important lesson: ground-truth-free CATE diagnostics are useful, but in this rare-outcome setting they have low resolution. I would not choose a heterogeneity model from one diagnostic alone.</w:t>
      </w:r>
    </w:p>
    <w:p w14:paraId="07BD9EDE" w14:textId="77777777" w:rsidR="009F1451" w:rsidRPr="00D75555" w:rsidRDefault="00000000">
      <w:pPr>
        <w:pStyle w:val="Heading3"/>
        <w:rPr>
          <w:rFonts w:ascii="Times New Roman" w:hAnsi="Times New Roman" w:cs="Times New Roman"/>
          <w:color w:val="auto"/>
        </w:rPr>
      </w:pPr>
      <w:bookmarkStart w:id="9" w:name="X5d13ed8b0a537a933a78132a90537c186d05011"/>
      <w:bookmarkEnd w:id="8"/>
      <w:r w:rsidRPr="00D75555">
        <w:rPr>
          <w:rFonts w:ascii="Times New Roman" w:hAnsi="Times New Roman" w:cs="Times New Roman"/>
          <w:color w:val="auto"/>
        </w:rPr>
        <w:t>5.4 Calibration and Subgroup Checks</w:t>
      </w:r>
    </w:p>
    <w:p w14:paraId="10846D95"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The causal forest calibration plot bins pairs by predicted CATE. The bin means are almost monotone, which means the model is ranking pairs in a meaningful way. At the extremes, however, the predicted effects are much closer to zero than the true within-pair averages. This means the forest is useful for ranking but conservative in magnitude.</w:t>
      </w:r>
    </w:p>
    <w:p w14:paraId="436C9DC0" w14:textId="2E561E80" w:rsidR="009F1451" w:rsidRPr="00D75555" w:rsidRDefault="00000000">
      <w:pPr>
        <w:pStyle w:val="BodyText"/>
        <w:rPr>
          <w:rFonts w:ascii="Times New Roman" w:hAnsi="Times New Roman" w:cs="Times New Roman"/>
        </w:rPr>
      </w:pPr>
      <w:r w:rsidRPr="00D75555">
        <w:rPr>
          <w:rFonts w:ascii="Times New Roman" w:hAnsi="Times New Roman" w:cs="Times New Roman"/>
          <w:noProof/>
        </w:rPr>
        <w:drawing>
          <wp:inline distT="0" distB="0" distL="0" distR="0" wp14:anchorId="5FFF44E3" wp14:editId="783985D3">
            <wp:extent cx="3113903" cy="2792627"/>
            <wp:effectExtent l="0" t="0" r="0" b="0"/>
            <wp:docPr id="94180040" name="Picture" descr="Figure 4. Calibration of causal-forest CATE predictions against the twin-pair benchmark."/>
            <wp:cNvGraphicFramePr/>
            <a:graphic xmlns:a="http://schemas.openxmlformats.org/drawingml/2006/main">
              <a:graphicData uri="http://schemas.openxmlformats.org/drawingml/2006/picture">
                <pic:pic xmlns:pic="http://schemas.openxmlformats.org/drawingml/2006/picture">
                  <pic:nvPicPr>
                    <pic:cNvPr id="0" name="Picture" descr="../figures/06_calibration.png"/>
                    <pic:cNvPicPr>
                      <a:picLocks noChangeAspect="1" noChangeArrowheads="1"/>
                    </pic:cNvPicPr>
                  </pic:nvPicPr>
                  <pic:blipFill>
                    <a:blip r:embed="rId9"/>
                    <a:stretch>
                      <a:fillRect/>
                    </a:stretch>
                  </pic:blipFill>
                  <pic:spPr bwMode="auto">
                    <a:xfrm>
                      <a:off x="0" y="0"/>
                      <a:ext cx="3140006" cy="2816036"/>
                    </a:xfrm>
                    <a:prstGeom prst="rect">
                      <a:avLst/>
                    </a:prstGeom>
                    <a:noFill/>
                    <a:ln w="9525">
                      <a:noFill/>
                      <a:headEnd/>
                      <a:tailEnd/>
                    </a:ln>
                  </pic:spPr>
                </pic:pic>
              </a:graphicData>
            </a:graphic>
          </wp:inline>
        </w:drawing>
      </w:r>
      <w:r w:rsidR="00D75555">
        <w:rPr>
          <w:rFonts w:ascii="Times New Roman" w:hAnsi="Times New Roman" w:cs="Times New Roman"/>
        </w:rPr>
        <w:br/>
        <w:t>Figure 3: Calibration vs. Twin-pair Benchmark (</w:t>
      </w:r>
      <w:r w:rsidR="00CE5534">
        <w:rPr>
          <w:rFonts w:ascii="Times New Roman" w:hAnsi="Times New Roman" w:cs="Times New Roman"/>
        </w:rPr>
        <w:t>Causal</w:t>
      </w:r>
      <w:r w:rsidR="00D75555">
        <w:rPr>
          <w:rFonts w:ascii="Times New Roman" w:hAnsi="Times New Roman" w:cs="Times New Roman"/>
        </w:rPr>
        <w:t xml:space="preserve"> Forest)</w:t>
      </w:r>
    </w:p>
    <w:p w14:paraId="08C943D2" w14:textId="77777777" w:rsidR="00D75555" w:rsidRDefault="00000000">
      <w:pPr>
        <w:pStyle w:val="BodyText"/>
        <w:rPr>
          <w:rFonts w:ascii="Times New Roman" w:hAnsi="Times New Roman" w:cs="Times New Roman"/>
        </w:rPr>
      </w:pPr>
      <w:r w:rsidRPr="00D75555">
        <w:rPr>
          <w:rFonts w:ascii="Times New Roman" w:hAnsi="Times New Roman" w:cs="Times New Roman"/>
        </w:rPr>
        <w:lastRenderedPageBreak/>
        <w:t>The subgroup results show why validation matters. For gestational age, AIPW suggests a monotone pattern where the effect is strongest in the longest-gestation group. The within-pair benchmark does not support that story.</w:t>
      </w:r>
      <w:r w:rsidR="00D75555">
        <w:rPr>
          <w:rFonts w:ascii="Times New Roman" w:hAnsi="Times New Roman" w:cs="Times New Roman"/>
        </w:rPr>
        <w:t xml:space="preserve"> </w:t>
      </w:r>
    </w:p>
    <w:p w14:paraId="7E4A1F8D" w14:textId="771F59E9" w:rsidR="00D75555" w:rsidRPr="00D75555" w:rsidRDefault="00D75555">
      <w:pPr>
        <w:pStyle w:val="BodyText"/>
        <w:rPr>
          <w:rFonts w:ascii="Times New Roman" w:hAnsi="Times New Roman" w:cs="Times New Roman"/>
        </w:rPr>
      </w:pPr>
      <w:r>
        <w:rPr>
          <w:rFonts w:ascii="Times New Roman" w:hAnsi="Times New Roman" w:cs="Times New Roman"/>
        </w:rPr>
        <w:t>Table 6: GATE Comparisons</w:t>
      </w:r>
    </w:p>
    <w:tbl>
      <w:tblPr>
        <w:tblStyle w:val="Table"/>
        <w:tblW w:w="0" w:type="pct"/>
        <w:tblLook w:val="0020" w:firstRow="1" w:lastRow="0" w:firstColumn="0" w:lastColumn="0" w:noHBand="0" w:noVBand="0"/>
      </w:tblPr>
      <w:tblGrid>
        <w:gridCol w:w="1890"/>
        <w:gridCol w:w="756"/>
        <w:gridCol w:w="1530"/>
        <w:gridCol w:w="1289"/>
      </w:tblGrid>
      <w:tr w:rsidR="009F1451" w:rsidRPr="00D75555" w14:paraId="1059BD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19EC8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group</w:t>
            </w:r>
          </w:p>
        </w:tc>
        <w:tc>
          <w:tcPr>
            <w:tcW w:w="0" w:type="auto"/>
          </w:tcPr>
          <w:p w14:paraId="6893421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n</w:t>
            </w:r>
          </w:p>
        </w:tc>
        <w:tc>
          <w:tcPr>
            <w:tcW w:w="0" w:type="auto"/>
          </w:tcPr>
          <w:p w14:paraId="745A764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AIPW GATE</w:t>
            </w:r>
          </w:p>
        </w:tc>
        <w:tc>
          <w:tcPr>
            <w:tcW w:w="0" w:type="auto"/>
          </w:tcPr>
          <w:p w14:paraId="4D7804B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true GATE</w:t>
            </w:r>
          </w:p>
        </w:tc>
      </w:tr>
      <w:tr w:rsidR="009F1451" w:rsidRPr="00D75555" w14:paraId="4C912ACD" w14:textId="77777777">
        <w:tc>
          <w:tcPr>
            <w:tcW w:w="0" w:type="auto"/>
          </w:tcPr>
          <w:p w14:paraId="5DCC27C5"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shortest gestation</w:t>
            </w:r>
          </w:p>
        </w:tc>
        <w:tc>
          <w:tcPr>
            <w:tcW w:w="0" w:type="auto"/>
          </w:tcPr>
          <w:p w14:paraId="7C1E947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6,681</w:t>
            </w:r>
          </w:p>
        </w:tc>
        <w:tc>
          <w:tcPr>
            <w:tcW w:w="0" w:type="auto"/>
          </w:tcPr>
          <w:p w14:paraId="3C31B82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-0.018</w:t>
            </w:r>
          </w:p>
        </w:tc>
        <w:tc>
          <w:tcPr>
            <w:tcW w:w="0" w:type="auto"/>
          </w:tcPr>
          <w:p w14:paraId="5A716DE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-0.029</w:t>
            </w:r>
          </w:p>
        </w:tc>
      </w:tr>
      <w:tr w:rsidR="009F1451" w:rsidRPr="00D75555" w14:paraId="38CFD8BE" w14:textId="77777777">
        <w:tc>
          <w:tcPr>
            <w:tcW w:w="0" w:type="auto"/>
          </w:tcPr>
          <w:p w14:paraId="7823E10C"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middle gestation</w:t>
            </w:r>
          </w:p>
        </w:tc>
        <w:tc>
          <w:tcPr>
            <w:tcW w:w="0" w:type="auto"/>
          </w:tcPr>
          <w:p w14:paraId="137D7CC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4,058</w:t>
            </w:r>
          </w:p>
        </w:tc>
        <w:tc>
          <w:tcPr>
            <w:tcW w:w="0" w:type="auto"/>
          </w:tcPr>
          <w:p w14:paraId="5027A119"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-0.028</w:t>
            </w:r>
          </w:p>
        </w:tc>
        <w:tc>
          <w:tcPr>
            <w:tcW w:w="0" w:type="auto"/>
          </w:tcPr>
          <w:p w14:paraId="1B5C23A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-0.018</w:t>
            </w:r>
          </w:p>
        </w:tc>
      </w:tr>
      <w:tr w:rsidR="009F1451" w:rsidRPr="00D75555" w14:paraId="19124890" w14:textId="77777777">
        <w:tc>
          <w:tcPr>
            <w:tcW w:w="0" w:type="auto"/>
          </w:tcPr>
          <w:p w14:paraId="18BAB12A"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longest gestation</w:t>
            </w:r>
          </w:p>
        </w:tc>
        <w:tc>
          <w:tcPr>
            <w:tcW w:w="0" w:type="auto"/>
          </w:tcPr>
          <w:p w14:paraId="4D2B5E5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1,245</w:t>
            </w:r>
          </w:p>
        </w:tc>
        <w:tc>
          <w:tcPr>
            <w:tcW w:w="0" w:type="auto"/>
          </w:tcPr>
          <w:p w14:paraId="13CE1CE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-0.053</w:t>
            </w:r>
          </w:p>
        </w:tc>
        <w:tc>
          <w:tcPr>
            <w:tcW w:w="0" w:type="auto"/>
          </w:tcPr>
          <w:p w14:paraId="6537645E"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w:t>
            </w:r>
          </w:p>
        </w:tc>
      </w:tr>
    </w:tbl>
    <w:p w14:paraId="6D766AB1"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This does not invalidate the ATE. It shows that subgroup estimation is harder than average-effect estimation. The longest-gestation group is much smaller, and its AIPW standard error is much larger, so the subgroup pattern is more sensitive to noise.</w:t>
      </w:r>
    </w:p>
    <w:p w14:paraId="72E7F2D9" w14:textId="3730240B"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Prenatal-care subgroup estimates are more stable. AIPW and the within-pair benchmark both show a roughly flat effect </w:t>
      </w:r>
      <w:r w:rsidR="00FF3FAC">
        <w:rPr>
          <w:rFonts w:ascii="Times New Roman" w:hAnsi="Times New Roman" w:cs="Times New Roman"/>
        </w:rPr>
        <w:t>near</w:t>
      </w:r>
      <w:r w:rsidRPr="00D75555">
        <w:rPr>
          <w:rFonts w:ascii="Times New Roman" w:hAnsi="Times New Roman" w:cs="Times New Roman"/>
        </w:rPr>
        <w:t xml:space="preserve"> -0.025 across the three prenatal-care groups. This makes the gestational-age disagreement look like a subgroup-specific instability rather than a failure of AIPW everywhere.</w:t>
      </w:r>
    </w:p>
    <w:p w14:paraId="3491CF26" w14:textId="77777777" w:rsidR="00D75555" w:rsidRDefault="00000000">
      <w:pPr>
        <w:pStyle w:val="BodyText"/>
        <w:rPr>
          <w:rFonts w:ascii="Times New Roman" w:hAnsi="Times New Roman" w:cs="Times New Roman"/>
        </w:rPr>
      </w:pPr>
      <w:r w:rsidRPr="00D75555">
        <w:rPr>
          <w:rFonts w:ascii="Times New Roman" w:hAnsi="Times New Roman" w:cs="Times New Roman"/>
        </w:rPr>
        <w:t>The best linear projection (BLP) gives the same warning. I regress the AIPW pseudo-outcome and the within-pair true ITE separately on eight pre-specified clinical effect modifiers, with HC3 robust standard errors:</w:t>
      </w:r>
      <w:r w:rsidR="00D75555">
        <w:rPr>
          <w:rFonts w:ascii="Times New Roman" w:hAnsi="Times New Roman" w:cs="Times New Roman"/>
        </w:rPr>
        <w:t xml:space="preserve"> </w:t>
      </w:r>
    </w:p>
    <w:p w14:paraId="475C53E9" w14:textId="060623A3" w:rsidR="009F1451" w:rsidRPr="00D75555" w:rsidRDefault="00D75555">
      <w:pPr>
        <w:pStyle w:val="BodyText"/>
        <w:rPr>
          <w:rFonts w:ascii="Times New Roman" w:hAnsi="Times New Roman" w:cs="Times New Roman"/>
        </w:rPr>
      </w:pPr>
      <w:r>
        <w:rPr>
          <w:rFonts w:ascii="Times New Roman" w:hAnsi="Times New Roman" w:cs="Times New Roman"/>
        </w:rPr>
        <w:t>Table 7: Feature Coefficients</w:t>
      </w:r>
    </w:p>
    <w:tbl>
      <w:tblPr>
        <w:tblStyle w:val="Table"/>
        <w:tblW w:w="0" w:type="pct"/>
        <w:tblLook w:val="0020" w:firstRow="1" w:lastRow="0" w:firstColumn="0" w:lastColumn="0" w:noHBand="0" w:noVBand="0"/>
      </w:tblPr>
      <w:tblGrid>
        <w:gridCol w:w="1110"/>
        <w:gridCol w:w="1652"/>
        <w:gridCol w:w="1716"/>
      </w:tblGrid>
      <w:tr w:rsidR="009F1451" w:rsidRPr="00D75555" w14:paraId="74F358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0BECD5"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feature</w:t>
            </w:r>
          </w:p>
        </w:tc>
        <w:tc>
          <w:tcPr>
            <w:tcW w:w="0" w:type="auto"/>
          </w:tcPr>
          <w:p w14:paraId="3089836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AIPW coef [p]</w:t>
            </w:r>
          </w:p>
        </w:tc>
        <w:tc>
          <w:tcPr>
            <w:tcW w:w="0" w:type="auto"/>
          </w:tcPr>
          <w:p w14:paraId="26826F4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truth coef [p]</w:t>
            </w:r>
          </w:p>
        </w:tc>
      </w:tr>
      <w:tr w:rsidR="009F1451" w:rsidRPr="00D75555" w14:paraId="43F65516" w14:textId="77777777">
        <w:tc>
          <w:tcPr>
            <w:tcW w:w="0" w:type="auto"/>
          </w:tcPr>
          <w:p w14:paraId="369D979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gestat10</w:t>
            </w:r>
          </w:p>
        </w:tc>
        <w:tc>
          <w:tcPr>
            <w:tcW w:w="0" w:type="auto"/>
          </w:tcPr>
          <w:p w14:paraId="56CCBB3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-0.013 [0.025]</w:t>
            </w:r>
          </w:p>
        </w:tc>
        <w:tc>
          <w:tcPr>
            <w:tcW w:w="0" w:type="auto"/>
          </w:tcPr>
          <w:p w14:paraId="07362A0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-0.0001 [0.964]</w:t>
            </w:r>
          </w:p>
        </w:tc>
      </w:tr>
      <w:tr w:rsidR="009F1451" w:rsidRPr="00D75555" w14:paraId="77D74823" w14:textId="77777777">
        <w:tc>
          <w:tcPr>
            <w:tcW w:w="0" w:type="auto"/>
          </w:tcPr>
          <w:p w14:paraId="5C2AF5F9"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nprevistq</w:t>
            </w:r>
          </w:p>
        </w:tc>
        <w:tc>
          <w:tcPr>
            <w:tcW w:w="0" w:type="auto"/>
          </w:tcPr>
          <w:p w14:paraId="772B282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-0.000 [0.992]</w:t>
            </w:r>
          </w:p>
        </w:tc>
        <w:tc>
          <w:tcPr>
            <w:tcW w:w="0" w:type="auto"/>
          </w:tcPr>
          <w:p w14:paraId="4DB019B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-0.001 [0.763]</w:t>
            </w:r>
          </w:p>
        </w:tc>
      </w:tr>
      <w:tr w:rsidR="009F1451" w:rsidRPr="00D75555" w14:paraId="3F4C7C2E" w14:textId="77777777">
        <w:tc>
          <w:tcPr>
            <w:tcW w:w="0" w:type="auto"/>
          </w:tcPr>
          <w:p w14:paraId="18F74B92"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mager8</w:t>
            </w:r>
          </w:p>
        </w:tc>
        <w:tc>
          <w:tcPr>
            <w:tcW w:w="0" w:type="auto"/>
          </w:tcPr>
          <w:p w14:paraId="621AE63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+0.010 [0.114]</w:t>
            </w:r>
          </w:p>
        </w:tc>
        <w:tc>
          <w:tcPr>
            <w:tcW w:w="0" w:type="auto"/>
          </w:tcPr>
          <w:p w14:paraId="3CFFE04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-0.002 [0.405]</w:t>
            </w:r>
          </w:p>
        </w:tc>
      </w:tr>
      <w:tr w:rsidR="009F1451" w:rsidRPr="00D75555" w14:paraId="5227769F" w14:textId="77777777">
        <w:tc>
          <w:tcPr>
            <w:tcW w:w="0" w:type="auto"/>
          </w:tcPr>
          <w:p w14:paraId="7444CFDE"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meduc6</w:t>
            </w:r>
          </w:p>
        </w:tc>
        <w:tc>
          <w:tcPr>
            <w:tcW w:w="0" w:type="auto"/>
          </w:tcPr>
          <w:p w14:paraId="0EE76BB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+0.005 [0.419]</w:t>
            </w:r>
          </w:p>
        </w:tc>
        <w:tc>
          <w:tcPr>
            <w:tcW w:w="0" w:type="auto"/>
          </w:tcPr>
          <w:p w14:paraId="5F1C0CE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+0.001 [0.613]</w:t>
            </w:r>
          </w:p>
        </w:tc>
      </w:tr>
      <w:tr w:rsidR="009F1451" w:rsidRPr="00D75555" w14:paraId="1355866C" w14:textId="77777777">
        <w:tc>
          <w:tcPr>
            <w:tcW w:w="0" w:type="auto"/>
          </w:tcPr>
          <w:p w14:paraId="4EFE8BE6"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anemia</w:t>
            </w:r>
          </w:p>
        </w:tc>
        <w:tc>
          <w:tcPr>
            <w:tcW w:w="0" w:type="auto"/>
          </w:tcPr>
          <w:p w14:paraId="1649E41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-0.019 [0.577]</w:t>
            </w:r>
          </w:p>
        </w:tc>
        <w:tc>
          <w:tcPr>
            <w:tcW w:w="0" w:type="auto"/>
          </w:tcPr>
          <w:p w14:paraId="2BC0825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+0.005 [0.762]</w:t>
            </w:r>
          </w:p>
        </w:tc>
      </w:tr>
      <w:tr w:rsidR="009F1451" w:rsidRPr="00D75555" w14:paraId="0524DABC" w14:textId="77777777">
        <w:tc>
          <w:tcPr>
            <w:tcW w:w="0" w:type="auto"/>
          </w:tcPr>
          <w:p w14:paraId="53129AE6"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diabetes</w:t>
            </w:r>
          </w:p>
        </w:tc>
        <w:tc>
          <w:tcPr>
            <w:tcW w:w="0" w:type="auto"/>
          </w:tcPr>
          <w:p w14:paraId="0BCD5634"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-0.047 [0.218]</w:t>
            </w:r>
          </w:p>
        </w:tc>
        <w:tc>
          <w:tcPr>
            <w:tcW w:w="0" w:type="auto"/>
          </w:tcPr>
          <w:p w14:paraId="5F70CAE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+0.001 [0.948]</w:t>
            </w:r>
          </w:p>
        </w:tc>
      </w:tr>
      <w:tr w:rsidR="009F1451" w:rsidRPr="00D75555" w14:paraId="467213F4" w14:textId="77777777">
        <w:tc>
          <w:tcPr>
            <w:tcW w:w="0" w:type="auto"/>
          </w:tcPr>
          <w:p w14:paraId="71E81777"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chyper</w:t>
            </w:r>
          </w:p>
        </w:tc>
        <w:tc>
          <w:tcPr>
            <w:tcW w:w="0" w:type="auto"/>
          </w:tcPr>
          <w:p w14:paraId="6FD920C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+0.112 [0.130]</w:t>
            </w:r>
          </w:p>
        </w:tc>
        <w:tc>
          <w:tcPr>
            <w:tcW w:w="0" w:type="auto"/>
          </w:tcPr>
          <w:p w14:paraId="77CB1F0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+0.044 [0.097]</w:t>
            </w:r>
          </w:p>
        </w:tc>
      </w:tr>
      <w:tr w:rsidR="009F1451" w:rsidRPr="00D75555" w14:paraId="3B0A3A60" w14:textId="77777777">
        <w:tc>
          <w:tcPr>
            <w:tcW w:w="0" w:type="auto"/>
          </w:tcPr>
          <w:p w14:paraId="21744B56"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preterm</w:t>
            </w:r>
          </w:p>
        </w:tc>
        <w:tc>
          <w:tcPr>
            <w:tcW w:w="0" w:type="auto"/>
          </w:tcPr>
          <w:p w14:paraId="057AF7F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-0.039 [0.369]</w:t>
            </w:r>
          </w:p>
        </w:tc>
        <w:tc>
          <w:tcPr>
            <w:tcW w:w="0" w:type="auto"/>
          </w:tcPr>
          <w:p w14:paraId="59876A6A"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+0.031 [0.065]</w:t>
            </w:r>
          </w:p>
        </w:tc>
      </w:tr>
    </w:tbl>
    <w:p w14:paraId="126E54DC" w14:textId="0FFA31BA"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AIPW flags </w:t>
      </w:r>
      <w:r w:rsidRPr="00D75555">
        <w:rPr>
          <w:rStyle w:val="VerbatimChar"/>
          <w:rFonts w:ascii="Times New Roman" w:hAnsi="Times New Roman" w:cs="Times New Roman"/>
          <w:sz w:val="24"/>
        </w:rPr>
        <w:t>gestat10</w:t>
      </w:r>
      <w:r w:rsidRPr="00D75555">
        <w:rPr>
          <w:rFonts w:ascii="Times New Roman" w:hAnsi="Times New Roman" w:cs="Times New Roman"/>
        </w:rPr>
        <w:t xml:space="preserve"> as a significant modifier (p = 0.025), but the within-pair truth gives a coefficient that rounds to zero (p = 0.96). None of the truth p-values drop below 0.05. The practical conclusion is that I trust the ATE much more than the gestational-age heterogeneity claim</w:t>
      </w:r>
      <w:r w:rsidR="00CC1CAB">
        <w:rPr>
          <w:rFonts w:ascii="Times New Roman" w:hAnsi="Times New Roman" w:cs="Times New Roman"/>
        </w:rPr>
        <w:t>. T</w:t>
      </w:r>
      <w:r w:rsidRPr="00D75555">
        <w:rPr>
          <w:rFonts w:ascii="Times New Roman" w:hAnsi="Times New Roman" w:cs="Times New Roman"/>
        </w:rPr>
        <w:t xml:space="preserve">he AIPW BLP looks defensible on its own, with the right framework, valid robust SEs, and a sub-0.05 p-value, and only the design-based truth BLP reveals that the significant finding </w:t>
      </w:r>
      <w:r w:rsidR="00CC1CAB">
        <w:rPr>
          <w:rFonts w:ascii="Times New Roman" w:hAnsi="Times New Roman" w:cs="Times New Roman"/>
        </w:rPr>
        <w:t>may not be necessarily true</w:t>
      </w:r>
      <w:r w:rsidRPr="00D75555">
        <w:rPr>
          <w:rFonts w:ascii="Times New Roman" w:hAnsi="Times New Roman" w:cs="Times New Roman"/>
        </w:rPr>
        <w:t>.</w:t>
      </w:r>
    </w:p>
    <w:p w14:paraId="2DBA498D" w14:textId="77777777" w:rsidR="009F1451" w:rsidRPr="00D75555" w:rsidRDefault="00000000">
      <w:pPr>
        <w:pStyle w:val="Heading3"/>
        <w:rPr>
          <w:rFonts w:ascii="Times New Roman" w:hAnsi="Times New Roman" w:cs="Times New Roman"/>
          <w:color w:val="auto"/>
        </w:rPr>
      </w:pPr>
      <w:bookmarkStart w:id="10" w:name="X40da23c88272a105131c750127f9367099b377a"/>
      <w:bookmarkEnd w:id="9"/>
      <w:r w:rsidRPr="00D75555">
        <w:rPr>
          <w:rFonts w:ascii="Times New Roman" w:hAnsi="Times New Roman" w:cs="Times New Roman"/>
          <w:color w:val="auto"/>
        </w:rPr>
        <w:lastRenderedPageBreak/>
        <w:t>5.5 Causal Forest Outputs</w:t>
      </w:r>
    </w:p>
    <w:p w14:paraId="68D40912" w14:textId="1E31AF55" w:rsidR="00D75555" w:rsidRDefault="00000000" w:rsidP="00D75555">
      <w:pPr>
        <w:pStyle w:val="FirstParagraph"/>
        <w:rPr>
          <w:rFonts w:ascii="Times New Roman" w:hAnsi="Times New Roman" w:cs="Times New Roman"/>
        </w:rPr>
      </w:pPr>
      <w:r w:rsidRPr="00D75555">
        <w:rPr>
          <w:rFonts w:ascii="Times New Roman" w:hAnsi="Times New Roman" w:cs="Times New Roman"/>
        </w:rPr>
        <w:t xml:space="preserve">The causal forest's top heterogeneity feature is </w:t>
      </w:r>
      <w:r w:rsidRPr="00D75555">
        <w:rPr>
          <w:rStyle w:val="VerbatimChar"/>
          <w:rFonts w:ascii="Times New Roman" w:hAnsi="Times New Roman" w:cs="Times New Roman"/>
          <w:sz w:val="24"/>
        </w:rPr>
        <w:t>gestat10</w:t>
      </w:r>
      <w:r w:rsidRPr="00D75555">
        <w:rPr>
          <w:rFonts w:ascii="Times New Roman" w:hAnsi="Times New Roman" w:cs="Times New Roman"/>
        </w:rPr>
        <w:t xml:space="preserve">, followed by birthplace, birth month, state of occurrence, and </w:t>
      </w:r>
      <w:r w:rsidR="00D75555">
        <w:rPr>
          <w:rFonts w:ascii="Times New Roman" w:hAnsi="Times New Roman" w:cs="Times New Roman"/>
        </w:rPr>
        <w:t xml:space="preserve">the </w:t>
      </w:r>
      <w:r w:rsidRPr="00D75555">
        <w:rPr>
          <w:rFonts w:ascii="Times New Roman" w:hAnsi="Times New Roman" w:cs="Times New Roman"/>
        </w:rPr>
        <w:t>month prenatal care began.</w:t>
      </w:r>
      <w:r w:rsidR="00D75555">
        <w:rPr>
          <w:rFonts w:ascii="Times New Roman" w:hAnsi="Times New Roman" w:cs="Times New Roman"/>
        </w:rPr>
        <w:t xml:space="preserve"> </w:t>
      </w:r>
    </w:p>
    <w:p w14:paraId="594F217E" w14:textId="77777777" w:rsidR="00D75555" w:rsidRDefault="00000000" w:rsidP="00D75555">
      <w:pPr>
        <w:pStyle w:val="FirstParagraph"/>
        <w:rPr>
          <w:rFonts w:ascii="Times New Roman" w:hAnsi="Times New Roman" w:cs="Times New Roman"/>
        </w:rPr>
      </w:pPr>
      <w:r w:rsidRPr="00D75555">
        <w:rPr>
          <w:rFonts w:ascii="Times New Roman" w:hAnsi="Times New Roman" w:cs="Times New Roman"/>
          <w:noProof/>
        </w:rPr>
        <w:drawing>
          <wp:inline distT="0" distB="0" distL="0" distR="0" wp14:anchorId="034E6E02" wp14:editId="72DEF8BF">
            <wp:extent cx="5334000" cy="4000500"/>
            <wp:effectExtent l="0" t="0" r="0" b="0"/>
            <wp:docPr id="1526753544" name="Picture" descr="Figure 5. Causal-forest feature importance."/>
            <wp:cNvGraphicFramePr/>
            <a:graphic xmlns:a="http://schemas.openxmlformats.org/drawingml/2006/main">
              <a:graphicData uri="http://schemas.openxmlformats.org/drawingml/2006/picture">
                <pic:pic xmlns:pic="http://schemas.openxmlformats.org/drawingml/2006/picture">
                  <pic:nvPicPr>
                    <pic:cNvPr id="0" name="Picture" descr="../figures/06_feature_importance.png"/>
                    <pic:cNvPicPr>
                      <a:picLocks noChangeAspect="1" noChangeArrowheads="1"/>
                    </pic:cNvPicPr>
                  </pic:nvPicPr>
                  <pic:blipFill>
                    <a:blip r:embed="rId10"/>
                    <a:stretch>
                      <a:fillRect/>
                    </a:stretch>
                  </pic:blipFill>
                  <pic:spPr bwMode="auto">
                    <a:xfrm>
                      <a:off x="0" y="0"/>
                      <a:ext cx="5334000" cy="4000500"/>
                    </a:xfrm>
                    <a:prstGeom prst="rect">
                      <a:avLst/>
                    </a:prstGeom>
                    <a:noFill/>
                    <a:ln w="9525">
                      <a:noFill/>
                      <a:headEnd/>
                      <a:tailEnd/>
                    </a:ln>
                  </pic:spPr>
                </pic:pic>
              </a:graphicData>
            </a:graphic>
          </wp:inline>
        </w:drawing>
      </w:r>
      <w:r w:rsidR="00D75555" w:rsidRPr="00D75555">
        <w:rPr>
          <w:rFonts w:ascii="Times New Roman" w:hAnsi="Times New Roman" w:cs="Times New Roman"/>
        </w:rPr>
        <w:t xml:space="preserve"> </w:t>
      </w:r>
    </w:p>
    <w:p w14:paraId="296CD4C0" w14:textId="5C3E339E" w:rsidR="00D75555" w:rsidRPr="00D75555" w:rsidRDefault="00D75555" w:rsidP="00D75555">
      <w:pPr>
        <w:pStyle w:val="FirstParagraph"/>
        <w:rPr>
          <w:rFonts w:ascii="Times New Roman" w:hAnsi="Times New Roman" w:cs="Times New Roman"/>
        </w:rPr>
      </w:pPr>
      <w:r>
        <w:rPr>
          <w:rFonts w:ascii="Times New Roman" w:hAnsi="Times New Roman" w:cs="Times New Roman"/>
        </w:rPr>
        <w:t>Figure 4: Top Features Driving Heterogeneity</w:t>
      </w:r>
    </w:p>
    <w:p w14:paraId="07F32F5D" w14:textId="659F6C6D" w:rsidR="009F1451" w:rsidRPr="00D75555" w:rsidRDefault="00000000">
      <w:pPr>
        <w:pStyle w:val="BodyText"/>
        <w:rPr>
          <w:rFonts w:ascii="Times New Roman" w:hAnsi="Times New Roman" w:cs="Times New Roman"/>
        </w:rPr>
      </w:pPr>
      <w:r w:rsidRPr="00D75555">
        <w:rPr>
          <w:rFonts w:ascii="Times New Roman" w:hAnsi="Times New Roman" w:cs="Times New Roman"/>
        </w:rPr>
        <w:t>This ranking should be interpreted cautiously. Feature importance tells us what the forest used for splits; it does not prove that a variable is a true causal effect modifier</w:t>
      </w:r>
      <w:r w:rsidR="00D75555">
        <w:rPr>
          <w:rFonts w:ascii="Times New Roman" w:hAnsi="Times New Roman" w:cs="Times New Roman"/>
        </w:rPr>
        <w:t>,</w:t>
      </w:r>
      <w:r w:rsidRPr="00D75555">
        <w:rPr>
          <w:rFonts w:ascii="Times New Roman" w:hAnsi="Times New Roman" w:cs="Times New Roman"/>
        </w:rPr>
        <w:t xml:space="preserve"> and the top feature, </w:t>
      </w:r>
      <w:r w:rsidRPr="00D75555">
        <w:rPr>
          <w:rStyle w:val="VerbatimChar"/>
          <w:rFonts w:ascii="Times New Roman" w:hAnsi="Times New Roman" w:cs="Times New Roman"/>
          <w:sz w:val="24"/>
        </w:rPr>
        <w:t>gestat10</w:t>
      </w:r>
      <w:r w:rsidRPr="00D75555">
        <w:rPr>
          <w:rFonts w:ascii="Times New Roman" w:hAnsi="Times New Roman" w:cs="Times New Roman"/>
        </w:rPr>
        <w:t>, is exactly the one the truth BLP shows has essentially zero linear association with the ITE. Most of the next-most-important features are administrative</w:t>
      </w:r>
      <w:r w:rsidR="00D75555">
        <w:rPr>
          <w:rFonts w:ascii="Times New Roman" w:hAnsi="Times New Roman" w:cs="Times New Roman"/>
        </w:rPr>
        <w:t xml:space="preserve">, </w:t>
      </w:r>
      <w:r w:rsidRPr="00D75555">
        <w:rPr>
          <w:rFonts w:ascii="Times New Roman" w:hAnsi="Times New Roman" w:cs="Times New Roman"/>
        </w:rPr>
        <w:t>where and when the birth was recorded, not biological risk factors</w:t>
      </w:r>
      <w:r w:rsidR="00D75555">
        <w:rPr>
          <w:rFonts w:ascii="Times New Roman" w:hAnsi="Times New Roman" w:cs="Times New Roman"/>
        </w:rPr>
        <w:t>,</w:t>
      </w:r>
      <w:r w:rsidRPr="00D75555">
        <w:rPr>
          <w:rFonts w:ascii="Times New Roman" w:hAnsi="Times New Roman" w:cs="Times New Roman"/>
        </w:rPr>
        <w:t xml:space="preserve"> which is another reason to read this ranking as describing forest behavior rather than a corroborated causal mechanism. That is why the BLP and GATE comparisons are useful.</w:t>
      </w:r>
    </w:p>
    <w:p w14:paraId="176CA6C1" w14:textId="5B9F0D9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Pointwise confidence intervals from the causal forest also suggest </w:t>
      </w:r>
      <w:r w:rsidR="00D75555">
        <w:rPr>
          <w:rFonts w:ascii="Times New Roman" w:hAnsi="Times New Roman" w:cs="Times New Roman"/>
        </w:rPr>
        <w:t xml:space="preserve">a </w:t>
      </w:r>
      <w:r w:rsidRPr="00D75555">
        <w:rPr>
          <w:rFonts w:ascii="Times New Roman" w:hAnsi="Times New Roman" w:cs="Times New Roman"/>
        </w:rPr>
        <w:t>more apparent heterogeneity in the longest-gestation group, where 17% of intervals exclude zero. But this is exactly where the benchmark warns that the estimated subgroup pattern may be unstable.</w:t>
      </w:r>
    </w:p>
    <w:p w14:paraId="3E45F4C8" w14:textId="77777777" w:rsidR="009F1451" w:rsidRPr="00D75555" w:rsidRDefault="00000000">
      <w:pPr>
        <w:pStyle w:val="Heading3"/>
        <w:rPr>
          <w:rFonts w:ascii="Times New Roman" w:hAnsi="Times New Roman" w:cs="Times New Roman"/>
          <w:color w:val="auto"/>
        </w:rPr>
      </w:pPr>
      <w:bookmarkStart w:id="11" w:name="X99eaffca6f356ae197a049ac2b4b104e04b89a3"/>
      <w:bookmarkEnd w:id="10"/>
      <w:r w:rsidRPr="00D75555">
        <w:rPr>
          <w:rFonts w:ascii="Times New Roman" w:hAnsi="Times New Roman" w:cs="Times New Roman"/>
          <w:color w:val="auto"/>
        </w:rPr>
        <w:t>5.6 RATE and CATE Refutations</w:t>
      </w:r>
    </w:p>
    <w:p w14:paraId="1CCC7F1D"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 xml:space="preserve">The RATE curve asks whether units ranked as most protective by the causal forest </w:t>
      </w:r>
      <w:proofErr w:type="gramStart"/>
      <w:r w:rsidRPr="00D75555">
        <w:rPr>
          <w:rFonts w:ascii="Times New Roman" w:hAnsi="Times New Roman" w:cs="Times New Roman"/>
        </w:rPr>
        <w:t>actually have</w:t>
      </w:r>
      <w:proofErr w:type="gramEnd"/>
      <w:r w:rsidRPr="00D75555">
        <w:rPr>
          <w:rFonts w:ascii="Times New Roman" w:hAnsi="Times New Roman" w:cs="Times New Roman"/>
        </w:rPr>
        <w:t xml:space="preserve"> larger treatment effects. The curve lies below the overall ATE line for every fraction below 1, so the ranking is useful in direction. The RATE is 0.279.</w:t>
      </w:r>
    </w:p>
    <w:p w14:paraId="34AEF0C1" w14:textId="77777777" w:rsidR="00D75555" w:rsidRDefault="00000000">
      <w:pPr>
        <w:pStyle w:val="BodyText"/>
        <w:rPr>
          <w:rFonts w:ascii="Times New Roman" w:hAnsi="Times New Roman" w:cs="Times New Roman"/>
        </w:rPr>
      </w:pPr>
      <w:r w:rsidRPr="00D75555">
        <w:rPr>
          <w:rFonts w:ascii="Times New Roman" w:hAnsi="Times New Roman" w:cs="Times New Roman"/>
          <w:noProof/>
        </w:rPr>
        <w:lastRenderedPageBreak/>
        <w:drawing>
          <wp:inline distT="0" distB="0" distL="0" distR="0" wp14:anchorId="6EF9B62A" wp14:editId="3BD70EC4">
            <wp:extent cx="4135395" cy="3220995"/>
            <wp:effectExtent l="0" t="0" r="0" b="0"/>
            <wp:docPr id="2119230" name="Picture" descr="Figure 6. RATE / TOC curve for the causal forest."/>
            <wp:cNvGraphicFramePr/>
            <a:graphic xmlns:a="http://schemas.openxmlformats.org/drawingml/2006/main">
              <a:graphicData uri="http://schemas.openxmlformats.org/drawingml/2006/picture">
                <pic:pic xmlns:pic="http://schemas.openxmlformats.org/drawingml/2006/picture">
                  <pic:nvPicPr>
                    <pic:cNvPr id="0" name="Picture" descr="../figures/06_rate_curve.png"/>
                    <pic:cNvPicPr>
                      <a:picLocks noChangeAspect="1" noChangeArrowheads="1"/>
                    </pic:cNvPicPr>
                  </pic:nvPicPr>
                  <pic:blipFill>
                    <a:blip r:embed="rId11"/>
                    <a:stretch>
                      <a:fillRect/>
                    </a:stretch>
                  </pic:blipFill>
                  <pic:spPr bwMode="auto">
                    <a:xfrm>
                      <a:off x="0" y="0"/>
                      <a:ext cx="4145658" cy="3228989"/>
                    </a:xfrm>
                    <a:prstGeom prst="rect">
                      <a:avLst/>
                    </a:prstGeom>
                    <a:noFill/>
                    <a:ln w="9525">
                      <a:noFill/>
                      <a:headEnd/>
                      <a:tailEnd/>
                    </a:ln>
                  </pic:spPr>
                </pic:pic>
              </a:graphicData>
            </a:graphic>
          </wp:inline>
        </w:drawing>
      </w:r>
    </w:p>
    <w:p w14:paraId="6C3548EF" w14:textId="16AAE20E" w:rsidR="009F1451" w:rsidRPr="00D75555" w:rsidRDefault="00D75555">
      <w:pPr>
        <w:pStyle w:val="BodyText"/>
        <w:rPr>
          <w:rFonts w:ascii="Times New Roman" w:hAnsi="Times New Roman" w:cs="Times New Roman"/>
        </w:rPr>
      </w:pPr>
      <w:r>
        <w:rPr>
          <w:rFonts w:ascii="Times New Roman" w:hAnsi="Times New Roman" w:cs="Times New Roman"/>
        </w:rPr>
        <w:t>Figure 5: Targeting Operator Characteristic</w:t>
      </w:r>
    </w:p>
    <w:p w14:paraId="533BEB04"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magnitude should not be over-interpreted because the DR pseudo-outcome can be very large when propensity scores are near the clipping boundary. The useful finding is the direction and shape of the curve, not the exact RATE value.</w:t>
      </w:r>
    </w:p>
    <w:p w14:paraId="3CB3CB66" w14:textId="0C52751B" w:rsidR="009F1451" w:rsidRPr="00D75555" w:rsidRDefault="00000000">
      <w:pPr>
        <w:pStyle w:val="BodyText"/>
        <w:rPr>
          <w:rFonts w:ascii="Times New Roman" w:hAnsi="Times New Roman" w:cs="Times New Roman"/>
        </w:rPr>
      </w:pPr>
      <w:r w:rsidRPr="00D75555">
        <w:rPr>
          <w:rFonts w:ascii="Times New Roman" w:hAnsi="Times New Roman" w:cs="Times New Roman"/>
        </w:rPr>
        <w:t>CATE-level refutations tell a similar story. When treatment is permuted, the DR-learner's mean CATE moves from -0.0250 to -0.0019</w:t>
      </w:r>
      <w:r w:rsidR="00CC1CAB">
        <w:rPr>
          <w:rFonts w:ascii="Times New Roman" w:hAnsi="Times New Roman" w:cs="Times New Roman"/>
        </w:rPr>
        <w:t>,</w:t>
      </w:r>
      <w:r w:rsidRPr="00D75555">
        <w:rPr>
          <w:rFonts w:ascii="Times New Roman" w:hAnsi="Times New Roman" w:cs="Times New Roman"/>
        </w:rPr>
        <w:t xml:space="preserve"> and its spread falls sharply. Adding an irrelevant random covariate leaves the mean essentially unchanged. Subsample refits have a median pointwise SD of 0.0095. These checks suggest the CATE surface is not pure noise, even though some subgroup claims remain unstable.</w:t>
      </w:r>
    </w:p>
    <w:p w14:paraId="588EE4D1" w14:textId="77777777" w:rsidR="009F1451" w:rsidRPr="00D75555" w:rsidRDefault="00000000">
      <w:pPr>
        <w:pStyle w:val="Heading3"/>
        <w:rPr>
          <w:rFonts w:ascii="Times New Roman" w:hAnsi="Times New Roman" w:cs="Times New Roman"/>
          <w:color w:val="auto"/>
        </w:rPr>
      </w:pPr>
      <w:bookmarkStart w:id="12" w:name="X89dfa367a5819010f7a81d69f819f42e54af0c7"/>
      <w:bookmarkEnd w:id="11"/>
      <w:r w:rsidRPr="00D75555">
        <w:rPr>
          <w:rFonts w:ascii="Times New Roman" w:hAnsi="Times New Roman" w:cs="Times New Roman"/>
          <w:color w:val="auto"/>
        </w:rPr>
        <w:t>5.7 Sensitivity to an Unmeasured Confounder</w:t>
      </w:r>
    </w:p>
    <w:p w14:paraId="53F59429" w14:textId="77777777" w:rsidR="00FF6AC4" w:rsidRDefault="00000000">
      <w:pPr>
        <w:pStyle w:val="FirstParagraph"/>
        <w:rPr>
          <w:rFonts w:ascii="Times New Roman" w:hAnsi="Times New Roman" w:cs="Times New Roman"/>
        </w:rPr>
      </w:pPr>
      <w:r w:rsidRPr="00D75555">
        <w:rPr>
          <w:rFonts w:ascii="Times New Roman" w:hAnsi="Times New Roman" w:cs="Times New Roman"/>
        </w:rPr>
        <w:t xml:space="preserve">Finally, I simulate a binary unmeasured confounder </w:t>
      </w:r>
      <w:r w:rsidRPr="00D75555">
        <w:rPr>
          <w:rStyle w:val="VerbatimChar"/>
          <w:rFonts w:ascii="Times New Roman" w:hAnsi="Times New Roman" w:cs="Times New Roman"/>
          <w:sz w:val="24"/>
        </w:rPr>
        <w:t>U</w:t>
      </w:r>
      <w:r w:rsidRPr="00D75555">
        <w:rPr>
          <w:rFonts w:ascii="Times New Roman" w:hAnsi="Times New Roman" w:cs="Times New Roman"/>
        </w:rPr>
        <w:t xml:space="preserve"> with different strengths of association with treatment and outcome, append it to the covariates, and recompute AIPW across a 5 by 5 grid.</w:t>
      </w:r>
      <w:r w:rsidR="00D75555">
        <w:rPr>
          <w:rFonts w:ascii="Times New Roman" w:hAnsi="Times New Roman" w:cs="Times New Roman"/>
        </w:rPr>
        <w:t xml:space="preserve"> </w:t>
      </w:r>
    </w:p>
    <w:p w14:paraId="7CECFAD1" w14:textId="0A7209FB" w:rsidR="009F1451" w:rsidRPr="00D75555" w:rsidRDefault="00D75555">
      <w:pPr>
        <w:pStyle w:val="FirstParagraph"/>
        <w:rPr>
          <w:rFonts w:ascii="Times New Roman" w:hAnsi="Times New Roman" w:cs="Times New Roman"/>
        </w:rPr>
      </w:pPr>
      <w:r>
        <w:rPr>
          <w:rFonts w:ascii="Times New Roman" w:hAnsi="Times New Roman" w:cs="Times New Roman"/>
        </w:rPr>
        <w:t xml:space="preserve">Table 8: </w:t>
      </w:r>
      <w:r w:rsidR="00FF6AC4">
        <w:rPr>
          <w:rFonts w:ascii="Times New Roman" w:hAnsi="Times New Roman" w:cs="Times New Roman"/>
        </w:rPr>
        <w:t>Sensitivity Model Estimate</w:t>
      </w:r>
    </w:p>
    <w:tbl>
      <w:tblPr>
        <w:tblStyle w:val="Table"/>
        <w:tblW w:w="0" w:type="pct"/>
        <w:tblLook w:val="0020" w:firstRow="1" w:lastRow="0" w:firstColumn="0" w:lastColumn="0" w:noHBand="0" w:noVBand="0"/>
      </w:tblPr>
      <w:tblGrid>
        <w:gridCol w:w="1203"/>
        <w:gridCol w:w="956"/>
        <w:gridCol w:w="956"/>
        <w:gridCol w:w="956"/>
        <w:gridCol w:w="956"/>
        <w:gridCol w:w="956"/>
      </w:tblGrid>
      <w:tr w:rsidR="009F1451" w:rsidRPr="00D75555" w14:paraId="28440F9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5F1C6A"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k_T \ k_Y</w:t>
            </w:r>
          </w:p>
        </w:tc>
        <w:tc>
          <w:tcPr>
            <w:tcW w:w="0" w:type="auto"/>
          </w:tcPr>
          <w:p w14:paraId="1DD1C4F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w:t>
            </w:r>
          </w:p>
        </w:tc>
        <w:tc>
          <w:tcPr>
            <w:tcW w:w="0" w:type="auto"/>
          </w:tcPr>
          <w:p w14:paraId="137EAD0C"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0.5</w:t>
            </w:r>
          </w:p>
        </w:tc>
        <w:tc>
          <w:tcPr>
            <w:tcW w:w="0" w:type="auto"/>
          </w:tcPr>
          <w:p w14:paraId="7DC1735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1.0</w:t>
            </w:r>
          </w:p>
        </w:tc>
        <w:tc>
          <w:tcPr>
            <w:tcW w:w="0" w:type="auto"/>
          </w:tcPr>
          <w:p w14:paraId="01736DA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1.5</w:t>
            </w:r>
          </w:p>
        </w:tc>
        <w:tc>
          <w:tcPr>
            <w:tcW w:w="0" w:type="auto"/>
          </w:tcPr>
          <w:p w14:paraId="4441B83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2.0</w:t>
            </w:r>
          </w:p>
        </w:tc>
      </w:tr>
      <w:tr w:rsidR="009F1451" w:rsidRPr="00D75555" w14:paraId="75BBC86A" w14:textId="77777777">
        <w:tc>
          <w:tcPr>
            <w:tcW w:w="0" w:type="auto"/>
          </w:tcPr>
          <w:p w14:paraId="5615CB7F"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0.0</w:t>
            </w:r>
          </w:p>
        </w:tc>
        <w:tc>
          <w:tcPr>
            <w:tcW w:w="0" w:type="auto"/>
          </w:tcPr>
          <w:p w14:paraId="1D2CAC3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-0.0248</w:t>
            </w:r>
          </w:p>
        </w:tc>
        <w:tc>
          <w:tcPr>
            <w:tcW w:w="0" w:type="auto"/>
          </w:tcPr>
          <w:p w14:paraId="55D7951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-0.0241</w:t>
            </w:r>
          </w:p>
        </w:tc>
        <w:tc>
          <w:tcPr>
            <w:tcW w:w="0" w:type="auto"/>
          </w:tcPr>
          <w:p w14:paraId="4A7F8EC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-0.0222</w:t>
            </w:r>
          </w:p>
        </w:tc>
        <w:tc>
          <w:tcPr>
            <w:tcW w:w="0" w:type="auto"/>
          </w:tcPr>
          <w:p w14:paraId="1A94AEE7"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-0.0225</w:t>
            </w:r>
          </w:p>
        </w:tc>
        <w:tc>
          <w:tcPr>
            <w:tcW w:w="0" w:type="auto"/>
          </w:tcPr>
          <w:p w14:paraId="55068226"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-0.0233</w:t>
            </w:r>
          </w:p>
        </w:tc>
      </w:tr>
      <w:tr w:rsidR="009F1451" w:rsidRPr="00D75555" w14:paraId="43C5F9E5" w14:textId="77777777">
        <w:tc>
          <w:tcPr>
            <w:tcW w:w="0" w:type="auto"/>
          </w:tcPr>
          <w:p w14:paraId="400477D4"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0.5</w:t>
            </w:r>
          </w:p>
        </w:tc>
        <w:tc>
          <w:tcPr>
            <w:tcW w:w="0" w:type="auto"/>
          </w:tcPr>
          <w:p w14:paraId="0675DA7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-0.0257</w:t>
            </w:r>
          </w:p>
        </w:tc>
        <w:tc>
          <w:tcPr>
            <w:tcW w:w="0" w:type="auto"/>
          </w:tcPr>
          <w:p w14:paraId="724A773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-0.0303</w:t>
            </w:r>
          </w:p>
        </w:tc>
        <w:tc>
          <w:tcPr>
            <w:tcW w:w="0" w:type="auto"/>
          </w:tcPr>
          <w:p w14:paraId="2DCB97F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-0.0334</w:t>
            </w:r>
          </w:p>
        </w:tc>
        <w:tc>
          <w:tcPr>
            <w:tcW w:w="0" w:type="auto"/>
          </w:tcPr>
          <w:p w14:paraId="7691169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-0.0370</w:t>
            </w:r>
          </w:p>
        </w:tc>
        <w:tc>
          <w:tcPr>
            <w:tcW w:w="0" w:type="auto"/>
          </w:tcPr>
          <w:p w14:paraId="371BE25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-0.0385</w:t>
            </w:r>
          </w:p>
        </w:tc>
      </w:tr>
      <w:tr w:rsidR="009F1451" w:rsidRPr="00D75555" w14:paraId="205D4821" w14:textId="77777777">
        <w:tc>
          <w:tcPr>
            <w:tcW w:w="0" w:type="auto"/>
          </w:tcPr>
          <w:p w14:paraId="1D10901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1.0</w:t>
            </w:r>
          </w:p>
        </w:tc>
        <w:tc>
          <w:tcPr>
            <w:tcW w:w="0" w:type="auto"/>
          </w:tcPr>
          <w:p w14:paraId="1F73E02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-0.0258</w:t>
            </w:r>
          </w:p>
        </w:tc>
        <w:tc>
          <w:tcPr>
            <w:tcW w:w="0" w:type="auto"/>
          </w:tcPr>
          <w:p w14:paraId="3B6A007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-0.0355</w:t>
            </w:r>
          </w:p>
        </w:tc>
        <w:tc>
          <w:tcPr>
            <w:tcW w:w="0" w:type="auto"/>
          </w:tcPr>
          <w:p w14:paraId="6C9FE091"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-0.0432</w:t>
            </w:r>
          </w:p>
        </w:tc>
        <w:tc>
          <w:tcPr>
            <w:tcW w:w="0" w:type="auto"/>
          </w:tcPr>
          <w:p w14:paraId="4C76FBA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-0.0478</w:t>
            </w:r>
          </w:p>
        </w:tc>
        <w:tc>
          <w:tcPr>
            <w:tcW w:w="0" w:type="auto"/>
          </w:tcPr>
          <w:p w14:paraId="0BA05158"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-0.0517</w:t>
            </w:r>
          </w:p>
        </w:tc>
      </w:tr>
      <w:tr w:rsidR="009F1451" w:rsidRPr="00D75555" w14:paraId="3C9EFA4B" w14:textId="77777777">
        <w:tc>
          <w:tcPr>
            <w:tcW w:w="0" w:type="auto"/>
          </w:tcPr>
          <w:p w14:paraId="35A4E571"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1.5</w:t>
            </w:r>
          </w:p>
        </w:tc>
        <w:tc>
          <w:tcPr>
            <w:tcW w:w="0" w:type="auto"/>
          </w:tcPr>
          <w:p w14:paraId="1202F685"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-0.0257</w:t>
            </w:r>
          </w:p>
        </w:tc>
        <w:tc>
          <w:tcPr>
            <w:tcW w:w="0" w:type="auto"/>
          </w:tcPr>
          <w:p w14:paraId="16B8175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-0.0394</w:t>
            </w:r>
          </w:p>
        </w:tc>
        <w:tc>
          <w:tcPr>
            <w:tcW w:w="0" w:type="auto"/>
          </w:tcPr>
          <w:p w14:paraId="2F6377D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-0.0488</w:t>
            </w:r>
          </w:p>
        </w:tc>
        <w:tc>
          <w:tcPr>
            <w:tcW w:w="0" w:type="auto"/>
          </w:tcPr>
          <w:p w14:paraId="15F823E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-0.0560</w:t>
            </w:r>
          </w:p>
        </w:tc>
        <w:tc>
          <w:tcPr>
            <w:tcW w:w="0" w:type="auto"/>
          </w:tcPr>
          <w:p w14:paraId="6B87323B"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-0.0611</w:t>
            </w:r>
          </w:p>
        </w:tc>
      </w:tr>
      <w:tr w:rsidR="009F1451" w:rsidRPr="00D75555" w14:paraId="10112A78" w14:textId="77777777">
        <w:tc>
          <w:tcPr>
            <w:tcW w:w="0" w:type="auto"/>
          </w:tcPr>
          <w:p w14:paraId="39F4E8A3" w14:textId="77777777" w:rsidR="009F1451" w:rsidRPr="00D75555" w:rsidRDefault="00000000">
            <w:pPr>
              <w:pStyle w:val="Compact"/>
              <w:rPr>
                <w:rFonts w:ascii="Times New Roman" w:hAnsi="Times New Roman" w:cs="Times New Roman"/>
              </w:rPr>
            </w:pPr>
            <w:r w:rsidRPr="00D75555">
              <w:rPr>
                <w:rFonts w:ascii="Times New Roman" w:hAnsi="Times New Roman" w:cs="Times New Roman"/>
              </w:rPr>
              <w:t>2.0</w:t>
            </w:r>
          </w:p>
        </w:tc>
        <w:tc>
          <w:tcPr>
            <w:tcW w:w="0" w:type="auto"/>
          </w:tcPr>
          <w:p w14:paraId="038D8372"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-0.0241</w:t>
            </w:r>
          </w:p>
        </w:tc>
        <w:tc>
          <w:tcPr>
            <w:tcW w:w="0" w:type="auto"/>
          </w:tcPr>
          <w:p w14:paraId="66F851CD"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-0.0395</w:t>
            </w:r>
          </w:p>
        </w:tc>
        <w:tc>
          <w:tcPr>
            <w:tcW w:w="0" w:type="auto"/>
          </w:tcPr>
          <w:p w14:paraId="5F6717D0"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-0.0512</w:t>
            </w:r>
          </w:p>
        </w:tc>
        <w:tc>
          <w:tcPr>
            <w:tcW w:w="0" w:type="auto"/>
          </w:tcPr>
          <w:p w14:paraId="11096773"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-0.0618</w:t>
            </w:r>
          </w:p>
        </w:tc>
        <w:tc>
          <w:tcPr>
            <w:tcW w:w="0" w:type="auto"/>
          </w:tcPr>
          <w:p w14:paraId="30D254EF" w14:textId="77777777" w:rsidR="009F1451" w:rsidRPr="00D75555" w:rsidRDefault="00000000">
            <w:pPr>
              <w:pStyle w:val="Compact"/>
              <w:jc w:val="right"/>
              <w:rPr>
                <w:rFonts w:ascii="Times New Roman" w:hAnsi="Times New Roman" w:cs="Times New Roman"/>
              </w:rPr>
            </w:pPr>
            <w:r w:rsidRPr="00D75555">
              <w:rPr>
                <w:rFonts w:ascii="Times New Roman" w:hAnsi="Times New Roman" w:cs="Times New Roman"/>
              </w:rPr>
              <w:t>-0.0673</w:t>
            </w:r>
          </w:p>
        </w:tc>
      </w:tr>
    </w:tbl>
    <w:p w14:paraId="7D9708AB"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lastRenderedPageBreak/>
        <w:t>The estimate remains negative in every cell, so the qualitative conclusion is robust within this sensitivity model. The magnitude changes, so I do not read the exact corner estimates literally. The main point is that the protective sign does not disappear.</w:t>
      </w:r>
    </w:p>
    <w:p w14:paraId="0B31B2B1" w14:textId="77777777" w:rsidR="00FF6AC4" w:rsidRDefault="00000000">
      <w:pPr>
        <w:pStyle w:val="BodyText"/>
        <w:rPr>
          <w:rFonts w:ascii="Times New Roman" w:hAnsi="Times New Roman" w:cs="Times New Roman"/>
        </w:rPr>
      </w:pPr>
      <w:r w:rsidRPr="00D75555">
        <w:rPr>
          <w:rFonts w:ascii="Times New Roman" w:hAnsi="Times New Roman" w:cs="Times New Roman"/>
          <w:noProof/>
        </w:rPr>
        <w:drawing>
          <wp:inline distT="0" distB="0" distL="0" distR="0" wp14:anchorId="154EEA04" wp14:editId="0F744830">
            <wp:extent cx="5060830" cy="4140679"/>
            <wp:effectExtent l="0" t="0" r="0" b="0"/>
            <wp:docPr id="496088478" name="Picture" descr="Figure 7. Sensitivity grid for a simulated unmeasured confounder."/>
            <wp:cNvGraphicFramePr/>
            <a:graphic xmlns:a="http://schemas.openxmlformats.org/drawingml/2006/main">
              <a:graphicData uri="http://schemas.openxmlformats.org/drawingml/2006/picture">
                <pic:pic xmlns:pic="http://schemas.openxmlformats.org/drawingml/2006/picture">
                  <pic:nvPicPr>
                    <pic:cNvPr id="0" name="Picture" descr="../figures/07_sensitivity.png"/>
                    <pic:cNvPicPr>
                      <a:picLocks noChangeAspect="1" noChangeArrowheads="1"/>
                    </pic:cNvPicPr>
                  </pic:nvPicPr>
                  <pic:blipFill>
                    <a:blip r:embed="rId12"/>
                    <a:stretch>
                      <a:fillRect/>
                    </a:stretch>
                  </pic:blipFill>
                  <pic:spPr bwMode="auto">
                    <a:xfrm>
                      <a:off x="0" y="0"/>
                      <a:ext cx="5060830" cy="4140679"/>
                    </a:xfrm>
                    <a:prstGeom prst="rect">
                      <a:avLst/>
                    </a:prstGeom>
                    <a:noFill/>
                    <a:ln w="9525">
                      <a:noFill/>
                      <a:headEnd/>
                      <a:tailEnd/>
                    </a:ln>
                  </pic:spPr>
                </pic:pic>
              </a:graphicData>
            </a:graphic>
          </wp:inline>
        </w:drawing>
      </w:r>
    </w:p>
    <w:p w14:paraId="2634887A" w14:textId="699B7057" w:rsidR="009F1451" w:rsidRPr="00D75555" w:rsidRDefault="00FF6AC4">
      <w:pPr>
        <w:pStyle w:val="BodyText"/>
        <w:rPr>
          <w:rFonts w:ascii="Times New Roman" w:hAnsi="Times New Roman" w:cs="Times New Roman"/>
        </w:rPr>
      </w:pPr>
      <w:r>
        <w:rPr>
          <w:rFonts w:ascii="Times New Roman" w:hAnsi="Times New Roman" w:cs="Times New Roman"/>
        </w:rPr>
        <w:t xml:space="preserve"> Figure 6: Sensitivity to a Single Unmeasured Confounder</w:t>
      </w:r>
    </w:p>
    <w:p w14:paraId="486469A4" w14:textId="77777777" w:rsidR="009F1451" w:rsidRPr="00D75555" w:rsidRDefault="00000000">
      <w:pPr>
        <w:pStyle w:val="Heading2"/>
        <w:rPr>
          <w:rFonts w:ascii="Times New Roman" w:hAnsi="Times New Roman" w:cs="Times New Roman"/>
          <w:color w:val="auto"/>
          <w:sz w:val="24"/>
          <w:szCs w:val="24"/>
        </w:rPr>
      </w:pPr>
      <w:bookmarkStart w:id="13" w:name="X94d9c918f9176a699646e49260f6f2f775dab5a"/>
      <w:bookmarkEnd w:id="5"/>
      <w:bookmarkEnd w:id="12"/>
      <w:r w:rsidRPr="00D75555">
        <w:rPr>
          <w:rFonts w:ascii="Times New Roman" w:hAnsi="Times New Roman" w:cs="Times New Roman"/>
          <w:color w:val="auto"/>
          <w:sz w:val="24"/>
          <w:szCs w:val="24"/>
        </w:rPr>
        <w:t>6. Conclusion and Future Work</w:t>
      </w:r>
    </w:p>
    <w:p w14:paraId="4F3590B1"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The main causal conclusion is that, among same-sex twin pairs where both infants weigh under 2 kg, being the heavier twin lowers one-year mortality by about 2.5 percentage points. The ATE result is stable across outcome regression, AIPW, the within-pair benchmark, refutation tests, and the unmeasured-confounder grid.</w:t>
      </w:r>
    </w:p>
    <w:p w14:paraId="54FCC784"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heterogeneity results are more mixed. The causal forest provides the best CATE ranking, but the GATE and BLP checks show that some subgroup patterns, especially by gestational age, do not survive comparison with the within-pair benchmark. This is the central methodological lesson of the project: an estimator can recover the average effect well while still giving unreliable subgroup stories.</w:t>
      </w:r>
    </w:p>
    <w:p w14:paraId="007EFE68" w14:textId="1DAD2A92"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If I were advising someone running a similar study </w:t>
      </w:r>
      <w:r w:rsidR="00CC1CAB">
        <w:rPr>
          <w:rFonts w:ascii="Times New Roman" w:hAnsi="Times New Roman" w:cs="Times New Roman"/>
        </w:rPr>
        <w:t xml:space="preserve">that includes </w:t>
      </w:r>
      <w:r w:rsidRPr="00D75555">
        <w:rPr>
          <w:rFonts w:ascii="Times New Roman" w:hAnsi="Times New Roman" w:cs="Times New Roman"/>
        </w:rPr>
        <w:t>rare binary outcome, large observational sample, possible unobserved confounding</w:t>
      </w:r>
      <w:r w:rsidR="00CC1CAB">
        <w:rPr>
          <w:rFonts w:ascii="Times New Roman" w:hAnsi="Times New Roman" w:cs="Times New Roman"/>
        </w:rPr>
        <w:t>,</w:t>
      </w:r>
      <w:r w:rsidRPr="00D75555">
        <w:rPr>
          <w:rFonts w:ascii="Times New Roman" w:hAnsi="Times New Roman" w:cs="Times New Roman"/>
        </w:rPr>
        <w:t xml:space="preserve"> I would estimate the ATE with AIPW and report the influence-function SE, run at least one auxiliary estimator like outcome regression as a triangulation check, fit the CATE with a causal forest as the headline method plus at least one orthogonalized meta-learner as a cross-check, and never report subgroup analyses without </w:t>
      </w:r>
      <w:r w:rsidRPr="00D75555">
        <w:rPr>
          <w:rFonts w:ascii="Times New Roman" w:hAnsi="Times New Roman" w:cs="Times New Roman"/>
        </w:rPr>
        <w:lastRenderedPageBreak/>
        <w:t>either a design-based oracle like the Twins benchmark or explicit subgroup-level propensity diagnostics. The biggest single lesson here is that the AIPW ATE and AIPW subgroup effects can be trustworthy and untrustworthy on the same dataset, and nothing inside the AIPW machinery flags it</w:t>
      </w:r>
      <w:r w:rsidR="00CC1CAB">
        <w:rPr>
          <w:rFonts w:ascii="Times New Roman" w:hAnsi="Times New Roman" w:cs="Times New Roman"/>
        </w:rPr>
        <w:t xml:space="preserve">, </w:t>
      </w:r>
      <w:r w:rsidRPr="00D75555">
        <w:rPr>
          <w:rFonts w:ascii="Times New Roman" w:hAnsi="Times New Roman" w:cs="Times New Roman"/>
        </w:rPr>
        <w:t>only an external benchmark does.</w:t>
      </w:r>
    </w:p>
    <w:p w14:paraId="22F27B07"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The study has several limitations. The treatment is a within-pair contrast, not a direct policy intervention. The confounding is simulated, so the bias depends on the assignment rule. Unobserved factors such as placental position are not measured. The binary outcome limits heterogeneity signal, and the results apply only to same-sex twin pairs where both infants weigh under 2 kg.</w:t>
      </w:r>
    </w:p>
    <w:p w14:paraId="4B668B91" w14:textId="1A30AD88" w:rsidR="009F1451" w:rsidRPr="00D75555" w:rsidRDefault="00000000">
      <w:pPr>
        <w:pStyle w:val="BodyText"/>
        <w:rPr>
          <w:rFonts w:ascii="Times New Roman" w:hAnsi="Times New Roman" w:cs="Times New Roman"/>
        </w:rPr>
      </w:pPr>
      <w:r w:rsidRPr="00D75555">
        <w:rPr>
          <w:rFonts w:ascii="Times New Roman" w:hAnsi="Times New Roman" w:cs="Times New Roman"/>
        </w:rPr>
        <w:t>Future work should tune CATE hyperparameters using held-out R-loss or DR-score MSE</w:t>
      </w:r>
      <w:r w:rsidR="000001E9">
        <w:rPr>
          <w:rFonts w:ascii="Times New Roman" w:hAnsi="Times New Roman" w:cs="Times New Roman"/>
        </w:rPr>
        <w:t>. This is because current tuning optimizes nuisance prediction, but R-loss or DR-score MSE are losses that target CATE directly, so the model picks hyperparameters to minimize the causal error, not predictive error. This may fix our near-zero rank correlation seen earlier. Another is to</w:t>
      </w:r>
      <w:r w:rsidRPr="00D75555">
        <w:rPr>
          <w:rFonts w:ascii="Times New Roman" w:hAnsi="Times New Roman" w:cs="Times New Roman"/>
        </w:rPr>
        <w:t xml:space="preserve"> compare subgroup AIPW </w:t>
      </w:r>
      <w:r w:rsidR="000001E9">
        <w:rPr>
          <w:rFonts w:ascii="Times New Roman" w:hAnsi="Times New Roman" w:cs="Times New Roman"/>
        </w:rPr>
        <w:t xml:space="preserve">as a correction </w:t>
      </w:r>
      <w:r w:rsidRPr="00D75555">
        <w:rPr>
          <w:rFonts w:ascii="Times New Roman" w:hAnsi="Times New Roman" w:cs="Times New Roman"/>
        </w:rPr>
        <w:t>against TMLE</w:t>
      </w:r>
      <w:r w:rsidR="000001E9">
        <w:rPr>
          <w:rFonts w:ascii="Times New Roman" w:hAnsi="Times New Roman" w:cs="Times New Roman"/>
        </w:rPr>
        <w:t xml:space="preserve"> for stronger triangulation, which disagreement may reveal which estimator is breaking. The third is to a</w:t>
      </w:r>
      <w:r w:rsidRPr="00D75555">
        <w:rPr>
          <w:rFonts w:ascii="Times New Roman" w:hAnsi="Times New Roman" w:cs="Times New Roman"/>
        </w:rPr>
        <w:t>dd subgroup-level propensity diagnostics</w:t>
      </w:r>
      <w:r w:rsidR="000001E9">
        <w:rPr>
          <w:rFonts w:ascii="Times New Roman" w:hAnsi="Times New Roman" w:cs="Times New Roman"/>
        </w:rPr>
        <w:t xml:space="preserve"> to show whether Q3’s instability was from sparse positivity, rare outcome, or noisy nuisances</w:t>
      </w:r>
      <w:r w:rsidR="002E5FFD">
        <w:rPr>
          <w:rFonts w:ascii="Times New Roman" w:hAnsi="Times New Roman" w:cs="Times New Roman"/>
        </w:rPr>
        <w:t xml:space="preserve">. Lastly, future work should </w:t>
      </w:r>
      <w:r w:rsidRPr="00D75555">
        <w:rPr>
          <w:rFonts w:ascii="Times New Roman" w:hAnsi="Times New Roman" w:cs="Times New Roman"/>
        </w:rPr>
        <w:t>study the original non-simulated assignment with a fixed-effects twin design</w:t>
      </w:r>
      <w:r w:rsidR="002E5FFD">
        <w:rPr>
          <w:rFonts w:ascii="Times New Roman" w:hAnsi="Times New Roman" w:cs="Times New Roman"/>
        </w:rPr>
        <w:t xml:space="preserve">, which removes the stimulated confounding effects and provides a cleaner identification strategy than the simulated benchmark. </w:t>
      </w:r>
    </w:p>
    <w:p w14:paraId="38051EB8" w14:textId="77777777" w:rsidR="009F1451" w:rsidRPr="00D75555" w:rsidRDefault="00000000">
      <w:pPr>
        <w:pStyle w:val="Heading2"/>
        <w:rPr>
          <w:rFonts w:ascii="Times New Roman" w:hAnsi="Times New Roman" w:cs="Times New Roman"/>
          <w:color w:val="auto"/>
          <w:sz w:val="24"/>
          <w:szCs w:val="24"/>
        </w:rPr>
      </w:pPr>
      <w:bookmarkStart w:id="14" w:name="Xcf0a9cdf0183cc45bba4d49a594e1d1230b8ef5"/>
      <w:bookmarkEnd w:id="13"/>
      <w:r w:rsidRPr="00D75555">
        <w:rPr>
          <w:rFonts w:ascii="Times New Roman" w:hAnsi="Times New Roman" w:cs="Times New Roman"/>
          <w:color w:val="auto"/>
          <w:sz w:val="24"/>
          <w:szCs w:val="24"/>
        </w:rPr>
        <w:t>7. Code Repository</w:t>
      </w:r>
    </w:p>
    <w:p w14:paraId="37783D54" w14:textId="77777777" w:rsidR="009F1451" w:rsidRPr="00D75555" w:rsidRDefault="00000000">
      <w:pPr>
        <w:pStyle w:val="FirstParagraph"/>
        <w:rPr>
          <w:rFonts w:ascii="Times New Roman" w:hAnsi="Times New Roman" w:cs="Times New Roman"/>
        </w:rPr>
      </w:pPr>
      <w:r w:rsidRPr="00D75555">
        <w:rPr>
          <w:rFonts w:ascii="Times New Roman" w:hAnsi="Times New Roman" w:cs="Times New Roman"/>
        </w:rPr>
        <w:t xml:space="preserve">Repository: </w:t>
      </w:r>
      <w:r w:rsidRPr="00D75555">
        <w:rPr>
          <w:rStyle w:val="VerbatimChar"/>
          <w:rFonts w:ascii="Times New Roman" w:hAnsi="Times New Roman" w:cs="Times New Roman"/>
          <w:sz w:val="24"/>
        </w:rPr>
        <w:t>https://github.com/yamashann/twins-cate-project</w:t>
      </w:r>
    </w:p>
    <w:p w14:paraId="1AD59A1B" w14:textId="77777777" w:rsidR="009F1451" w:rsidRPr="00D75555" w:rsidRDefault="00000000">
      <w:pPr>
        <w:pStyle w:val="BodyText"/>
        <w:rPr>
          <w:rFonts w:ascii="Times New Roman" w:hAnsi="Times New Roman" w:cs="Times New Roman"/>
        </w:rPr>
      </w:pPr>
      <w:r w:rsidRPr="00D75555">
        <w:rPr>
          <w:rFonts w:ascii="Times New Roman" w:hAnsi="Times New Roman" w:cs="Times New Roman"/>
        </w:rPr>
        <w:t xml:space="preserve">The full pipeline is </w:t>
      </w:r>
      <w:r w:rsidRPr="00D75555">
        <w:rPr>
          <w:rStyle w:val="VerbatimChar"/>
          <w:rFonts w:ascii="Times New Roman" w:hAnsi="Times New Roman" w:cs="Times New Roman"/>
          <w:sz w:val="24"/>
        </w:rPr>
        <w:t>python scripts/run_all.py</w:t>
      </w:r>
      <w:r w:rsidRPr="00D75555">
        <w:rPr>
          <w:rFonts w:ascii="Times New Roman" w:hAnsi="Times New Roman" w:cs="Times New Roman"/>
        </w:rPr>
        <w:t>. It runs EDA, DAG rendering, ATE and CATE estimation, refutations, validation, and sensitivity analysis.</w:t>
      </w:r>
    </w:p>
    <w:p w14:paraId="30E4E6D4" w14:textId="58781C98" w:rsidR="00FF6AC4" w:rsidRPr="00FF6AC4" w:rsidRDefault="00000000" w:rsidP="00FF6AC4">
      <w:pPr>
        <w:pStyle w:val="Heading2"/>
        <w:rPr>
          <w:rFonts w:ascii="Times New Roman" w:hAnsi="Times New Roman" w:cs="Times New Roman"/>
          <w:color w:val="auto"/>
          <w:sz w:val="24"/>
          <w:szCs w:val="24"/>
        </w:rPr>
      </w:pPr>
      <w:bookmarkStart w:id="15" w:name="references"/>
      <w:bookmarkEnd w:id="14"/>
      <w:r w:rsidRPr="00D75555">
        <w:rPr>
          <w:rFonts w:ascii="Times New Roman" w:hAnsi="Times New Roman" w:cs="Times New Roman"/>
          <w:color w:val="auto"/>
          <w:sz w:val="24"/>
          <w:szCs w:val="24"/>
        </w:rPr>
        <w:t>References</w:t>
      </w:r>
    </w:p>
    <w:p w14:paraId="1A67473B"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Almond, D., Chay, K., &amp; Lee, D. (2005). The costs of low birthweight. QJE, 120(3).</w:t>
      </w:r>
    </w:p>
    <w:p w14:paraId="07247469"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Athey, S., Tibshirani, J., &amp; Wager, S. (2019). Generalized random forests. Annals of Statistics, 47(2).</w:t>
      </w:r>
    </w:p>
    <w:p w14:paraId="1C9288AF"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Kennedy, E. H. (2023). Towards optimal doubly robust estimation of heterogeneous causal effects. Electronic Journal of Statistics.</w:t>
      </w:r>
    </w:p>
    <w:p w14:paraId="3C925F51" w14:textId="33A889D5"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K</w:t>
      </w:r>
      <w:r w:rsidR="00FF6AC4">
        <w:rPr>
          <w:rFonts w:ascii="Times New Roman" w:hAnsi="Times New Roman" w:cs="Times New Roman"/>
        </w:rPr>
        <w:t>u</w:t>
      </w:r>
      <w:r w:rsidRPr="00D75555">
        <w:rPr>
          <w:rFonts w:ascii="Times New Roman" w:hAnsi="Times New Roman" w:cs="Times New Roman"/>
        </w:rPr>
        <w:t>nzel, S., Sekhon, J., Bickel, P., &amp; Yu, B. (2019). Metalearners for estimating heterogeneous treatment effects using machine learning. PNAS, 116(10).</w:t>
      </w:r>
    </w:p>
    <w:p w14:paraId="565F73AD"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Louizos, C., Shalit, U., Mooij, J., Sontag, D., Zemel, R., &amp; Welling, M. (2017). Causal effect inference with deep latent-variable models. NeurIPS.</w:t>
      </w:r>
    </w:p>
    <w:p w14:paraId="26E5981B"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Nie, X., &amp; Wager, S. (2021). Quasi-oracle estimation of heterogeneous treatment effects. Biometrika, 108(2).</w:t>
      </w:r>
    </w:p>
    <w:p w14:paraId="5108F8A2"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Semenova, V., &amp; Chernozhukov, V. (2021). Debiased machine learning of conditional average treatment effects and other causal functions. Econometrics Journal, 24(2).</w:t>
      </w:r>
    </w:p>
    <w:p w14:paraId="60373ADD"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Sharma, A., &amp; Kiciman, E. (2020). DoWhy: an end-to-end library for causal inference. arXiv:2011.04216.</w:t>
      </w:r>
    </w:p>
    <w:p w14:paraId="41DA0C39"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t>Wager, S., &amp; Athey, S. (2018). Estimation and inference of heterogeneous treatment effects using random forests. JASA, 113(523).</w:t>
      </w:r>
    </w:p>
    <w:p w14:paraId="6513BBAC" w14:textId="77777777" w:rsidR="009F1451" w:rsidRPr="00D75555" w:rsidRDefault="00000000" w:rsidP="00FF6AC4">
      <w:pPr>
        <w:pStyle w:val="Compact"/>
        <w:ind w:left="720" w:hanging="720"/>
        <w:rPr>
          <w:rFonts w:ascii="Times New Roman" w:hAnsi="Times New Roman" w:cs="Times New Roman"/>
        </w:rPr>
      </w:pPr>
      <w:r w:rsidRPr="00D75555">
        <w:rPr>
          <w:rFonts w:ascii="Times New Roman" w:hAnsi="Times New Roman" w:cs="Times New Roman"/>
        </w:rPr>
        <w:lastRenderedPageBreak/>
        <w:t>Yadlowsky, S., Fleming, S., Shah, N., Brunskill, E., &amp; Wager, S. (2025). Evaluating treatment prioritization rules via rank-weighted average treatment effects. JASA.</w:t>
      </w:r>
      <w:bookmarkEnd w:id="0"/>
      <w:bookmarkEnd w:id="15"/>
    </w:p>
    <w:sectPr w:rsidR="009F1451" w:rsidRPr="00D755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B656C" w14:textId="77777777" w:rsidR="004023AD" w:rsidRDefault="004023AD">
      <w:pPr>
        <w:spacing w:after="0"/>
      </w:pPr>
      <w:r>
        <w:separator/>
      </w:r>
    </w:p>
  </w:endnote>
  <w:endnote w:type="continuationSeparator" w:id="0">
    <w:p w14:paraId="62888231" w14:textId="77777777" w:rsidR="004023AD" w:rsidRDefault="004023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82EC" w14:textId="77777777" w:rsidR="004023AD" w:rsidRDefault="004023AD">
      <w:r>
        <w:separator/>
      </w:r>
    </w:p>
  </w:footnote>
  <w:footnote w:type="continuationSeparator" w:id="0">
    <w:p w14:paraId="35D1D585" w14:textId="77777777" w:rsidR="004023AD" w:rsidRDefault="00402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5C03A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61A206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BC64D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39169521">
    <w:abstractNumId w:val="1"/>
  </w:num>
  <w:num w:numId="2" w16cid:durableId="1146823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2140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01E9"/>
    <w:rsid w:val="00011C8B"/>
    <w:rsid w:val="0016647A"/>
    <w:rsid w:val="002E5FFD"/>
    <w:rsid w:val="002E761B"/>
    <w:rsid w:val="004023AD"/>
    <w:rsid w:val="00471809"/>
    <w:rsid w:val="004E29B3"/>
    <w:rsid w:val="00590D07"/>
    <w:rsid w:val="00784D58"/>
    <w:rsid w:val="008D6863"/>
    <w:rsid w:val="009F1451"/>
    <w:rsid w:val="00AF2FDC"/>
    <w:rsid w:val="00B86B75"/>
    <w:rsid w:val="00BC48D5"/>
    <w:rsid w:val="00C36279"/>
    <w:rsid w:val="00CC1CAB"/>
    <w:rsid w:val="00CE5534"/>
    <w:rsid w:val="00D75555"/>
    <w:rsid w:val="00E315A3"/>
    <w:rsid w:val="00FF3FAC"/>
    <w:rsid w:val="00FF6AC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9F408"/>
  <w15:docId w15:val="{25527B79-540B-6F47-A085-2D0FDF97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inlinemarkdownx0d1c75">
    <w:name w:val="_inlinemarkdown_x0d1c_75"/>
    <w:basedOn w:val="DefaultParagraphFont"/>
    <w:rsid w:val="00D75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3215</Words>
  <Characters>18330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The Causal Effect of Birthweight on Infant Mortality in the Twins Dataset</vt:lpstr>
    </vt:vector>
  </TitlesOfParts>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Causal Effect of Birthweight on Infant Mortality in the Twins Dataset</dc:title>
  <dc:creator/>
  <cp:keywords/>
  <cp:lastModifiedBy>Hannah Yamashita</cp:lastModifiedBy>
  <cp:revision>11</cp:revision>
  <dcterms:created xsi:type="dcterms:W3CDTF">2026-05-27T21:12:00Z</dcterms:created>
  <dcterms:modified xsi:type="dcterms:W3CDTF">2026-05-28T01:13:00Z</dcterms:modified>
</cp:coreProperties>
</file>