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Документация проекта TrendSpotting</w:t>
      </w:r>
    </w:p>
    <w:p>
      <w:pPr>
        <w:keepLines/>
      </w:pPr>
      <w:r>
        <w:t>Назначение, устройство, обучение модели и запуск сайта</w:t>
      </w:r>
    </w:p>
    <w:p>
      <w:pPr>
        <w:keepLines/>
      </w:pPr>
      <w:r>
        <w:t>TrendSpotting ищет научные публикации по указанной области или технологии и показывает до 15 кандидатов в слабые технологические сигналы. Этот документ помогает развернуть сайт, понять происхождение результата и отделить рабочий поиск от офлайн-сбора данных и обучения модели. Описание составлено по текущему состоянию репозитория; секретные значения из .env в него не включены.</w:t>
      </w:r>
    </w:p>
    <w:p>
      <w:pPr>
        <w:pStyle w:val="Heading1"/>
      </w:pPr>
      <w:r>
        <w:t>Как работает проект</w:t>
      </w:r>
    </w:p>
    <w:p>
      <w:pPr>
        <w:pStyle w:val="ListNumber"/>
        <w:keepLines/>
        <w:spacing w:after="80"/>
      </w:pPr>
      <w:r>
        <w:t>Пользователь вводит направление на главной странице. Языковая модель приводит запрос к короткой англоязычной формулировке для поиска.</w:t>
      </w:r>
    </w:p>
    <w:p>
      <w:pPr>
        <w:pStyle w:val="ListNumber"/>
        <w:keepLines/>
        <w:spacing w:after="80"/>
      </w:pPr>
      <w:r>
        <w:t>Парсер получает стартовые работы OpenAlex, выбирает подходящие темы, расширяет поиск, убирает повторы и фильтрует нерелевантные работы. Основной предел расширенного сбора — 5000 статей.</w:t>
      </w:r>
    </w:p>
    <w:p>
      <w:pPr>
        <w:pStyle w:val="ListNumber"/>
        <w:keepLines/>
        <w:spacing w:after="80"/>
      </w:pPr>
      <w:r>
        <w:t>preprocessing/create_features.py рассчитывает признаки статьи и её научного окружения. Сохранённая CatBoost-модель оценивает каждую статью; затем сайт применяет дополнительные фильтры релевантности и разнообразия.</w:t>
      </w:r>
    </w:p>
    <w:p>
      <w:pPr>
        <w:pStyle w:val="ListNumber"/>
        <w:keepLines/>
        <w:spacing w:after="80"/>
      </w:pPr>
      <w:r>
        <w:t>Через VseLLM модель qwen/qwen3.7-flash подготавливает русскоязычные тексты карточек. На странице статьи отдельно загружаются близкие источники и годовая статистика OpenAlex.</w:t>
      </w:r>
    </w:p>
    <w:p>
      <w:pPr>
        <w:keepLines/>
      </w:pPr>
      <w:r>
        <w:t>Поиск выполняется в фоновой очереди одного процесса. Бюджет 19 минут 30 секунд действует кооперативно: начатый сетевой вызов не прерывается посередине, а следующие партии прекращаются по мере проверки времени. При неполном поиске используются уже полученные данные. Готовые результаты сохраняются в website/data и могут использоваться повторно; незавершённое задание после перезапуска нужно отправить заново.</w:t>
      </w:r>
    </w:p>
    <w:p>
      <w:pPr>
        <w:pStyle w:val="Heading1"/>
      </w:pPr>
      <w:r>
        <w:t>Структура репозитория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/>
        </w:trPr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Путь</w:t>
            </w:r>
          </w:p>
        </w:tc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Назначение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website/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Django, страницы, фоновые задания, ранжирование, карточки, графики и кэш поиска.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on_demand_parsing/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Сбор корпуса OpenAlex для одного пользовательского запроса, нормализация и отбор работ.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preprocessing/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Расчёт признаков для рабочего поиска и офлайн-таблицы обучения.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outputs/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Сохранённые CatBoost-модели, пороги и отчёты экспериментов.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download_dataset/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Офлайн-сбор обучающих корпусов OpenAlex, конфигурации, экспорт и проверка.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education/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Обучение и сравнение моделей на подготовленном датасете.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education2/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Локальные дополнительные эксперименты и ручные проверки; в Docker-образ не входит.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vsellm_chat.py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Общий клиент OpenAI SDK для совместимого API VseLLM.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Dockerfile, compose.yaml</w:t>
            </w:r>
          </w:p>
        </w:tc>
        <w:tc>
          <w:tcPr>
            <w:tcW w:type="dxa" w:w="741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Сборка и запуск сайта в контейнере; подключение постоянных томов.</w:t>
            </w:r>
          </w:p>
        </w:tc>
      </w:tr>
    </w:tbl>
    <w:p>
      <w:pPr>
        <w:spacing w:after="0"/>
      </w:pPr>
    </w:p>
    <w:p>
      <w:pPr>
        <w:keepLines/>
      </w:pPr>
      <w:r>
        <w:t>Офлайн-сбор и обучение не запускаются при поиске на сайте. Docker-образ включает рабочий код, одну модель и её метрики; исходный большой корпус в образ не копируется.</w:t>
      </w:r>
    </w:p>
    <w:p>
      <w:pPr>
        <w:pStyle w:val="Heading1"/>
      </w:pPr>
      <w:r>
        <w:t>Поиск и отображение результата</w:t>
      </w:r>
    </w:p>
    <w:p>
      <w:pPr>
        <w:pStyle w:val="Heading2"/>
      </w:pPr>
      <w:r>
        <w:t>Сбор и ранжирование</w:t>
      </w:r>
    </w:p>
    <w:p>
      <w:pPr>
        <w:keepLines/>
      </w:pPr>
      <w:r>
        <w:t>Точка входа парсера — on_demand_parsing/parser.py. Запрос проходит через query_normalizer.py, OpenAlex-клиент, выбор тем и расширенный сбор в main_collection.py. Корпус сохраняется в Parquet. website/main.py строит признаки, загружает outputs/catboost_splits/random/catboost_model.cbm и порог из соседнего metrics.json, отсеивает нерелевантные и однотипные статьи. На странице показывается максимум 15 карточек.</w:t>
      </w:r>
    </w:p>
    <w:p>
      <w:pPr>
        <w:keepLines/>
      </w:pPr>
      <w:r>
        <w:t>CatBoost оценивает статью, а не существование тренда. Выводы языковой модели и график публикаций служат пояснением кандидата, но требуют проверки по первоисточникам. График строится по тематической годовой статистике OpenAlex; список близких статей на странице карточки подбирается отдельно и может иметь более строгие условия отбора. Данные текущего года могут быть неполными.</w:t>
      </w:r>
    </w:p>
    <w:p>
      <w:pPr>
        <w:pStyle w:val="Heading2"/>
      </w:pPr>
      <w:r>
        <w:t>Интерфейс и адреса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rPr>
          <w:tblHeader/>
        </w:trPr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Адрес</w:t>
            </w:r>
          </w:p>
        </w:tc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Что показывает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/</w:t>
            </w:r>
          </w:p>
        </w:tc>
        <w:tc>
          <w:tcPr>
            <w:tcW w:type="dxa" w:w="67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Форма поиска, состояние и готовые карточки.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/search/status/</w:t>
            </w:r>
          </w:p>
        </w:tc>
        <w:tc>
          <w:tcPr>
            <w:tcW w:type="dxa" w:w="67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Статус фонового поиска для браузера.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/trend/&lt;slug&gt;/</w:t>
            </w:r>
          </w:p>
        </w:tc>
        <w:tc>
          <w:tcPr>
            <w:tcW w:type="dxa" w:w="67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Детальная страница статьи и пояснения.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/trend/&lt;slug&gt;/evidence-status/</w:t>
            </w:r>
          </w:p>
        </w:tc>
        <w:tc>
          <w:tcPr>
            <w:tcW w:type="dxa" w:w="67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Состояние подбора источников для детальной страницы.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/how-it-works/</w:t>
            </w:r>
          </w:p>
        </w:tc>
        <w:tc>
          <w:tcPr>
            <w:tcW w:type="dxa" w:w="67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Описание метода для посетителя.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/about/</w:t>
            </w:r>
          </w:p>
        </w:tc>
        <w:tc>
          <w:tcPr>
            <w:tcW w:type="dxa" w:w="67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Информация о проекте.</w:t>
            </w:r>
          </w:p>
        </w:tc>
      </w:tr>
    </w:tbl>
    <w:p>
      <w:pPr>
        <w:spacing w:after="0"/>
      </w:pPr>
    </w:p>
    <w:p>
      <w:pPr>
        <w:pStyle w:val="Heading1"/>
      </w:pPr>
      <w:r>
        <w:t>Данные и модель</w:t>
      </w:r>
    </w:p>
    <w:p>
      <w:pPr>
        <w:keepLines/>
      </w:pPr>
      <w:r>
        <w:t>download_dataset/ содержит два офлайн-сборщика. Актуальная конфигурация нового корпуса находится в download_dataset/new_dataset/config_new.json: цель — 1 000 000 работ OpenAlex за 2017–2026 годы. После экспорта preprocessing/create_features.py формирует final_openalex_dataset.parquet. Признак target_emergence — историческая метка для обучения, а не известный факт о новых публикациях.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656"/>
        <w:gridCol w:w="5544"/>
      </w:tblGrid>
      <w:tr>
        <w:trPr>
          <w:tblHeader/>
        </w:trPr>
        <w:tc>
          <w:tcPr>
            <w:tcW w:type="dxa" w:w="3264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Группа в новом корпусе</w:t>
            </w:r>
          </w:p>
        </w:tc>
        <w:tc>
          <w:tcPr>
            <w:tcW w:type="dxa" w:w="3264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Годы</w:t>
            </w:r>
          </w:p>
        </w:tc>
        <w:tc>
          <w:tcPr>
            <w:tcW w:type="dxa" w:w="3264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Использование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past_support_only</w:t>
            </w:r>
          </w:p>
        </w:tc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2017–2019</w:t>
            </w:r>
          </w:p>
        </w:tc>
        <w:tc>
          <w:tcPr>
            <w:tcW w:type="dxa" w:w="55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Исторический контекст признаков.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train</w:t>
            </w:r>
          </w:p>
        </w:tc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2020–2021</w:t>
            </w:r>
          </w:p>
        </w:tc>
        <w:tc>
          <w:tcPr>
            <w:tcW w:type="dxa" w:w="55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Обучение модели.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valid</w:t>
            </w:r>
          </w:p>
        </w:tc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2022</w:t>
            </w:r>
          </w:p>
        </w:tc>
        <w:tc>
          <w:tcPr>
            <w:tcW w:type="dxa" w:w="55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Выбор параметров и порога.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test</w:t>
            </w:r>
          </w:p>
        </w:tc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2023</w:t>
            </w:r>
          </w:p>
        </w:tc>
        <w:tc>
          <w:tcPr>
            <w:tcW w:type="dxa" w:w="55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Отложенная проверка на более новом годе.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target_support_only</w:t>
            </w:r>
          </w:p>
        </w:tc>
        <w:tc>
          <w:tcPr>
            <w:tcW w:type="dxa" w:w="1656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2024–2026</w:t>
            </w:r>
          </w:p>
        </w:tc>
        <w:tc>
          <w:tcPr>
            <w:tcW w:type="dxa" w:w="554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Поддержка расчёта исторических меток.</w:t>
            </w:r>
          </w:p>
        </w:tc>
      </w:tr>
    </w:tbl>
    <w:p>
      <w:pPr>
        <w:spacing w:after="0"/>
      </w:pPr>
    </w:p>
    <w:p>
      <w:pPr>
        <w:keepLines/>
      </w:pPr>
      <w:r>
        <w:t>education/test/traing_random_temporal.py сравнивает случайное и временное разбиение. Рабочий сайт сейчас загружает модель из outputs/catboost_splits/random/. Случайное разбиение может давать более оптимистичную оценку, чем проверка на будущих годах; его метрики нельзя напрямую переносить на новые публикации. Папка education2/ содержит локальные эксперименты и не подменяет рабочую модель автоматически.</w:t>
      </w:r>
    </w:p>
    <w:p>
      <w:pPr>
        <w:pStyle w:val="Heading2"/>
      </w:pPr>
      <w:r>
        <w:t>Замена модели</w:t>
      </w:r>
    </w:p>
    <w:p>
      <w:pPr>
        <w:pStyle w:val="ListBullet"/>
        <w:keepLines/>
        <w:spacing w:after="60"/>
      </w:pPr>
      <w:r>
        <w:t>Подготовить и проверить датасет, исключив признаки, которые недоступны в момент реального поиска.</w:t>
      </w:r>
    </w:p>
    <w:p>
      <w:pPr>
        <w:pStyle w:val="ListBullet"/>
        <w:keepLines/>
        <w:spacing w:after="60"/>
      </w:pPr>
      <w:r>
        <w:t>Оценить новую модель на независимом временном тесте и сохранить точный список входных признаков и порог.</w:t>
      </w:r>
    </w:p>
    <w:p>
      <w:pPr>
        <w:pStyle w:val="ListBullet"/>
        <w:keepLines/>
        <w:spacing w:after="60"/>
      </w:pPr>
      <w:r>
        <w:t>Проверить совместимость с признаками preprocessing/create_features.py, изменить путь модели в website/main.py при необходимости, затем прогнать тесты и реальный запрос.</w:t>
      </w:r>
    </w:p>
    <w:p>
      <w:pPr>
        <w:pStyle w:val="Heading1"/>
      </w:pPr>
      <w:r>
        <w:t>Настройка и развёртывание</w:t>
      </w:r>
    </w:p>
    <w:p>
      <w:pPr>
        <w:keepLines/>
      </w:pPr>
      <w:r>
        <w:t>Для запуска сайта нужны ключи OpenAlex и VseLLM, а также настройки Django. Создайте .env из .env.example в корне проекта. В .env указываются реальные значения; сам файл не следует публиковать в репозитории или передавать вместе с документацией.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840"/>
      </w:tblGrid>
      <w:tr>
        <w:trPr>
          <w:tblHeader/>
        </w:trPr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Переменная</w:t>
            </w:r>
          </w:p>
        </w:tc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Назначение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OPENALEX_API_KEY</w:t>
            </w:r>
          </w:p>
        </w:tc>
        <w:tc>
          <w:tcPr>
            <w:tcW w:type="dxa" w:w="68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Доступ к API OpenAlex.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VSELLM_API_KEY</w:t>
            </w:r>
          </w:p>
        </w:tc>
        <w:tc>
          <w:tcPr>
            <w:tcW w:type="dxa" w:w="68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Доступ к VseLLM для запросов к qwen/qwen3.7-flash.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DJANGO_SECRET_KEY</w:t>
            </w:r>
          </w:p>
        </w:tc>
        <w:tc>
          <w:tcPr>
            <w:tcW w:type="dxa" w:w="68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Длинное случайное значение для Django.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DJANGO_ALLOWED_HOSTS</w:t>
            </w:r>
          </w:p>
        </w:tc>
        <w:tc>
          <w:tcPr>
            <w:tcW w:type="dxa" w:w="68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Публичный IP или домен без схемы и порта; это не поле для API-ключа.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DJANGO_DEBUG</w:t>
            </w:r>
          </w:p>
        </w:tc>
        <w:tc>
          <w:tcPr>
            <w:tcW w:type="dxa" w:w="68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Для публичного сервера установить 0.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HOST_BIND</w:t>
            </w:r>
          </w:p>
        </w:tc>
        <w:tc>
          <w:tcPr>
            <w:tcW w:type="dxa" w:w="68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0.0.0.0 для доступа извне; 127.0.0.1 для доступа только с сервера.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PORT</w:t>
            </w:r>
          </w:p>
        </w:tc>
        <w:tc>
          <w:tcPr>
            <w:tcW w:type="dxa" w:w="6840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Публикуемый порт хоста; по умолчанию 8000.</w:t>
            </w:r>
          </w:p>
        </w:tc>
      </w:tr>
    </w:tbl>
    <w:p>
      <w:pPr>
        <w:spacing w:after="0"/>
      </w:pPr>
    </w:p>
    <w:p>
      <w:pPr>
        <w:pStyle w:val="Heading2"/>
      </w:pPr>
      <w:r>
        <w:t>Запуск через Docker Compose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docker compose up -d --build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docker compose ps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docker compose logs --tail=100 web</w:t>
      </w:r>
    </w:p>
    <w:p>
      <w:pPr>
        <w:keepLines/>
      </w:pPr>
      <w:r>
        <w:t>После запуска откройте http://&lt;публичный_IP&gt;:8000/. Для внешнего доступа должны совпасть публичный IP в DJANGO_ALLOWED_HOSTS, HOST_BIND=0.0.0.0 и открытый порт на сервере и у провайдера. Без обратного прокси используется HTTP без шифрования; для публичной эксплуатации с чувствительными данными нужен HTTPS.</w:t>
      </w:r>
    </w:p>
    <w:p>
      <w:pPr>
        <w:keepLines/>
      </w:pPr>
      <w:r>
        <w:t>После изменения .env пересоздайте веб-контейнер командой docker compose up -d --force-recreate --no-deps web. Для остановки используйте docker compose down. Эта команда сохраняет именованные тома site_data, parser_logs и huggingface_cache. Команда docker compose down -v удаляет их вместе с сохранёнными результатами и кэшем; используйте её только если эти данные больше не нужны.</w:t>
      </w:r>
    </w:p>
    <w:p>
      <w:pPr>
        <w:pStyle w:val="Heading2"/>
      </w:pPr>
      <w:r>
        <w:t>Запуск без Docker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pip install -r requirements.txt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python website/manage.py runserver</w:t>
      </w:r>
    </w:p>
    <w:p>
      <w:pPr>
        <w:keepLines/>
      </w:pPr>
      <w:r>
        <w:t>Нужен Python 3.11 или новее и заполненный .env. runserver предназначен для локальной разработки, а контейнер запускает Gunicorn с одним worker и четырьмя потоками. Несколько независимых worker без переработки очереди поиска использовать не следует: состояние заданий сейчас хранится в памяти процесса.</w:t>
      </w:r>
    </w:p>
    <w:p>
      <w:pPr>
        <w:pStyle w:val="Heading1"/>
      </w:pPr>
      <w:r>
        <w:t>Проверка и поиск неисправностей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python website/manage.py check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python website/manage.py test trends --noinput</w:t>
      </w:r>
    </w:p>
    <w:p>
      <w:pPr>
        <w:keepNext/>
        <w:keepLines/>
        <w:spacing w:before="40" w:after="40"/>
        <w:ind w:left="259"/>
      </w:pPr>
      <w:r>
        <w:rPr>
          <w:rFonts w:ascii="Consolas" w:hAnsi="Consolas"/>
          <w:color w:val="263547"/>
          <w:sz w:val="18"/>
        </w:rPr>
        <w:t>python -m unittest on_demand_parsing.test_optimization on_demand_parsing.test_time_budget</w:t>
      </w:r>
    </w:p>
    <w:p>
      <w:pPr>
        <w:keepLines/>
      </w:pPr>
      <w:r>
        <w:t>После автоматических тестов выполните один реальный поиск: дождитесь карточек, откройте детальную страницу, ссылки на оригиналы и график, затем повторите тот же запрос и проверьте, что готовый результат читается из кэша. Время сильно зависит от темы, ответов OpenAlex и VseLLM; ограничение 19 минут 30 секунд не является гарантией точного времени ответа.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/>
        </w:trPr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Симптом</w:t>
            </w:r>
          </w:p>
        </w:tc>
        <w:tc>
          <w:tcPr>
            <w:tcW w:type="dxa" w:w="4896"/>
            <w:shd w:fill="EAF0F6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r>
              <w:rPr>
                <w:b/>
                <w:color w:val="172B46"/>
                <w:sz w:val="18"/>
              </w:rPr>
              <w:t>Что проверить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Главная открывается локально, но не по IP</w:t>
            </w:r>
          </w:p>
        </w:tc>
        <w:tc>
          <w:tcPr>
            <w:tcW w:type="dxa" w:w="66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HOST_BIND, DJANGO_ALLOWED_HOSTS, публикацию порта и файрвол.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Поиск завершается ошибкой</w:t>
            </w:r>
          </w:p>
        </w:tc>
        <w:tc>
          <w:tcPr>
            <w:tcW w:type="dxa" w:w="66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docker compose logs --tail=200 web; сетевые таймауты, ключи и ответы OpenAlex/VseLLM.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Зависание или ошибка на этапе сборки образа</w:t>
            </w:r>
          </w:p>
        </w:tc>
        <w:tc>
          <w:tcPr>
            <w:tcW w:type="dxa" w:w="66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Свободное место и состояние Docker/BuildKit; ошибка export to image может возникнуть после успешной сборки слоёв.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После перезапуска поиск начался заново</w:t>
            </w:r>
          </w:p>
        </w:tc>
        <w:tc>
          <w:tcPr>
            <w:tcW w:type="dxa" w:w="66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  <w:shd w:fill="F7F9FB"/>
          </w:tcPr>
          <w:p>
            <w:pPr>
              <w:spacing w:after="0" w:line="259" w:lineRule="auto"/>
            </w:pPr>
            <w:r>
              <w:rPr>
                <w:sz w:val="17"/>
              </w:rPr>
              <w:t>Это ожидаемо для незавершённого задания: очередь не сохраняется между запусками процесса.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Нет годового графика</w:t>
            </w:r>
          </w:p>
        </w:tc>
        <w:tc>
          <w:tcPr>
            <w:tcW w:type="dxa" w:w="6624"/>
            <w:vAlign w:val="center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Доступность статистики OpenAlex для темы; отсутствие графика не означает отсутствие карточки.</w:t>
            </w:r>
          </w:p>
        </w:tc>
      </w:tr>
    </w:tbl>
    <w:p>
      <w:pPr>
        <w:spacing w:after="0"/>
      </w:pPr>
    </w:p>
    <w:p>
      <w:pPr>
        <w:pStyle w:val="Heading1"/>
      </w:pPr>
      <w:r>
        <w:t>Файлы для дальнейшей работы</w:t>
      </w:r>
    </w:p>
    <w:p>
      <w:pPr>
        <w:keepLines/>
      </w:pPr>
      <w:r>
        <w:t>Короткие инструкции по компонентам лежат в README.md, website/website.md, on_demand_parsing/PARSING.MD, preprocessing/preprocessing.md, outputs/README.md, education/EDUCATION.md, education2/README.md и download_dataset/RUN_NEW_DATASET.md. Подробности полей офлайн-корпуса описаны в download_dataset/FEATURES.md и FEATURES_NEW.md. При изменении поведения сайта сначала обновляйте код и тесты, затем эти описания и данный документ.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66" w:left="1224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8497"/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58497"/>
        <w:sz w:val="16"/>
      </w:rPr>
      <w:t>TRENDSPOTTING  /  ДОКУМЕНТАЦИЯ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b w:val="0"/>
      <w:color w:val="2635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2B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2B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