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ПРОТОКОЛ РАЗНОГЛАСИЙ</w:t>
      </w:r>
    </w:p>
    <w:p>
      <w:pPr>
        <w:spacing w:after="80"/>
        <w:jc w:val="center"/>
      </w:pPr>
      <w:r>
        <w:rPr>
          <w:rFonts w:ascii="Times New Roman" w:hAnsi="Times New Roman"/>
          <w:b/>
          <w:sz w:val="26"/>
        </w:rPr>
        <w:t>к Договору генерального подряда №-___</w:t>
      </w:r>
    </w:p>
    <w:p>
      <w:pPr>
        <w:spacing w:after="240"/>
        <w:jc w:val="center"/>
      </w:pPr>
      <w:r>
        <w:rPr>
          <w:rFonts w:ascii="Times New Roman" w:hAnsi="Times New Roman"/>
          <w:sz w:val="22"/>
        </w:rPr>
        <w:t>г. Москва</w:t>
      </w:r>
    </w:p>
    <w:p>
      <w:pPr>
        <w:spacing w:after="240"/>
        <w:ind w:firstLine="709"/>
      </w:pPr>
      <w:r>
        <w:rPr>
          <w:rFonts w:ascii="Times New Roman" w:hAnsi="Times New Roman"/>
          <w:sz w:val="22"/>
        </w:rPr>
        <w:t>Настоящий Протокол разногласий составлен в связи с предложением ООО «[Генподрядчик]» (далее — «Генподрядчик») об изменении условий Договора генерального подряда №-___ (далее — «Договор»), заключённого между ООО «ИНВЕСТСТРОЙГРУПП» (далее — «Заказчик») и Генподрядчиком.</w:t>
      </w:r>
    </w:p>
    <w:p>
      <w:pPr>
        <w:spacing w:after="240"/>
      </w:pPr>
      <w:r>
        <w:rPr>
          <w:rFonts w:ascii="Times New Roman" w:hAnsi="Times New Roman"/>
          <w:i/>
          <w:sz w:val="18"/>
        </w:rPr>
        <w:t>Уровни критичности: CRITICAL — условие создаёт экзистенциальный риск для Генподрядчика; HIGH — условие создаёт значительный финансовый риск; MEDIUM — условие создаёт операционный риск.</w:t>
      </w:r>
    </w:p>
    <w:tbl>
      <w:tblPr>
        <w:tblStyle w:val="TableGrid"/>
        <w:tblW w:type="auto" w:w="0"/>
        <w:jc w:val="center"/>
        <w:tblLook w:firstColumn="1" w:firstRow="1" w:lastColumn="0" w:lastRow="0" w:noHBand="0" w:noVBand="1" w:val="04A0"/>
      </w:tblPr>
      <w:tblGrid>
        <w:gridCol w:w="567"/>
        <w:gridCol w:w="1134"/>
        <w:gridCol w:w="3685"/>
        <w:gridCol w:w="3685"/>
      </w:tblGrid>
      <w:tr>
        <w:tc>
          <w:tcPr>
            <w:tcW w:type="dxa" w:w="2493"/>
            <w:shd w:fill="D9D9D9"/>
          </w:tcPr>
          <w:p>
            <w:pPr>
              <w:jc w:val="center"/>
            </w:pPr>
            <w:r/>
            <w:r>
              <w:rPr>
                <w:rFonts w:ascii="Times New Roman" w:hAnsi="Times New Roman"/>
                <w:b/>
                <w:sz w:val="20"/>
              </w:rPr>
              <w:t>№</w:t>
            </w:r>
          </w:p>
        </w:tc>
        <w:tc>
          <w:tcPr>
            <w:tcW w:type="dxa" w:w="2493"/>
            <w:shd w:fill="D9D9D9"/>
          </w:tcPr>
          <w:p>
            <w:pPr>
              <w:jc w:val="center"/>
            </w:pPr>
            <w:r/>
            <w:r>
              <w:rPr>
                <w:rFonts w:ascii="Times New Roman" w:hAnsi="Times New Roman"/>
                <w:b/>
                <w:sz w:val="20"/>
              </w:rPr>
              <w:t>Пункт Договора</w:t>
            </w:r>
          </w:p>
        </w:tc>
        <w:tc>
          <w:tcPr>
            <w:tcW w:type="dxa" w:w="2493"/>
            <w:shd w:fill="D9D9D9"/>
          </w:tcPr>
          <w:p>
            <w:pPr>
              <w:jc w:val="center"/>
            </w:pPr>
            <w:r/>
            <w:r>
              <w:rPr>
                <w:rFonts w:ascii="Times New Roman" w:hAnsi="Times New Roman"/>
                <w:b/>
                <w:sz w:val="20"/>
              </w:rPr>
              <w:t>Редакция Заказчика</w:t>
            </w:r>
          </w:p>
        </w:tc>
        <w:tc>
          <w:tcPr>
            <w:tcW w:type="dxa" w:w="2493"/>
            <w:shd w:fill="D9D9D9"/>
          </w:tcPr>
          <w:p>
            <w:pPr>
              <w:jc w:val="center"/>
            </w:pPr>
            <w:r/>
            <w:r>
              <w:rPr>
                <w:rFonts w:ascii="Times New Roman" w:hAnsi="Times New Roman"/>
                <w:b/>
                <w:sz w:val="20"/>
              </w:rPr>
              <w:t>Редакция Генподрядчика</w:t>
            </w:r>
          </w:p>
        </w:tc>
      </w:tr>
      <w:tr>
        <w:tc>
          <w:tcPr>
            <w:tcW w:type="dxa" w:w="567"/>
          </w:tcPr>
          <w:p>
            <w:pPr>
              <w:jc w:val="center"/>
            </w:pPr>
            <w:r/>
            <w:r>
              <w:rPr>
                <w:rFonts w:ascii="Times New Roman" w:hAnsi="Times New Roman"/>
                <w:sz w:val="18"/>
              </w:rPr>
              <w:t>1</w:t>
            </w:r>
          </w:p>
        </w:tc>
        <w:tc>
          <w:tcPr>
            <w:tcW w:type="dxa" w:w="1134"/>
          </w:tcPr>
          <w:p>
            <w:pPr>
              <w:jc w:val="center"/>
            </w:pPr>
            <w:r/>
            <w:r>
              <w:rPr>
                <w:rFonts w:ascii="Times New Roman" w:hAnsi="Times New Roman"/>
                <w:b/>
                <w:sz w:val="18"/>
              </w:rPr>
              <w:t>п. 1.7</w:t>
            </w:r>
            <w:r>
              <w:rPr>
                <w:rFonts w:ascii="Times New Roman" w:hAnsi="Times New Roman"/>
                <w:b/>
                <w:color w:val="CC0000"/>
                <w:sz w:val="16"/>
              </w:rPr>
              <w:br/>
              <w:t>[CRITICAL]</w:t>
            </w:r>
          </w:p>
        </w:tc>
        <w:tc>
          <w:tcPr>
            <w:tcW w:type="dxa" w:w="3685"/>
          </w:tcPr>
          <w:p>
            <w:r/>
            <w:r>
              <w:rPr>
                <w:rFonts w:ascii="Times New Roman" w:hAnsi="Times New Roman"/>
                <w:sz w:val="18"/>
              </w:rPr>
              <w:t>Обязательные условия при заключении и исполнении договоров с лицом из Группы компаний Вайлдберриз... Являются неотъемлемой частью Договора... В случае противоречия данных условий и положений Договора, положения Обязательных условий применяются в приоритете.</w:t>
            </w:r>
          </w:p>
        </w:tc>
        <w:tc>
          <w:tcPr>
            <w:tcW w:type="dxa" w:w="3685"/>
          </w:tcPr>
          <w:p>
            <w:r/>
            <w:r>
              <w:rPr>
                <w:rFonts w:ascii="Times New Roman" w:hAnsi="Times New Roman"/>
                <w:b/>
                <w:sz w:val="18"/>
              </w:rPr>
              <w:t>Обязательные условия Заказчика, размещённые по ссылке, подлежат предварительному согласованию с Генподрядчиком до подписания Договора. В случае противоречия Обязательных условий и положений Договора, применяются положения Договора. Генподрядчик вправе не соблюдать Обязательные условия, если они ухудшают положение Генподрядчика по сравнению с условиями Договора и действующим законодательством РФ.</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Включение в Договор отсылки к внешнему документу, содержание которого может меняться Заказчиком в одностороннем порядке, и наделение его приоритетом над условиями Договора, нарушает принцип свободы договора (ст. 421 ГК РФ) и принцип равенства сторон. Генподрядчик не может нести ответственность за условия, с которыми не имел возможности ознакомиться до подписания Договора и на которые не может повлиять. Согласно ст. 428 ГК РФ, такие условия могут быть признаны ущемляющими права контрагента как условия договора присоединения.</w:t>
            </w:r>
          </w:p>
        </w:tc>
      </w:tr>
      <w:tr>
        <w:tc>
          <w:tcPr>
            <w:tcW w:type="dxa" w:w="567"/>
          </w:tcPr>
          <w:p>
            <w:pPr>
              <w:jc w:val="center"/>
            </w:pPr>
            <w:r/>
            <w:r>
              <w:rPr>
                <w:rFonts w:ascii="Times New Roman" w:hAnsi="Times New Roman"/>
                <w:sz w:val="18"/>
              </w:rPr>
              <w:t>2</w:t>
            </w:r>
          </w:p>
        </w:tc>
        <w:tc>
          <w:tcPr>
            <w:tcW w:type="dxa" w:w="1134"/>
          </w:tcPr>
          <w:p>
            <w:pPr>
              <w:jc w:val="center"/>
            </w:pPr>
            <w:r/>
            <w:r>
              <w:rPr>
                <w:rFonts w:ascii="Times New Roman" w:hAnsi="Times New Roman"/>
                <w:b/>
                <w:sz w:val="18"/>
              </w:rPr>
              <w:t>п. 2.3</w:t>
            </w:r>
            <w:r>
              <w:rPr>
                <w:rFonts w:ascii="Times New Roman" w:hAnsi="Times New Roman"/>
                <w:b/>
                <w:color w:val="FF8000"/>
                <w:sz w:val="16"/>
              </w:rPr>
              <w:br/>
              <w:t>[HIGH]</w:t>
            </w:r>
          </w:p>
        </w:tc>
        <w:tc>
          <w:tcPr>
            <w:tcW w:type="dxa" w:w="3685"/>
          </w:tcPr>
          <w:p>
            <w:r/>
            <w:r>
              <w:rPr>
                <w:rFonts w:ascii="Times New Roman" w:hAnsi="Times New Roman"/>
                <w:sz w:val="18"/>
              </w:rPr>
              <w:t>Срок начала и окончания работ не подлежат переносу в случае изменения Заказчиком даты передачи строительной площадки на срок не более 60 (Шестидесяти) дней от срока, указанного в п. 2.2. Договора.</w:t>
            </w:r>
          </w:p>
        </w:tc>
        <w:tc>
          <w:tcPr>
            <w:tcW w:type="dxa" w:w="3685"/>
          </w:tcPr>
          <w:p>
            <w:r/>
            <w:r>
              <w:rPr>
                <w:rFonts w:ascii="Times New Roman" w:hAnsi="Times New Roman"/>
                <w:b/>
                <w:sz w:val="18"/>
              </w:rPr>
              <w:t>В случае изменения Заказчиком даты передачи строительной площадки, срок начала и окончания работ подлежат соразмерному переносу на период задержки передачи строительной площадки. При задержке передачи строительной площадки более чем на 30 (Тридцать) календарных дней, Генподрядчик вправе требовать пересмотра Графика производства работ.</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Отсутствие переданной строительной площадки является объективным препятствием для начала работ. В соответствии с п. 1 ст. 716 ГК РФ, Генподрядчик обязан уведомить Заказчика об обстоятельствах, препятствующих выполнению работ. Согласно ст. 719 ГК РФ, Генподрядчик вправе не приступать к работам, если Заказчик не создал необходимые условия. Запрет на перенос сроков при задержке передачи площадки лишает Генподрядчика защиты, предоставленной законом, и нарушает принцип эквивалентности встречных предоставлений (ст. 424 ГК РФ).</w:t>
            </w:r>
          </w:p>
        </w:tc>
      </w:tr>
      <w:tr>
        <w:tc>
          <w:tcPr>
            <w:tcW w:type="dxa" w:w="567"/>
          </w:tcPr>
          <w:p>
            <w:pPr>
              <w:jc w:val="center"/>
            </w:pPr>
            <w:r/>
            <w:r>
              <w:rPr>
                <w:rFonts w:ascii="Times New Roman" w:hAnsi="Times New Roman"/>
                <w:sz w:val="18"/>
              </w:rPr>
              <w:t>3</w:t>
            </w:r>
          </w:p>
        </w:tc>
        <w:tc>
          <w:tcPr>
            <w:tcW w:type="dxa" w:w="1134"/>
          </w:tcPr>
          <w:p>
            <w:pPr>
              <w:jc w:val="center"/>
            </w:pPr>
            <w:r/>
            <w:r>
              <w:rPr>
                <w:rFonts w:ascii="Times New Roman" w:hAnsi="Times New Roman"/>
                <w:b/>
                <w:sz w:val="18"/>
              </w:rPr>
              <w:t>п. 2.4 (абзац 3)</w:t>
            </w:r>
            <w:r>
              <w:rPr>
                <w:rFonts w:ascii="Times New Roman" w:hAnsi="Times New Roman"/>
                <w:b/>
                <w:color w:val="FF8000"/>
                <w:sz w:val="16"/>
              </w:rPr>
              <w:br/>
              <w:t>[HIGH]</w:t>
            </w:r>
          </w:p>
        </w:tc>
        <w:tc>
          <w:tcPr>
            <w:tcW w:type="dxa" w:w="3685"/>
          </w:tcPr>
          <w:p>
            <w:r/>
            <w:r>
              <w:rPr>
                <w:rFonts w:ascii="Times New Roman" w:hAnsi="Times New Roman"/>
                <w:sz w:val="18"/>
              </w:rPr>
              <w:t>Если к дате начала любого этапа строительных работ рабочая документация на такие работы находится на согласовании Заказчика и не выдана Генподрядчику со штампом «в производство работ», Генподрядчик не вправе ссылаться на невозможность выполнения на указанном основании и должен письменно обратиться к Заказчику не позднее 1 (Одного) дня до даты начала работ...</w:t>
            </w:r>
          </w:p>
        </w:tc>
        <w:tc>
          <w:tcPr>
            <w:tcW w:type="dxa" w:w="3685"/>
          </w:tcPr>
          <w:p>
            <w:r/>
            <w:r>
              <w:rPr>
                <w:rFonts w:ascii="Times New Roman" w:hAnsi="Times New Roman"/>
                <w:b/>
                <w:sz w:val="18"/>
              </w:rPr>
              <w:t>Если к дате начала любого этапа строительных работ рабочая документация на такие работы находится на согласовании Заказчика и не выдана Генподрядчику со штампом «в производство работ», Генподрядчик вправе приостановить выполнение соответствующих работ до получения рабочей документации со штампом «в производство работ», а срок выполнения работ подлежит соразмерному продлению. Заказчик обязан рассмотреть представленную рабочую документацию не позднее 10 (Десяти) рабочих дней с момента её поступления.</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Невозможность выполнения работ без утверждённой рабочей документации является объективным обстоятельством. Срок в 1 день для уведомления является нереалистичным и лишает Генподрядчика реальной возможности защитить свои интересы. Согласно п. 2 ст. 716 ГК РФ, Генподрядчик вправе приостановить работы при обнаружении обстоятельств, создающих невозможность завершения работ в срок. Строительство без утверждённой рабочей документации противоречит требованиям Градостроительного кодекса РФ (ст. 52).</w:t>
            </w:r>
          </w:p>
        </w:tc>
      </w:tr>
      <w:tr>
        <w:tc>
          <w:tcPr>
            <w:tcW w:type="dxa" w:w="567"/>
          </w:tcPr>
          <w:p>
            <w:pPr>
              <w:jc w:val="center"/>
            </w:pPr>
            <w:r/>
            <w:r>
              <w:rPr>
                <w:rFonts w:ascii="Times New Roman" w:hAnsi="Times New Roman"/>
                <w:sz w:val="18"/>
              </w:rPr>
              <w:t>4</w:t>
            </w:r>
          </w:p>
        </w:tc>
        <w:tc>
          <w:tcPr>
            <w:tcW w:type="dxa" w:w="1134"/>
          </w:tcPr>
          <w:p>
            <w:pPr>
              <w:jc w:val="center"/>
            </w:pPr>
            <w:r/>
            <w:r>
              <w:rPr>
                <w:rFonts w:ascii="Times New Roman" w:hAnsi="Times New Roman"/>
                <w:b/>
                <w:sz w:val="18"/>
              </w:rPr>
              <w:t>п. 2.5 (абзац 3)</w:t>
            </w:r>
            <w:r>
              <w:rPr>
                <w:rFonts w:ascii="Times New Roman" w:hAnsi="Times New Roman"/>
                <w:b/>
                <w:color w:val="CC0000"/>
                <w:sz w:val="16"/>
              </w:rPr>
              <w:br/>
              <w:t>[CRITICAL]</w:t>
            </w:r>
          </w:p>
        </w:tc>
        <w:tc>
          <w:tcPr>
            <w:tcW w:type="dxa" w:w="3685"/>
          </w:tcPr>
          <w:p>
            <w:r/>
            <w:r>
              <w:rPr>
                <w:rFonts w:ascii="Times New Roman" w:hAnsi="Times New Roman"/>
                <w:sz w:val="18"/>
              </w:rPr>
              <w:t>При неполучении от Заказчика ответа на свое сообщение в течение 90 (Девяноста) дней, Генподрядчик вправе приостановить соответствующие работы, при этом стороны особо согласовали, что максимальный размер убытков, вызванных простоем из-за такой приостановки работ ограничен суммой составляющей 0,01% от стоимости соответствующего приостановленного этапа работ.</w:t>
            </w:r>
          </w:p>
        </w:tc>
        <w:tc>
          <w:tcPr>
            <w:tcW w:type="dxa" w:w="3685"/>
          </w:tcPr>
          <w:p>
            <w:r/>
            <w:r>
              <w:rPr>
                <w:rFonts w:ascii="Times New Roman" w:hAnsi="Times New Roman"/>
                <w:b/>
                <w:sz w:val="18"/>
              </w:rPr>
              <w:t>При неполучении от Заказчика ответа на свое сообщение в течение 20 (Двадцати) рабочих дней, Генподрядчик вправе приостановить соответствующие работы. Стороны обязаны согласовать стоимость дополнительных работ и сроки их выполнения в течение 15 (Пятнадцати) рабочих дней с момента получения Заказчиком сообщения Генподрядчика. Убытки Генподрядчика, вызванные простоем, возмещаются Заказчиком в полном объёме в соответствии со ст. 15 ГК РФ.</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Ограничение убытков до 0,01% от стоимости этапа работ является ничтожным по существу и лишает Генподрядчика какой-либо реальной компенсации за простой. Срок ожидания ответа в 90 дней является неразумно длительным. Согласно ст. 15 ГК РФ, лицо, право которого нарушено, может требовать полного возмещения причинённых ему убытков. Ограничение размера убытков до символической суммы фактически означает отказ от возмещения, что противоречит существу обязательства и принципу эквивалентности (ст. 424 ГК РФ).</w:t>
            </w:r>
          </w:p>
        </w:tc>
      </w:tr>
      <w:tr>
        <w:tc>
          <w:tcPr>
            <w:tcW w:type="dxa" w:w="567"/>
          </w:tcPr>
          <w:p>
            <w:pPr>
              <w:jc w:val="center"/>
            </w:pPr>
            <w:r/>
            <w:r>
              <w:rPr>
                <w:rFonts w:ascii="Times New Roman" w:hAnsi="Times New Roman"/>
                <w:sz w:val="18"/>
              </w:rPr>
              <w:t>5</w:t>
            </w:r>
          </w:p>
        </w:tc>
        <w:tc>
          <w:tcPr>
            <w:tcW w:type="dxa" w:w="1134"/>
          </w:tcPr>
          <w:p>
            <w:pPr>
              <w:jc w:val="center"/>
            </w:pPr>
            <w:r/>
            <w:r>
              <w:rPr>
                <w:rFonts w:ascii="Times New Roman" w:hAnsi="Times New Roman"/>
                <w:b/>
                <w:sz w:val="18"/>
              </w:rPr>
              <w:t>п. 3.1 + п. 3.3</w:t>
            </w:r>
            <w:r>
              <w:rPr>
                <w:rFonts w:ascii="Times New Roman" w:hAnsi="Times New Roman"/>
                <w:b/>
                <w:color w:val="CC0000"/>
                <w:sz w:val="16"/>
              </w:rPr>
              <w:br/>
              <w:t>[CRITICAL]</w:t>
            </w:r>
          </w:p>
        </w:tc>
        <w:tc>
          <w:tcPr>
            <w:tcW w:type="dxa" w:w="3685"/>
          </w:tcPr>
          <w:p>
            <w:r/>
            <w:r>
              <w:rPr>
                <w:rFonts w:ascii="Times New Roman" w:hAnsi="Times New Roman"/>
                <w:sz w:val="18"/>
              </w:rPr>
              <w:t>Цена работ является твердой. Цена работ может быть изменена по соглашению Сторон. (п. 3.3) Не является основанием для увеличения Цены работ наступление следующих обстоятельств: рост стоимости строительных материалов, оборудования, строительной техники в связи с инфляцией; введение новых сборов, пошлин и иных обязательных платежей (кроме НДС).</w:t>
            </w:r>
          </w:p>
        </w:tc>
        <w:tc>
          <w:tcPr>
            <w:tcW w:type="dxa" w:w="3685"/>
          </w:tcPr>
          <w:p>
            <w:r/>
            <w:r>
              <w:rPr>
                <w:rFonts w:ascii="Times New Roman" w:hAnsi="Times New Roman"/>
                <w:b/>
                <w:sz w:val="18"/>
              </w:rPr>
              <w:t>Цена работ является твёрдой. В случае существенного (более чем на 10%) увеличения стоимости строительных материалов, оборудования, строительной техники по независящим от Генподрядчика причинам, подтверждённого документально, Стороны обязаны провести переговоры о пересмотре Цены работ. При недостижении согласия в течение 30 дней, Генподрядчик вправе расторгнуть Договор в порядке ст. 451 ГК РФ. Введение новых обязательных платежей и сборов (кроме НДС) подлежит компенсации Заказчиком сверх Цены работ.</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Абсолютно твёрдая цена без каких-либо оснований для корректировки при инфляции и введении новых обязательных платежей нарушает принцип эквивалентности встречных предоставлений. Согласно ст. 451 ГК РФ, существенное изменение обстоятельств является основанием для изменения или расторжения договора. Пункт 6 ст. 709 ГК РФ прямо предусматривает право Генподрядчика на увеличение цены при существенном возрастании стоимости материалов и услуг. Отключение этой нормы договором является злоупотреблением правом (ст. 10 ГК РФ).</w:t>
            </w:r>
          </w:p>
        </w:tc>
      </w:tr>
      <w:tr>
        <w:tc>
          <w:tcPr>
            <w:tcW w:type="dxa" w:w="567"/>
          </w:tcPr>
          <w:p>
            <w:pPr>
              <w:jc w:val="center"/>
            </w:pPr>
            <w:r/>
            <w:r>
              <w:rPr>
                <w:rFonts w:ascii="Times New Roman" w:hAnsi="Times New Roman"/>
                <w:sz w:val="18"/>
              </w:rPr>
              <w:t>6</w:t>
            </w:r>
          </w:p>
        </w:tc>
        <w:tc>
          <w:tcPr>
            <w:tcW w:type="dxa" w:w="1134"/>
          </w:tcPr>
          <w:p>
            <w:pPr>
              <w:jc w:val="center"/>
            </w:pPr>
            <w:r/>
            <w:r>
              <w:rPr>
                <w:rFonts w:ascii="Times New Roman" w:hAnsi="Times New Roman"/>
                <w:b/>
                <w:sz w:val="18"/>
              </w:rPr>
              <w:t>п. 3.4</w:t>
            </w:r>
            <w:r>
              <w:rPr>
                <w:rFonts w:ascii="Times New Roman" w:hAnsi="Times New Roman"/>
                <w:b/>
                <w:color w:val="CC0000"/>
                <w:sz w:val="16"/>
              </w:rPr>
              <w:br/>
              <w:t>[CRITICAL]</w:t>
            </w:r>
          </w:p>
        </w:tc>
        <w:tc>
          <w:tcPr>
            <w:tcW w:type="dxa" w:w="3685"/>
          </w:tcPr>
          <w:p>
            <w:r/>
            <w:r>
              <w:rPr>
                <w:rFonts w:ascii="Times New Roman" w:hAnsi="Times New Roman"/>
                <w:sz w:val="18"/>
              </w:rPr>
              <w:t>Стоимость бросовых работ и повторного выполнения работ в связи с изменением Заказчиком проектной или рабочей документации, включена в Цену работ, указанную в п. 3.1. Договора и не подлежит дополнительной оплате Заказчиком сверх нее.</w:t>
            </w:r>
          </w:p>
        </w:tc>
        <w:tc>
          <w:tcPr>
            <w:tcW w:type="dxa" w:w="3685"/>
          </w:tcPr>
          <w:p>
            <w:r/>
            <w:r>
              <w:rPr>
                <w:rFonts w:ascii="Times New Roman" w:hAnsi="Times New Roman"/>
                <w:b/>
                <w:sz w:val="18"/>
              </w:rPr>
              <w:t>Стоимость бросовых работ и повторного выполнения работ в связи с изменением Заказчиком проектной или рабочей документации не включена в Цену работ и оплачивается Заказчиком дополнительно на основании отдельной сметы и дополнительного соглашения к Договору.</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Включение в твёрдую цену стоимости работ, возникающих исключительно по инициативе Заказчика (изменение документации), является грубым нарушением принципа эквивалентности. Согласно п. 1 ст. 744 ГК РФ, внесение изменений в проектную документацию по требованию Заказчика влечёт за собой дополнительную оплату. Подрядчик не может нести риск изменения проектных решений Заказчиком — это противоречит существу договора подряда (ст. 702 ГК РФ).</w:t>
            </w:r>
          </w:p>
        </w:tc>
      </w:tr>
      <w:tr>
        <w:tc>
          <w:tcPr>
            <w:tcW w:type="dxa" w:w="567"/>
          </w:tcPr>
          <w:p>
            <w:pPr>
              <w:jc w:val="center"/>
            </w:pPr>
            <w:r/>
            <w:r>
              <w:rPr>
                <w:rFonts w:ascii="Times New Roman" w:hAnsi="Times New Roman"/>
                <w:sz w:val="18"/>
              </w:rPr>
              <w:t>7</w:t>
            </w:r>
          </w:p>
        </w:tc>
        <w:tc>
          <w:tcPr>
            <w:tcW w:type="dxa" w:w="1134"/>
          </w:tcPr>
          <w:p>
            <w:pPr>
              <w:jc w:val="center"/>
            </w:pPr>
            <w:r/>
            <w:r>
              <w:rPr>
                <w:rFonts w:ascii="Times New Roman" w:hAnsi="Times New Roman"/>
                <w:b/>
                <w:sz w:val="18"/>
              </w:rPr>
              <w:t>п. 3.5 (абзац 2)</w:t>
            </w:r>
            <w:r>
              <w:rPr>
                <w:rFonts w:ascii="Times New Roman" w:hAnsi="Times New Roman"/>
                <w:b/>
                <w:color w:val="FF8000"/>
                <w:sz w:val="16"/>
              </w:rPr>
              <w:br/>
              <w:t>[HIGH]</w:t>
            </w:r>
          </w:p>
        </w:tc>
        <w:tc>
          <w:tcPr>
            <w:tcW w:type="dxa" w:w="3685"/>
          </w:tcPr>
          <w:p>
            <w:r/>
            <w:r>
              <w:rPr>
                <w:rFonts w:ascii="Times New Roman" w:hAnsi="Times New Roman"/>
                <w:sz w:val="18"/>
              </w:rPr>
              <w:t>Предоставление вышеуказанных документов не в полном объеме и/или оформленными ненадлежащим образом, являются безусловным основанием для их возврата Генподрядчику... Просрочка со стороны Генподрядчика в передаче любого из документов... является основанием для Заказчика приостановить платеж соразмерно времени просрочки их предоставления, при этом неустойка за такую просрочку оплаты выполненных строительных работ не начисляется.</w:t>
            </w:r>
          </w:p>
        </w:tc>
        <w:tc>
          <w:tcPr>
            <w:tcW w:type="dxa" w:w="3685"/>
          </w:tcPr>
          <w:p>
            <w:r/>
            <w:r>
              <w:rPr>
                <w:rFonts w:ascii="Times New Roman" w:hAnsi="Times New Roman"/>
                <w:b/>
                <w:sz w:val="18"/>
              </w:rPr>
              <w:t>В случае предоставления документов не в полном объёме и/или с нарушением формы, Заказчик обязан в течение 5 (Пяти) рабочих дней направить Генподрядчику мотивированный перечень замечаний. Генподрядчик устраняет замечания в течение 5 (Пяти) рабочих дней. При этом срок оплаты выполненных работ исчисляется с момента первоначального предоставления документов. Неустойка за просрочку оплаты начисляется в любом случае.</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Бесконечный цикл возврата документов без начисления неустойки за просрочку оплаты фактически позволяет Заказчику неограниченно затягивать оплату выполненных работ по формальным основаниям. Это противоречит п. 1 ст. 711 ГК РФ, согласно которому Заказчик обязан оплатить выполненные работы. Статья 406 ГК РФ предусматривает, что просрочка кредитора не освобождает его от обязанности оплатить работу.</w:t>
            </w:r>
          </w:p>
        </w:tc>
      </w:tr>
      <w:tr>
        <w:tc>
          <w:tcPr>
            <w:tcW w:type="dxa" w:w="567"/>
          </w:tcPr>
          <w:p>
            <w:pPr>
              <w:jc w:val="center"/>
            </w:pPr>
            <w:r/>
            <w:r>
              <w:rPr>
                <w:rFonts w:ascii="Times New Roman" w:hAnsi="Times New Roman"/>
                <w:sz w:val="18"/>
              </w:rPr>
              <w:t>8</w:t>
            </w:r>
          </w:p>
        </w:tc>
        <w:tc>
          <w:tcPr>
            <w:tcW w:type="dxa" w:w="1134"/>
          </w:tcPr>
          <w:p>
            <w:pPr>
              <w:jc w:val="center"/>
            </w:pPr>
            <w:r/>
            <w:r>
              <w:rPr>
                <w:rFonts w:ascii="Times New Roman" w:hAnsi="Times New Roman"/>
                <w:b/>
                <w:sz w:val="18"/>
              </w:rPr>
              <w:t>п. 3.6 + п. 3.6.2</w:t>
            </w:r>
            <w:r>
              <w:rPr>
                <w:rFonts w:ascii="Times New Roman" w:hAnsi="Times New Roman"/>
                <w:b/>
                <w:color w:val="FF8000"/>
                <w:sz w:val="16"/>
              </w:rPr>
              <w:br/>
              <w:t>[HIGH]</w:t>
            </w:r>
          </w:p>
        </w:tc>
        <w:tc>
          <w:tcPr>
            <w:tcW w:type="dxa" w:w="3685"/>
          </w:tcPr>
          <w:p>
            <w:r/>
            <w:r>
              <w:rPr>
                <w:rFonts w:ascii="Times New Roman" w:hAnsi="Times New Roman"/>
                <w:sz w:val="18"/>
              </w:rPr>
              <w:t>В случае непредоставления Генподрядчиком... исполнительной документации... Заказчик... вправе... принять и оплатить предъявленные к приёмке строительные работы с удержанием 20% (Двадцати процентов) от цены предъявленных к приемке строительных работ. (п. 3.6.2) стоимость строительных работ... считается согласованной Сторонами с уменьшением на 20%...</w:t>
            </w:r>
          </w:p>
        </w:tc>
        <w:tc>
          <w:tcPr>
            <w:tcW w:type="dxa" w:w="3685"/>
          </w:tcPr>
          <w:p>
            <w:r/>
            <w:r>
              <w:rPr>
                <w:rFonts w:ascii="Times New Roman" w:hAnsi="Times New Roman"/>
                <w:b/>
                <w:sz w:val="18"/>
              </w:rPr>
              <w:t>В случае непредоставления Генподрядчиком исполнительной документации в установленный срок, Заказчик вправе направить Генподрядчику письменное требование о её предоставлении с установлением дополнительного срока. Удержание стоимости работ без исполнительной документации не допускается. В случае необходимости Заказчик вправе привлечь стороннюю организацию для подготовки исполнительной документации с возложением документально подтверждённых расходов на Генподрядчика.</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Удержание 20% стоимости работ за непредоставление исполнительной документации является несоразмерной мерой, не связанной с реальными убытками Заказчика. Договор прямо признаёт, что «указанное уменьшение стоимости не является штрафом или неустойкой», однако по существу это именно штрафная санкция. Согласно ст. 333 ГК РФ, суд вправе уменьшить неустойку, если она несоразмерна последствиям нарушения. Кроме того, удержание 20% не соответствует реальной стоимости составления исполнительной документации.</w:t>
            </w:r>
          </w:p>
        </w:tc>
      </w:tr>
      <w:tr>
        <w:tc>
          <w:tcPr>
            <w:tcW w:type="dxa" w:w="567"/>
          </w:tcPr>
          <w:p>
            <w:pPr>
              <w:jc w:val="center"/>
            </w:pPr>
            <w:r/>
            <w:r>
              <w:rPr>
                <w:rFonts w:ascii="Times New Roman" w:hAnsi="Times New Roman"/>
                <w:sz w:val="18"/>
              </w:rPr>
              <w:t>9</w:t>
            </w:r>
          </w:p>
        </w:tc>
        <w:tc>
          <w:tcPr>
            <w:tcW w:type="dxa" w:w="1134"/>
          </w:tcPr>
          <w:p>
            <w:pPr>
              <w:jc w:val="center"/>
            </w:pPr>
            <w:r/>
            <w:r>
              <w:rPr>
                <w:rFonts w:ascii="Times New Roman" w:hAnsi="Times New Roman"/>
                <w:b/>
                <w:sz w:val="18"/>
              </w:rPr>
              <w:t>п. 3.9</w:t>
            </w:r>
            <w:r>
              <w:rPr>
                <w:rFonts w:ascii="Times New Roman" w:hAnsi="Times New Roman"/>
                <w:b/>
                <w:color w:val="CC0000"/>
                <w:sz w:val="16"/>
              </w:rPr>
              <w:br/>
              <w:t>[CRITICAL]</w:t>
            </w:r>
          </w:p>
        </w:tc>
        <w:tc>
          <w:tcPr>
            <w:tcW w:type="dxa" w:w="3685"/>
          </w:tcPr>
          <w:p>
            <w:r/>
            <w:r>
              <w:rPr>
                <w:rFonts w:ascii="Times New Roman" w:hAnsi="Times New Roman"/>
                <w:sz w:val="18"/>
              </w:rPr>
              <w:t>Стороны пришли к соглашению о том, что неустойка за просрочку оплаты суммы аванса по Договору не начисляется Заказчику и не уплачивается им.</w:t>
            </w:r>
          </w:p>
        </w:tc>
        <w:tc>
          <w:tcPr>
            <w:tcW w:type="dxa" w:w="3685"/>
          </w:tcPr>
          <w:p>
            <w:r/>
            <w:r>
              <w:rPr>
                <w:rFonts w:ascii="Times New Roman" w:hAnsi="Times New Roman"/>
                <w:b/>
                <w:sz w:val="18"/>
              </w:rPr>
              <w:t>В случае просрочки оплаты аванса Заказчиком, Генподрядчик вправе начислить Заказчику неустойку в размере 0,1% от суммы неоплаченного аванса за каждый день просрочки. При просрочке оплаты аванса более чем на 30 (Тридцать) календарных дней, Генподрядчик вправе приостановить выполнение работ.</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Полное освобождение Заказчика от ответственности за просрочку аванса является ничтожным условием, нарушающим принцип равенства сторон и принцип недопустимости освобождения от ответственности за неисполнение обязательства. Согласно ст. 395 ГК РФ, за пользование чужими денежными средствами вследствие просрочки их уплаты подлежат уплате проценты. Отказ от применения ст. 395 ГК РФ не может быть безусловным, поскольку это императивная норма. Также нарушается ст. 719 ГК РФ, предоставляющая подрядчику право приостановить работу при непредоставлении встречного исполнения.</w:t>
            </w:r>
          </w:p>
        </w:tc>
      </w:tr>
      <w:tr>
        <w:tc>
          <w:tcPr>
            <w:tcW w:type="dxa" w:w="567"/>
          </w:tcPr>
          <w:p>
            <w:pPr>
              <w:jc w:val="center"/>
            </w:pPr>
            <w:r/>
            <w:r>
              <w:rPr>
                <w:rFonts w:ascii="Times New Roman" w:hAnsi="Times New Roman"/>
                <w:sz w:val="18"/>
              </w:rPr>
              <w:t>10</w:t>
            </w:r>
          </w:p>
        </w:tc>
        <w:tc>
          <w:tcPr>
            <w:tcW w:type="dxa" w:w="1134"/>
          </w:tcPr>
          <w:p>
            <w:pPr>
              <w:jc w:val="center"/>
            </w:pPr>
            <w:r/>
            <w:r>
              <w:rPr>
                <w:rFonts w:ascii="Times New Roman" w:hAnsi="Times New Roman"/>
                <w:b/>
                <w:sz w:val="18"/>
              </w:rPr>
              <w:t>п. 3.12</w:t>
            </w:r>
            <w:r>
              <w:rPr>
                <w:rFonts w:ascii="Times New Roman" w:hAnsi="Times New Roman"/>
                <w:b/>
                <w:color w:val="FF8000"/>
                <w:sz w:val="16"/>
              </w:rPr>
              <w:br/>
              <w:t>[HIGH]</w:t>
            </w:r>
          </w:p>
        </w:tc>
        <w:tc>
          <w:tcPr>
            <w:tcW w:type="dxa" w:w="3685"/>
          </w:tcPr>
          <w:p>
            <w:r/>
            <w:r>
              <w:rPr>
                <w:rFonts w:ascii="Times New Roman" w:hAnsi="Times New Roman"/>
                <w:sz w:val="18"/>
              </w:rPr>
              <w:t>Обязательство Заказчика по оплате считается выполненным в момент зачисления денежных средств на корреспондентский счет банка Генподрядчика.</w:t>
            </w:r>
          </w:p>
        </w:tc>
        <w:tc>
          <w:tcPr>
            <w:tcW w:type="dxa" w:w="3685"/>
          </w:tcPr>
          <w:p>
            <w:r/>
            <w:r>
              <w:rPr>
                <w:rFonts w:ascii="Times New Roman" w:hAnsi="Times New Roman"/>
                <w:b/>
                <w:sz w:val="18"/>
              </w:rPr>
              <w:t>Обязательство Заказчика по оплате считается выполненным в момент зачисления денежных средств на расчётный счёт Генподрядчика.</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Зачисление на корреспондентский счёт банка Генподрядчика не означает поступление денежных средств на расчётный счёт Генподрядчика. Между корреспондентским счётом и расчётным счётом клиента может пройти значительное время, в течение которого денежные средства могут быть списаны по иным основаниям. Согласно п. 1 ст. 316 ГК РФ, место исполнения обязательства по передаче безналичных денежных средств — это счёт кредитора. До поступления средств на счёт Генподрядчика обязательство не может считаться исполненным.</w:t>
            </w:r>
          </w:p>
        </w:tc>
      </w:tr>
      <w:tr>
        <w:tc>
          <w:tcPr>
            <w:tcW w:type="dxa" w:w="567"/>
          </w:tcPr>
          <w:p>
            <w:pPr>
              <w:jc w:val="center"/>
            </w:pPr>
            <w:r/>
            <w:r>
              <w:rPr>
                <w:rFonts w:ascii="Times New Roman" w:hAnsi="Times New Roman"/>
                <w:sz w:val="18"/>
              </w:rPr>
              <w:t>11</w:t>
            </w:r>
          </w:p>
        </w:tc>
        <w:tc>
          <w:tcPr>
            <w:tcW w:type="dxa" w:w="1134"/>
          </w:tcPr>
          <w:p>
            <w:pPr>
              <w:jc w:val="center"/>
            </w:pPr>
            <w:r/>
            <w:r>
              <w:rPr>
                <w:rFonts w:ascii="Times New Roman" w:hAnsi="Times New Roman"/>
                <w:b/>
                <w:sz w:val="18"/>
              </w:rPr>
              <w:t>п. 3.13</w:t>
            </w:r>
            <w:r>
              <w:rPr>
                <w:rFonts w:ascii="Times New Roman" w:hAnsi="Times New Roman"/>
                <w:b/>
                <w:color w:val="CC0000"/>
                <w:sz w:val="16"/>
              </w:rPr>
              <w:br/>
              <w:t>[CRITICAL]</w:t>
            </w:r>
          </w:p>
        </w:tc>
        <w:tc>
          <w:tcPr>
            <w:tcW w:type="dxa" w:w="3685"/>
          </w:tcPr>
          <w:p>
            <w:r/>
            <w:r>
              <w:rPr>
                <w:rFonts w:ascii="Times New Roman" w:hAnsi="Times New Roman"/>
                <w:sz w:val="18"/>
              </w:rPr>
              <w:t>Обязательства Заказчика по оплате Генподрядчику аванса и стоимости выполненных работ не является встречным по отношению к обязательству Генподрядчика приступить к началу выполнения работ или очередному этапу работ. Невнесение Заказчиком аванса или неоплата выполненных работ, не дает Генподрядчику права не приступать к выполнению работ и(или) приостанавливать их выполнение.</w:t>
            </w:r>
          </w:p>
        </w:tc>
        <w:tc>
          <w:tcPr>
            <w:tcW w:type="dxa" w:w="3685"/>
          </w:tcPr>
          <w:p>
            <w:r/>
            <w:r>
              <w:rPr>
                <w:rFonts w:ascii="Times New Roman" w:hAnsi="Times New Roman"/>
                <w:b/>
                <w:sz w:val="18"/>
              </w:rPr>
              <w:t>Обязательство Заказчика по оплате аванса и стоимости выполненных работ является встречным по отношению к обязательству Генподрядчика по выполнению работ. В случае неисполнения Заказчиком обязательств по оплате аванса или выполненных работ более чем на 30 (Тридцать) календарных дней, Генподрядчик вправе приостановить выполнение работ в порядке ст. 328 ГК РФ и ст. 719 ГК РФ.</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Данная формулировка прямо нарушает императивные положения ст. 328 ГК РФ (встречное исполнение обязательств) и ст. 719 ГК РФ (право подрядчика не приступать к работе при непредоставлении Заказчиком встречного исполнения). Отказ от применения этих норм не может быть согласован сторонами, так как это противоречит существу регулируемых отношений и лишает Генподрядчика фундаментальной защиты от кредитного риска.</w:t>
            </w:r>
          </w:p>
        </w:tc>
      </w:tr>
      <w:tr>
        <w:tc>
          <w:tcPr>
            <w:tcW w:type="dxa" w:w="567"/>
          </w:tcPr>
          <w:p>
            <w:pPr>
              <w:jc w:val="center"/>
            </w:pPr>
            <w:r/>
            <w:r>
              <w:rPr>
                <w:rFonts w:ascii="Times New Roman" w:hAnsi="Times New Roman"/>
                <w:sz w:val="18"/>
              </w:rPr>
              <w:t>12</w:t>
            </w:r>
          </w:p>
        </w:tc>
        <w:tc>
          <w:tcPr>
            <w:tcW w:type="dxa" w:w="1134"/>
          </w:tcPr>
          <w:p>
            <w:pPr>
              <w:jc w:val="center"/>
            </w:pPr>
            <w:r/>
            <w:r>
              <w:rPr>
                <w:rFonts w:ascii="Times New Roman" w:hAnsi="Times New Roman"/>
                <w:b/>
                <w:sz w:val="18"/>
              </w:rPr>
              <w:t>п. 4.1.5</w:t>
            </w:r>
            <w:r>
              <w:rPr>
                <w:rFonts w:ascii="Times New Roman" w:hAnsi="Times New Roman"/>
                <w:b/>
                <w:color w:val="CC0000"/>
                <w:sz w:val="16"/>
              </w:rPr>
              <w:br/>
              <w:t>[CRITICAL]</w:t>
            </w:r>
          </w:p>
        </w:tc>
        <w:tc>
          <w:tcPr>
            <w:tcW w:type="dxa" w:w="3685"/>
          </w:tcPr>
          <w:p>
            <w:r/>
            <w:r>
              <w:rPr>
                <w:rFonts w:ascii="Times New Roman" w:hAnsi="Times New Roman"/>
                <w:sz w:val="18"/>
              </w:rPr>
              <w:t>Заказчик самостоятельно принимает решение о необходимости консервации объекта в случае приостановки работ. Стоимость консервации объекта входит в объем работ и Цену работ и не оплачивается Заказчиком дополнительно. При этом Стороны особо согласовали, что максимальный размер расходов... ограничен суммой составляющей 0,01% от Цены работ</w:t>
            </w:r>
          </w:p>
        </w:tc>
        <w:tc>
          <w:tcPr>
            <w:tcW w:type="dxa" w:w="3685"/>
          </w:tcPr>
          <w:p>
            <w:r/>
            <w:r>
              <w:rPr>
                <w:rFonts w:ascii="Times New Roman" w:hAnsi="Times New Roman"/>
                <w:b/>
                <w:sz w:val="18"/>
              </w:rPr>
              <w:t>Стоимость консервации объекта не включена в Цену работ и оплачивается Заказчиком дополнительно на основании отдельной сметы. Расходы, связанные с прекращением работ и консервацией строительства, возмещаются Заказчиком в полном объёме в соответствии со ст. 752 ГК РФ.</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Включение стоимости консервации в Цену работ при том, что решение о консервации принимает исключительно Заказчик, является возложением на Генподрядчика риска, не зависящего от него. Статья 752 ГК РФ прямо предусматривает право подрядчика на возмещение расходов, вызванных прекращением работ. Ограничение размера возмещения до 0,01% от Цены работ является ничтожным и по существу лишает Генподрядчика права на возмещение, гарантированное законом.</w:t>
            </w:r>
          </w:p>
        </w:tc>
      </w:tr>
      <w:tr>
        <w:tc>
          <w:tcPr>
            <w:tcW w:type="dxa" w:w="567"/>
          </w:tcPr>
          <w:p>
            <w:pPr>
              <w:jc w:val="center"/>
            </w:pPr>
            <w:r/>
            <w:r>
              <w:rPr>
                <w:rFonts w:ascii="Times New Roman" w:hAnsi="Times New Roman"/>
                <w:sz w:val="18"/>
              </w:rPr>
              <w:t>13</w:t>
            </w:r>
          </w:p>
        </w:tc>
        <w:tc>
          <w:tcPr>
            <w:tcW w:type="dxa" w:w="1134"/>
          </w:tcPr>
          <w:p>
            <w:pPr>
              <w:jc w:val="center"/>
            </w:pPr>
            <w:r/>
            <w:r>
              <w:rPr>
                <w:rFonts w:ascii="Times New Roman" w:hAnsi="Times New Roman"/>
                <w:b/>
                <w:sz w:val="18"/>
              </w:rPr>
              <w:t>п. 4.2.1</w:t>
            </w:r>
            <w:r>
              <w:rPr>
                <w:rFonts w:ascii="Times New Roman" w:hAnsi="Times New Roman"/>
                <w:b/>
                <w:color w:val="FF8000"/>
                <w:sz w:val="16"/>
              </w:rPr>
              <w:br/>
              <w:t>[HIGH]</w:t>
            </w:r>
          </w:p>
        </w:tc>
        <w:tc>
          <w:tcPr>
            <w:tcW w:type="dxa" w:w="3685"/>
          </w:tcPr>
          <w:p>
            <w:r/>
            <w:r>
              <w:rPr>
                <w:rFonts w:ascii="Times New Roman" w:hAnsi="Times New Roman"/>
                <w:sz w:val="18"/>
              </w:rPr>
              <w:t>Приостановка работ в связи с отсутствием или недостатками проектной или рабочей документацией не допускается, так как указанная документация разрабатывается Генподрядчиком самостоятельно.</w:t>
            </w:r>
          </w:p>
        </w:tc>
        <w:tc>
          <w:tcPr>
            <w:tcW w:type="dxa" w:w="3685"/>
          </w:tcPr>
          <w:p>
            <w:r/>
            <w:r>
              <w:rPr>
                <w:rFonts w:ascii="Times New Roman" w:hAnsi="Times New Roman"/>
                <w:b/>
                <w:sz w:val="18"/>
              </w:rPr>
              <w:t>Приостановка работ в связи с задержкой согласования Заказчиком рабочей документации допускается на период до получения утверждённой Заказчиком документации со штампом «в производство работ». При этом сроки выполнения работ подлежат соразмерному продлению.</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Даже при разработке документации самим Генподрядчиком, Заказчик обязан рассмотреть и согласовать рабочую документацию, что является встречным обязательством. Задержка согласования со стороны Заказчика не может не влиять на сроки выполнения строительных работ. Запрет на приостановку лишает Генподрядчика права, предоставленного ст. 719 ГК РФ, и понуждает к выполнению работ без утверждённой документации, что противоречит Градостроительному кодексу РФ.</w:t>
            </w:r>
          </w:p>
        </w:tc>
      </w:tr>
      <w:tr>
        <w:tc>
          <w:tcPr>
            <w:tcW w:type="dxa" w:w="567"/>
          </w:tcPr>
          <w:p>
            <w:pPr>
              <w:jc w:val="center"/>
            </w:pPr>
            <w:r/>
            <w:r>
              <w:rPr>
                <w:rFonts w:ascii="Times New Roman" w:hAnsi="Times New Roman"/>
                <w:sz w:val="18"/>
              </w:rPr>
              <w:t>14</w:t>
            </w:r>
          </w:p>
        </w:tc>
        <w:tc>
          <w:tcPr>
            <w:tcW w:type="dxa" w:w="1134"/>
          </w:tcPr>
          <w:p>
            <w:pPr>
              <w:jc w:val="center"/>
            </w:pPr>
            <w:r/>
            <w:r>
              <w:rPr>
                <w:rFonts w:ascii="Times New Roman" w:hAnsi="Times New Roman"/>
                <w:b/>
                <w:sz w:val="18"/>
              </w:rPr>
              <w:t>п. 4.3.1 + п. 4.3.4</w:t>
            </w:r>
            <w:r>
              <w:rPr>
                <w:rFonts w:ascii="Times New Roman" w:hAnsi="Times New Roman"/>
                <w:b/>
                <w:color w:val="FF8000"/>
                <w:sz w:val="16"/>
              </w:rPr>
              <w:br/>
              <w:t>[HIGH]</w:t>
            </w:r>
          </w:p>
        </w:tc>
        <w:tc>
          <w:tcPr>
            <w:tcW w:type="dxa" w:w="3685"/>
          </w:tcPr>
          <w:p>
            <w:r/>
            <w:r>
              <w:rPr>
                <w:rFonts w:ascii="Times New Roman" w:hAnsi="Times New Roman"/>
                <w:sz w:val="18"/>
              </w:rPr>
              <w:t>Заказчик вправе приостановить выполнение работ по любым основаниям... (п. 4.3.4) Приостановка работ Заказчиком... на срок до 60 (Шестидесяти) дней, не даёт Генподрядчику права на продление сроков выполнения работ. Генподрядчик несёт все риски, связанные с возможным нарушением графика...</w:t>
            </w:r>
          </w:p>
        </w:tc>
        <w:tc>
          <w:tcPr>
            <w:tcW w:type="dxa" w:w="3685"/>
          </w:tcPr>
          <w:p>
            <w:r/>
            <w:r>
              <w:rPr>
                <w:rFonts w:ascii="Times New Roman" w:hAnsi="Times New Roman"/>
                <w:b/>
                <w:sz w:val="18"/>
              </w:rPr>
              <w:t>Заказчик вправе приостановить выполнение работ только при наличии обоснованных причин, с указанием конкретных обстоятельств и предполагаемого срока приостановки. Любая приостановка работ по инициативе Заказчика даёт Генподрядчику право на соразмерное продление сроков выполнения работ, начиная с первого дня приостановки.</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Право Заказчика приостанавливать работы «по любым основаниям» без продления сроков на период до 60 дней является чрезмерным и нарушает баланс интересов сторон. Генподрядчик не может компенсировать задержку, вызванную Заказчиком, за счёт собственных ресурсов. Согласно ст. 716 ГК РФ, при обнаружении обстоятельств, зависящих от Заказчика, Генподрядчик вправе приостановить работы и потребовать продления сроков. Передача всех рисков на Генподрядчика противоречит принципу добросовестности (ст. 10 ГК РФ).</w:t>
            </w:r>
          </w:p>
        </w:tc>
      </w:tr>
      <w:tr>
        <w:tc>
          <w:tcPr>
            <w:tcW w:type="dxa" w:w="567"/>
          </w:tcPr>
          <w:p>
            <w:pPr>
              <w:jc w:val="center"/>
            </w:pPr>
            <w:r/>
            <w:r>
              <w:rPr>
                <w:rFonts w:ascii="Times New Roman" w:hAnsi="Times New Roman"/>
                <w:sz w:val="18"/>
              </w:rPr>
              <w:t>15</w:t>
            </w:r>
          </w:p>
        </w:tc>
        <w:tc>
          <w:tcPr>
            <w:tcW w:type="dxa" w:w="1134"/>
          </w:tcPr>
          <w:p>
            <w:pPr>
              <w:jc w:val="center"/>
            </w:pPr>
            <w:r/>
            <w:r>
              <w:rPr>
                <w:rFonts w:ascii="Times New Roman" w:hAnsi="Times New Roman"/>
                <w:b/>
                <w:sz w:val="18"/>
              </w:rPr>
              <w:t>п. 4.5.1</w:t>
            </w:r>
            <w:r>
              <w:rPr>
                <w:rFonts w:ascii="Times New Roman" w:hAnsi="Times New Roman"/>
                <w:b/>
                <w:color w:val="CC0000"/>
                <w:sz w:val="16"/>
              </w:rPr>
              <w:br/>
              <w:t>[CRITICAL]</w:t>
            </w:r>
          </w:p>
        </w:tc>
        <w:tc>
          <w:tcPr>
            <w:tcW w:type="dxa" w:w="3685"/>
          </w:tcPr>
          <w:p>
            <w:r/>
            <w:r>
              <w:rPr>
                <w:rFonts w:ascii="Times New Roman" w:hAnsi="Times New Roman"/>
                <w:sz w:val="18"/>
              </w:rPr>
              <w:t>В случае приостановки всех работ по инициативе или вине Заказчика... максимальный размер убытков и подлежащих возмещению расходов, вызванных простоем из-за такой приостановки работ ограничен суммой составляющей 0,01% от стоимости соответствующего приостановленного этапа-(ов) работ.</w:t>
            </w:r>
          </w:p>
        </w:tc>
        <w:tc>
          <w:tcPr>
            <w:tcW w:type="dxa" w:w="3685"/>
          </w:tcPr>
          <w:p>
            <w:r/>
            <w:r>
              <w:rPr>
                <w:rFonts w:ascii="Times New Roman" w:hAnsi="Times New Roman"/>
                <w:b/>
                <w:sz w:val="18"/>
              </w:rPr>
              <w:t>В случае приостановки всех работ по инициативе или вине Заказчика, Генподрядчик вправе требовать возмещения всех документально подтверждённых убытков в полном объёме в соответствии со ст. 15 ГК РФ, включая расходы на содержание строительной площадки, оплату труда персонала, амортизацию техники и упущенную выгоду.</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Ограничение убытков при приостановке по вине Заказчика до символической суммы 0,01% является ничтожным условием, лишающим Генподрядчика реальной защиты. Статья 15 ГК РФ гарантирует право на полное возмещение убытков. Статья 717 ГК РФ обязывает Заказчика возместить убытки при отказе от договора. Ограничение ответственности до 0,01% по существу означает отказ от возмещения, что противоречит существу обязательства и является злоупотреблением правом (ст. 10 ГК РФ).</w:t>
            </w:r>
          </w:p>
        </w:tc>
      </w:tr>
      <w:tr>
        <w:tc>
          <w:tcPr>
            <w:tcW w:type="dxa" w:w="567"/>
          </w:tcPr>
          <w:p>
            <w:pPr>
              <w:jc w:val="center"/>
            </w:pPr>
            <w:r/>
            <w:r>
              <w:rPr>
                <w:rFonts w:ascii="Times New Roman" w:hAnsi="Times New Roman"/>
                <w:sz w:val="18"/>
              </w:rPr>
              <w:t>16</w:t>
            </w:r>
          </w:p>
        </w:tc>
        <w:tc>
          <w:tcPr>
            <w:tcW w:type="dxa" w:w="1134"/>
          </w:tcPr>
          <w:p>
            <w:pPr>
              <w:jc w:val="center"/>
            </w:pPr>
            <w:r/>
            <w:r>
              <w:rPr>
                <w:rFonts w:ascii="Times New Roman" w:hAnsi="Times New Roman"/>
                <w:b/>
                <w:sz w:val="18"/>
              </w:rPr>
              <w:t>п. 5.14</w:t>
            </w:r>
            <w:r>
              <w:rPr>
                <w:rFonts w:ascii="Times New Roman" w:hAnsi="Times New Roman"/>
                <w:b/>
                <w:color w:val="FF8000"/>
                <w:sz w:val="16"/>
              </w:rPr>
              <w:br/>
              <w:t>[HIGH]</w:t>
            </w:r>
          </w:p>
        </w:tc>
        <w:tc>
          <w:tcPr>
            <w:tcW w:type="dxa" w:w="3685"/>
          </w:tcPr>
          <w:p>
            <w:r/>
            <w:r>
              <w:rPr>
                <w:rFonts w:ascii="Times New Roman" w:hAnsi="Times New Roman"/>
                <w:sz w:val="18"/>
              </w:rPr>
              <w:t>К отношениям Сторон не подлежат применению положения п. 6 ст. 720 ГК РФ, о праве Генподрядчика продать результат работы при уклонении Заказчика от принятия выполненной работы.</w:t>
            </w:r>
          </w:p>
        </w:tc>
        <w:tc>
          <w:tcPr>
            <w:tcW w:type="dxa" w:w="3685"/>
          </w:tcPr>
          <w:p>
            <w:r/>
            <w:r>
              <w:rPr>
                <w:rFonts w:ascii="Times New Roman" w:hAnsi="Times New Roman"/>
                <w:b/>
                <w:sz w:val="18"/>
              </w:rPr>
              <w:t>Исключить данный пункт. К отношениям Сторон подлежат применению все положения ст. 720 ГК РФ, включая п. 6.</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Пункт 6 ст. 720 ГК РФ является важной защитной мерой для подрядчика при уклонении Заказчика от приёмки работ. Исключение этой нормы лишает Генподрядчика возможности реализовать результат работ и получить оплату при недобросовестном поведении Заказчика. Это нарушает баланс интересов сторон и ставит Генподрядчика в зависимость от усмотрения Заказчика.</w:t>
            </w:r>
          </w:p>
        </w:tc>
      </w:tr>
      <w:tr>
        <w:tc>
          <w:tcPr>
            <w:tcW w:type="dxa" w:w="567"/>
          </w:tcPr>
          <w:p>
            <w:pPr>
              <w:jc w:val="center"/>
            </w:pPr>
            <w:r/>
            <w:r>
              <w:rPr>
                <w:rFonts w:ascii="Times New Roman" w:hAnsi="Times New Roman"/>
                <w:sz w:val="18"/>
              </w:rPr>
              <w:t>17</w:t>
            </w:r>
          </w:p>
        </w:tc>
        <w:tc>
          <w:tcPr>
            <w:tcW w:type="dxa" w:w="1134"/>
          </w:tcPr>
          <w:p>
            <w:pPr>
              <w:jc w:val="center"/>
            </w:pPr>
            <w:r/>
            <w:r>
              <w:rPr>
                <w:rFonts w:ascii="Times New Roman" w:hAnsi="Times New Roman"/>
                <w:b/>
                <w:sz w:val="18"/>
              </w:rPr>
              <w:t>п. 6.1.24</w:t>
            </w:r>
            <w:r>
              <w:rPr>
                <w:rFonts w:ascii="Times New Roman" w:hAnsi="Times New Roman"/>
                <w:color w:val="008000"/>
                <w:sz w:val="16"/>
              </w:rPr>
              <w:br/>
              <w:t>[MEDIUM]</w:t>
            </w:r>
          </w:p>
        </w:tc>
        <w:tc>
          <w:tcPr>
            <w:tcW w:type="dxa" w:w="3685"/>
          </w:tcPr>
          <w:p>
            <w:r/>
            <w:r>
              <w:rPr>
                <w:rFonts w:ascii="Times New Roman" w:hAnsi="Times New Roman"/>
                <w:sz w:val="18"/>
              </w:rPr>
              <w:t>За невыполнение... и/или несвоевременное... выполнение предписаний Генподрядчик... обязан выплатить Заказчику штраф в размере 100 000 (Сто тысяч) рублей за каждый факт нарушения...</w:t>
            </w:r>
          </w:p>
        </w:tc>
        <w:tc>
          <w:tcPr>
            <w:tcW w:type="dxa" w:w="3685"/>
          </w:tcPr>
          <w:p>
            <w:r/>
            <w:r>
              <w:rPr>
                <w:rFonts w:ascii="Times New Roman" w:hAnsi="Times New Roman"/>
                <w:b/>
                <w:sz w:val="18"/>
              </w:rPr>
              <w:t>За невыполнение предписаний в установленный срок Генподрядчик уплачивает Заказчику неустойку в размере 0,01% от стоимости соответствующего вида работ за каждый день просрочки исполнения предписания, но не более 5% от стоимости соответствующего вида работ. Основанием для начисления неустойки является письменное мотивированное требование Заказчика.</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Штраф в размере 100 000 рублей за каждый факт нарушения является несоразмерной мерой ответственности, особенно если стоимость работ, в отношении которых выдано предписание, невелика. Согласно ст. 333 ГК РФ, неустойка должна быть соразмерна последствиям нарушения. Фиксированный штраф без привязки к стоимости нарушенного обязательства не соответствует принципу справедливости (ст. 10 ГК РФ).</w:t>
            </w:r>
          </w:p>
        </w:tc>
      </w:tr>
      <w:tr>
        <w:tc>
          <w:tcPr>
            <w:tcW w:type="dxa" w:w="567"/>
          </w:tcPr>
          <w:p>
            <w:pPr>
              <w:jc w:val="center"/>
            </w:pPr>
            <w:r/>
            <w:r>
              <w:rPr>
                <w:rFonts w:ascii="Times New Roman" w:hAnsi="Times New Roman"/>
                <w:sz w:val="18"/>
              </w:rPr>
              <w:t>18</w:t>
            </w:r>
          </w:p>
        </w:tc>
        <w:tc>
          <w:tcPr>
            <w:tcW w:type="dxa" w:w="1134"/>
          </w:tcPr>
          <w:p>
            <w:pPr>
              <w:jc w:val="center"/>
            </w:pPr>
            <w:r/>
            <w:r>
              <w:rPr>
                <w:rFonts w:ascii="Times New Roman" w:hAnsi="Times New Roman"/>
                <w:b/>
                <w:sz w:val="18"/>
              </w:rPr>
              <w:t>п. 6.1.26</w:t>
            </w:r>
            <w:r>
              <w:rPr>
                <w:rFonts w:ascii="Times New Roman" w:hAnsi="Times New Roman"/>
                <w:color w:val="008000"/>
                <w:sz w:val="16"/>
              </w:rPr>
              <w:br/>
              <w:t>[MEDIUM]</w:t>
            </w:r>
          </w:p>
        </w:tc>
        <w:tc>
          <w:tcPr>
            <w:tcW w:type="dxa" w:w="3685"/>
          </w:tcPr>
          <w:p>
            <w:r/>
            <w:r>
              <w:rPr>
                <w:rFonts w:ascii="Times New Roman" w:hAnsi="Times New Roman"/>
                <w:sz w:val="18"/>
              </w:rPr>
              <w:t>В случае не информирования Заказчика... Генподрядчик выплачивает Заказчику штраф в размере 100 000 рублей за каждый факт, выявленный впервые; 200 000 рублей за каждый факт, выявленный повторно; ...в третий и последующий разы... штраф в размере 300 000 рублей...</w:t>
            </w:r>
          </w:p>
        </w:tc>
        <w:tc>
          <w:tcPr>
            <w:tcW w:type="dxa" w:w="3685"/>
          </w:tcPr>
          <w:p>
            <w:r/>
            <w:r>
              <w:rPr>
                <w:rFonts w:ascii="Times New Roman" w:hAnsi="Times New Roman"/>
                <w:b/>
                <w:sz w:val="18"/>
              </w:rPr>
              <w:t>В случае несвоевременного информирования Заказчика о происшествиях на объекте, Генподрядчик уплачивает штраф в размере 10 000 (Десять тысяч) рублей за каждый факт нарушения. При повторном нарушении — 20 000 (Двадцать тысяч) рублей.</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Прогрессивная шкала штрафов до 300 000 рублей за нарушение порядка информирования является несоразмерной. Данные штрафы не привязаны к тяжести происшествия или размеру причинённого ущерба. Статья 333 ГК РФ позволяет суду снизить несоразмерную неустойку. Совокупный размер штрафов по данному основанию может значительно превысить стоимость работ, что является кабальным условием.</w:t>
            </w:r>
          </w:p>
        </w:tc>
      </w:tr>
      <w:tr>
        <w:tc>
          <w:tcPr>
            <w:tcW w:type="dxa" w:w="567"/>
          </w:tcPr>
          <w:p>
            <w:pPr>
              <w:jc w:val="center"/>
            </w:pPr>
            <w:r/>
            <w:r>
              <w:rPr>
                <w:rFonts w:ascii="Times New Roman" w:hAnsi="Times New Roman"/>
                <w:sz w:val="18"/>
              </w:rPr>
              <w:t>19</w:t>
            </w:r>
          </w:p>
        </w:tc>
        <w:tc>
          <w:tcPr>
            <w:tcW w:type="dxa" w:w="1134"/>
          </w:tcPr>
          <w:p>
            <w:pPr>
              <w:jc w:val="center"/>
            </w:pPr>
            <w:r/>
            <w:r>
              <w:rPr>
                <w:rFonts w:ascii="Times New Roman" w:hAnsi="Times New Roman"/>
                <w:b/>
                <w:sz w:val="18"/>
              </w:rPr>
              <w:t>п. 6.1.30</w:t>
            </w:r>
            <w:r>
              <w:rPr>
                <w:rFonts w:ascii="Times New Roman" w:hAnsi="Times New Roman"/>
                <w:color w:val="008000"/>
                <w:sz w:val="16"/>
              </w:rPr>
              <w:br/>
              <w:t>[MEDIUM]</w:t>
            </w:r>
          </w:p>
        </w:tc>
        <w:tc>
          <w:tcPr>
            <w:tcW w:type="dxa" w:w="3685"/>
          </w:tcPr>
          <w:p>
            <w:r/>
            <w:r>
              <w:rPr>
                <w:rFonts w:ascii="Times New Roman" w:hAnsi="Times New Roman"/>
                <w:sz w:val="18"/>
              </w:rPr>
              <w:t>Генподрядчик обязан письменно уведомить Заказчика за 30 (Тридцать) дней об изменении системы налогообложения... При нарушении... штраф в размере 500 000 (Пятьсот тысяч) рублей...</w:t>
            </w:r>
          </w:p>
        </w:tc>
        <w:tc>
          <w:tcPr>
            <w:tcW w:type="dxa" w:w="3685"/>
          </w:tcPr>
          <w:p>
            <w:r/>
            <w:r>
              <w:rPr>
                <w:rFonts w:ascii="Times New Roman" w:hAnsi="Times New Roman"/>
                <w:b/>
                <w:sz w:val="18"/>
              </w:rPr>
              <w:t>Генподрядчик обязан письменно уведомить Заказчика об изменении системы налогообложения в течение 10 (Десяти) рабочих дней с момента такого изменения. При нарушении данного обязательства Генподрядчик возмещает Заказчику документально подтверждённые убытки, возникшие вследствие ненадлежащего информирования.</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Штраф в размере 500 000 рублей за неуведомление об изменении системы налогообложения явно несоразмерен возможным последствиям такого нарушения. Убытки Заказчика от несвоевременного информирования о смене системы налогообложения, как правило, связаны только с НДС и не могут достигать таких сумм. Условие о 30-дневном предварительном уведомлении также нереалистично, поскольку Генподрядчик не всегда может предвидеть изменение системы налогообложения за 30 дней.</w:t>
            </w:r>
          </w:p>
        </w:tc>
      </w:tr>
      <w:tr>
        <w:tc>
          <w:tcPr>
            <w:tcW w:type="dxa" w:w="567"/>
          </w:tcPr>
          <w:p>
            <w:pPr>
              <w:jc w:val="center"/>
            </w:pPr>
            <w:r/>
            <w:r>
              <w:rPr>
                <w:rFonts w:ascii="Times New Roman" w:hAnsi="Times New Roman"/>
                <w:sz w:val="18"/>
              </w:rPr>
              <w:t>20</w:t>
            </w:r>
          </w:p>
        </w:tc>
        <w:tc>
          <w:tcPr>
            <w:tcW w:type="dxa" w:w="1134"/>
          </w:tcPr>
          <w:p>
            <w:pPr>
              <w:jc w:val="center"/>
            </w:pPr>
            <w:r/>
            <w:r>
              <w:rPr>
                <w:rFonts w:ascii="Times New Roman" w:hAnsi="Times New Roman"/>
                <w:b/>
                <w:sz w:val="18"/>
              </w:rPr>
              <w:t>п. 6.1.42</w:t>
            </w:r>
            <w:r>
              <w:rPr>
                <w:rFonts w:ascii="Times New Roman" w:hAnsi="Times New Roman"/>
                <w:b/>
                <w:color w:val="FF8000"/>
                <w:sz w:val="16"/>
              </w:rPr>
              <w:br/>
              <w:t>[HIGH]</w:t>
            </w:r>
          </w:p>
        </w:tc>
        <w:tc>
          <w:tcPr>
            <w:tcW w:type="dxa" w:w="3685"/>
          </w:tcPr>
          <w:p>
            <w:r/>
            <w:r>
              <w:rPr>
                <w:rFonts w:ascii="Times New Roman" w:hAnsi="Times New Roman"/>
                <w:sz w:val="18"/>
              </w:rPr>
              <w:t>Генподрядчик в счет Цены работ... обязан заключить... договор страхования строительно-монтажных рисков «всех рисков» (CAR/EAR), а также рисков ответственности за причинение вреда третьим лицам и упущенной выгоды... Страховые суммы: по риску CAR/EAR: 100% от Цены работ; по риску ГО: не менее 50% от Цены работ; по риску ALOP: 5% от Цены работ... Франшиза — не более 0,05% от страховой суммы и не более 1 000 000 рублей... Рейтинг страховщика — не ниже АА+... опыт урегулирования убытков свыше 1 млрд рублей.</w:t>
            </w:r>
          </w:p>
        </w:tc>
        <w:tc>
          <w:tcPr>
            <w:tcW w:type="dxa" w:w="3685"/>
          </w:tcPr>
          <w:p>
            <w:r/>
            <w:r>
              <w:rPr>
                <w:rFonts w:ascii="Times New Roman" w:hAnsi="Times New Roman"/>
                <w:b/>
                <w:sz w:val="18"/>
              </w:rPr>
              <w:t>Генподрядчик обязуется заключить договор страхования строительно-монтажных рисков за счёт Заказчика (сверх Цены работ) на следующих условиях: CAR/EAR — не менее 80% от Цены работ; ГО — не менее 30% от Цены работ; ALOP — исключить. Франшиза — по согласованию Сторон. Требования к страховщику: рейтинг не ниже А (Эксперт РА). Страховая компания согласовывается Сторонами. Расходы на страхование компенсируются Заказчиком.</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Требования к страхованию являются чрезмерно обременительными: страхование ALOP (упущенная выгода Заказчика) — это риск Заказчика, а не Генподрядчика. Франшиза в 1 млн рублей при страховой сумме 100% Цены работ и требование к рейтингу АА+ с опытом выплат свыше 1 млрд рублей значительно ограничивают круг страховщиков и увеличивают стоимость полиса. Включение этих расходов в Цену работ при её твёрдом характере фактически перекладывает на Генподрядчика непредсказуемые страховые расходы. Согласно ст. 742 ГК РФ, страхование риска не освобождает соответствующую сторону от обязанностей принять меры для предотвращения наступления страхового случая.</w:t>
            </w:r>
          </w:p>
        </w:tc>
      </w:tr>
      <w:tr>
        <w:tc>
          <w:tcPr>
            <w:tcW w:type="dxa" w:w="567"/>
          </w:tcPr>
          <w:p>
            <w:pPr>
              <w:jc w:val="center"/>
            </w:pPr>
            <w:r/>
            <w:r>
              <w:rPr>
                <w:rFonts w:ascii="Times New Roman" w:hAnsi="Times New Roman"/>
                <w:sz w:val="18"/>
              </w:rPr>
              <w:t>21</w:t>
            </w:r>
          </w:p>
        </w:tc>
        <w:tc>
          <w:tcPr>
            <w:tcW w:type="dxa" w:w="1134"/>
          </w:tcPr>
          <w:p>
            <w:pPr>
              <w:jc w:val="center"/>
            </w:pPr>
            <w:r/>
            <w:r>
              <w:rPr>
                <w:rFonts w:ascii="Times New Roman" w:hAnsi="Times New Roman"/>
                <w:b/>
                <w:sz w:val="18"/>
              </w:rPr>
              <w:t>п. 6.1.45</w:t>
            </w:r>
            <w:r>
              <w:rPr>
                <w:rFonts w:ascii="Times New Roman" w:hAnsi="Times New Roman"/>
                <w:b/>
                <w:color w:val="FF8000"/>
                <w:sz w:val="16"/>
              </w:rPr>
              <w:br/>
              <w:t>[HIGH]</w:t>
            </w:r>
          </w:p>
        </w:tc>
        <w:tc>
          <w:tcPr>
            <w:tcW w:type="dxa" w:w="3685"/>
          </w:tcPr>
          <w:p>
            <w:r/>
            <w:r>
              <w:rPr>
                <w:rFonts w:ascii="Times New Roman" w:hAnsi="Times New Roman"/>
                <w:sz w:val="18"/>
              </w:rPr>
              <w:t>Внесение изменений в Техническое задание согласовывается Сторонами путем подписания дополнительного соглашения к Договору, при этом Цена работ по Договору не подлежит увеличению на сумму затрат Генподрядчика, связанных с корректировкой и прохождением повторной экспертизы... проектной документации и (или) корректировкой рабочей документации.</w:t>
            </w:r>
          </w:p>
        </w:tc>
        <w:tc>
          <w:tcPr>
            <w:tcW w:type="dxa" w:w="3685"/>
          </w:tcPr>
          <w:p>
            <w:r/>
            <w:r>
              <w:rPr>
                <w:rFonts w:ascii="Times New Roman" w:hAnsi="Times New Roman"/>
                <w:b/>
                <w:sz w:val="18"/>
              </w:rPr>
              <w:t>Внесение изменений в Техническое задание согласовывается Сторонами путём подписания дополнительного соглашения, в котором помимо новых сроков определяется стоимость дополнительных работ по корректировке и прохождению повторной экспертизы проектной и рабочей документации, которая оплачивается Заказчиком дополнительно.</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Отказ от оплаты работ по корректировке документации при изменении ТЗ Заказчиком противоречит ст. 744 ГК РФ, согласно которой Заказчик вправе вносить изменения в проектную документацию при условии дополнительной оплаты. Также нарушается принцип эквивалентности (ст. 424 ГК РФ): Генподрядчик не может нести расходы, вызванные исключительно волеизъявлением Заказчика.</w:t>
            </w:r>
          </w:p>
        </w:tc>
      </w:tr>
      <w:tr>
        <w:tc>
          <w:tcPr>
            <w:tcW w:type="dxa" w:w="567"/>
          </w:tcPr>
          <w:p>
            <w:pPr>
              <w:jc w:val="center"/>
            </w:pPr>
            <w:r/>
            <w:r>
              <w:rPr>
                <w:rFonts w:ascii="Times New Roman" w:hAnsi="Times New Roman"/>
                <w:sz w:val="18"/>
              </w:rPr>
              <w:t>22</w:t>
            </w:r>
          </w:p>
        </w:tc>
        <w:tc>
          <w:tcPr>
            <w:tcW w:type="dxa" w:w="1134"/>
          </w:tcPr>
          <w:p>
            <w:pPr>
              <w:jc w:val="center"/>
            </w:pPr>
            <w:r/>
            <w:r>
              <w:rPr>
                <w:rFonts w:ascii="Times New Roman" w:hAnsi="Times New Roman"/>
                <w:b/>
                <w:sz w:val="18"/>
              </w:rPr>
              <w:t>п. 6.1.52</w:t>
            </w:r>
            <w:r>
              <w:rPr>
                <w:rFonts w:ascii="Times New Roman" w:hAnsi="Times New Roman"/>
                <w:b/>
                <w:color w:val="FF8000"/>
                <w:sz w:val="16"/>
              </w:rPr>
              <w:br/>
              <w:t>[HIGH]</w:t>
            </w:r>
          </w:p>
        </w:tc>
        <w:tc>
          <w:tcPr>
            <w:tcW w:type="dxa" w:w="3685"/>
          </w:tcPr>
          <w:p>
            <w:r/>
            <w:r>
              <w:rPr>
                <w:rFonts w:ascii="Times New Roman" w:hAnsi="Times New Roman"/>
                <w:sz w:val="18"/>
              </w:rPr>
              <w:t>Разрабатывать и в случае необходимости корректировать выполнение работ (этапа работ) на стадии «П» по требованию Заказчика (количество корректировок не лимитируется); Разрабатывать и в случае необходимости корректировать выполнение работ (этапа работ) на стадии «Р» по требованию Заказчика (количество корректировок не лимитируется);</w:t>
            </w:r>
          </w:p>
        </w:tc>
        <w:tc>
          <w:tcPr>
            <w:tcW w:type="dxa" w:w="3685"/>
          </w:tcPr>
          <w:p>
            <w:r/>
            <w:r>
              <w:rPr>
                <w:rFonts w:ascii="Times New Roman" w:hAnsi="Times New Roman"/>
                <w:b/>
                <w:sz w:val="18"/>
              </w:rPr>
              <w:t>Разрабатывать и корректировать выполнение работ на стадиях «П» и «Р» по требованию Заказчика — не более 2 (Двух) итераций корректировок по каждому разделу на каждой стадии. Каждая последующая корректировка оплачивается Заказчиком дополнительно на основании отдельного дополнительного соглашения.</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Неограниченное количество корректировок проектной и рабочей документации по требованию Заказчика при их выполнении за счёт Генподрядчика является кабальным условием. Это создаёт неограниченный объём работ без соответствующей оплаты, что противоречит принципу возмездности договора подряда (ст. 702 ГК РФ). Каждая корректировка требует дополнительных трудозатрат, которые должны быть оплачены.</w:t>
            </w:r>
          </w:p>
        </w:tc>
      </w:tr>
      <w:tr>
        <w:tc>
          <w:tcPr>
            <w:tcW w:type="dxa" w:w="567"/>
          </w:tcPr>
          <w:p>
            <w:pPr>
              <w:jc w:val="center"/>
            </w:pPr>
            <w:r/>
            <w:r>
              <w:rPr>
                <w:rFonts w:ascii="Times New Roman" w:hAnsi="Times New Roman"/>
                <w:sz w:val="18"/>
              </w:rPr>
              <w:t>23</w:t>
            </w:r>
          </w:p>
        </w:tc>
        <w:tc>
          <w:tcPr>
            <w:tcW w:type="dxa" w:w="1134"/>
          </w:tcPr>
          <w:p>
            <w:pPr>
              <w:jc w:val="center"/>
            </w:pPr>
            <w:r/>
            <w:r>
              <w:rPr>
                <w:rFonts w:ascii="Times New Roman" w:hAnsi="Times New Roman"/>
                <w:b/>
                <w:sz w:val="18"/>
              </w:rPr>
              <w:t>п. 6.4.4</w:t>
            </w:r>
            <w:r>
              <w:rPr>
                <w:rFonts w:ascii="Times New Roman" w:hAnsi="Times New Roman"/>
                <w:b/>
                <w:color w:val="FF8000"/>
                <w:sz w:val="16"/>
              </w:rPr>
              <w:br/>
              <w:t>[HIGH]</w:t>
            </w:r>
          </w:p>
        </w:tc>
        <w:tc>
          <w:tcPr>
            <w:tcW w:type="dxa" w:w="3685"/>
          </w:tcPr>
          <w:p>
            <w:r/>
            <w:r>
              <w:rPr>
                <w:rFonts w:ascii="Times New Roman" w:hAnsi="Times New Roman"/>
                <w:sz w:val="18"/>
              </w:rPr>
              <w:t>Заказчик вправе изъять... из производства работ Генподрядчика объем работ... но в общем совокупном объеме не более 30% от Цены работ по Договору. Подписанием договора Генподрядчик дает ничем не обусловленное безотзывное согласие на заключение Заказчиком договоров подряда на выполнение изъятых видов работ...</w:t>
            </w:r>
          </w:p>
        </w:tc>
        <w:tc>
          <w:tcPr>
            <w:tcW w:type="dxa" w:w="3685"/>
          </w:tcPr>
          <w:p>
            <w:r/>
            <w:r>
              <w:rPr>
                <w:rFonts w:ascii="Times New Roman" w:hAnsi="Times New Roman"/>
                <w:b/>
                <w:sz w:val="18"/>
              </w:rPr>
              <w:t>Заказчик вправе изъять из производства работ Генподрядчика объём работ в совокупном размере не более 10% от Цены работ, при условии предварительного письменного согласия Генподрядчика и компенсации Генподрядчику связанных с этим убытков, включая упущенную выгоду. При изъятии объёма работ более 10% от Цены работ, Генподрядчик вправе расторгнуть Договор.</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Право Заказчика изъять до 30% объёма работ лишает Генподрядчика значительной части прибыли и не компенсирует связанные с этим фиксированные затраты (мобилизация, управление проектом, инфраструктура). Безотзывное согласие на заключение договоров со сторонними подрядчиками лишает Генподрядчика права на защиту. Согласно ст. 717 ГК РФ, при отказе Заказчика от договора он обязан возместить Генподрядчику убытки. Изъятие 30% работ по существу является частичным отказом от договора.</w:t>
            </w:r>
          </w:p>
        </w:tc>
      </w:tr>
      <w:tr>
        <w:tc>
          <w:tcPr>
            <w:tcW w:type="dxa" w:w="567"/>
          </w:tcPr>
          <w:p>
            <w:pPr>
              <w:jc w:val="center"/>
            </w:pPr>
            <w:r/>
            <w:r>
              <w:rPr>
                <w:rFonts w:ascii="Times New Roman" w:hAnsi="Times New Roman"/>
                <w:sz w:val="18"/>
              </w:rPr>
              <w:t>24</w:t>
            </w:r>
          </w:p>
        </w:tc>
        <w:tc>
          <w:tcPr>
            <w:tcW w:type="dxa" w:w="1134"/>
          </w:tcPr>
          <w:p>
            <w:pPr>
              <w:jc w:val="center"/>
            </w:pPr>
            <w:r/>
            <w:r>
              <w:rPr>
                <w:rFonts w:ascii="Times New Roman" w:hAnsi="Times New Roman"/>
                <w:b/>
                <w:sz w:val="18"/>
              </w:rPr>
              <w:t>п. 8.1.1 + п. 8.1.3</w:t>
            </w:r>
            <w:r>
              <w:rPr>
                <w:rFonts w:ascii="Times New Roman" w:hAnsi="Times New Roman"/>
                <w:b/>
                <w:color w:val="CC0000"/>
                <w:sz w:val="16"/>
              </w:rPr>
              <w:br/>
              <w:t>[CRITICAL]</w:t>
            </w:r>
          </w:p>
        </w:tc>
        <w:tc>
          <w:tcPr>
            <w:tcW w:type="dxa" w:w="3685"/>
          </w:tcPr>
          <w:p>
            <w:r/>
            <w:r>
              <w:rPr>
                <w:rFonts w:ascii="Times New Roman" w:hAnsi="Times New Roman"/>
                <w:sz w:val="18"/>
              </w:rPr>
              <w:t>Заказчик удерживает... 5% (Пять процентов) от стоимости работ... (п. 8.1.3) Гарантийное удержание подлежит возврату по истечении 60 (Шестидесяти) месяцев с даты подписания Акта... КС-11 или даты получения ЗОС... (в зависимости от того, какое из обязательств наступит позднее).</w:t>
            </w:r>
          </w:p>
        </w:tc>
        <w:tc>
          <w:tcPr>
            <w:tcW w:type="dxa" w:w="3685"/>
          </w:tcPr>
          <w:p>
            <w:r/>
            <w:r>
              <w:rPr>
                <w:rFonts w:ascii="Times New Roman" w:hAnsi="Times New Roman"/>
                <w:b/>
                <w:sz w:val="18"/>
              </w:rPr>
              <w:t>Заказчик удерживает 3% (Три процента) от стоимости работ. Гарантийное удержание подлежит возврату: 50% — по истечении 12 (Двенадцати) месяцев с даты подписания КС-11, оставшиеся 50% — по истечении 24 (Двадцати четырёх) месяцев с даты подписания КС-11. При предоставлении Генподрядчиком банковской гарантии на сумму гарантийного удержания, удержание не производится.</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Удержание 5% на срок до 60 месяцев (5 лет) является чрезмерным и создаёт для Генподрядчика серьёзные кассовые разрывы. Стандартной практикой является удержание 3-5% с возвратом в течение 12-24 месяцев после подписания КС-11. Удержание на 60 месяцев означает, что Генподрядчик фактически кредитует Заказчика без начисления процентов. Согласно ст. 395 ГК РФ, пользование чужими денежными средствами подлежит оплате. Отсутствие поэтапного возврата удержания противоречит принципу эквивалентности.</w:t>
            </w:r>
          </w:p>
        </w:tc>
      </w:tr>
      <w:tr>
        <w:tc>
          <w:tcPr>
            <w:tcW w:type="dxa" w:w="567"/>
          </w:tcPr>
          <w:p>
            <w:pPr>
              <w:jc w:val="center"/>
            </w:pPr>
            <w:r/>
            <w:r>
              <w:rPr>
                <w:rFonts w:ascii="Times New Roman" w:hAnsi="Times New Roman"/>
                <w:sz w:val="18"/>
              </w:rPr>
              <w:t>25</w:t>
            </w:r>
          </w:p>
        </w:tc>
        <w:tc>
          <w:tcPr>
            <w:tcW w:type="dxa" w:w="1134"/>
          </w:tcPr>
          <w:p>
            <w:pPr>
              <w:jc w:val="center"/>
            </w:pPr>
            <w:r/>
            <w:r>
              <w:rPr>
                <w:rFonts w:ascii="Times New Roman" w:hAnsi="Times New Roman"/>
                <w:b/>
                <w:sz w:val="18"/>
              </w:rPr>
              <w:t>п. 9.2</w:t>
            </w:r>
            <w:r>
              <w:rPr>
                <w:rFonts w:ascii="Times New Roman" w:hAnsi="Times New Roman"/>
                <w:b/>
                <w:color w:val="FF8000"/>
                <w:sz w:val="16"/>
              </w:rPr>
              <w:br/>
              <w:t>[HIGH]</w:t>
            </w:r>
          </w:p>
        </w:tc>
        <w:tc>
          <w:tcPr>
            <w:tcW w:type="dxa" w:w="3685"/>
          </w:tcPr>
          <w:p>
            <w:r/>
            <w:r>
              <w:rPr>
                <w:rFonts w:ascii="Times New Roman" w:hAnsi="Times New Roman"/>
                <w:sz w:val="18"/>
              </w:rPr>
              <w:t>Гарантийный срок: на результат проектных работ составляет 10 (Десять) лет... на результат строительных работ... составляет 60 (Шестьдесят) месяцев с даты подписания КС-11.</w:t>
            </w:r>
          </w:p>
        </w:tc>
        <w:tc>
          <w:tcPr>
            <w:tcW w:type="dxa" w:w="3685"/>
          </w:tcPr>
          <w:p>
            <w:r/>
            <w:r>
              <w:rPr>
                <w:rFonts w:ascii="Times New Roman" w:hAnsi="Times New Roman"/>
                <w:b/>
                <w:sz w:val="18"/>
              </w:rPr>
              <w:t>Гарантийный срок: на результат проектных работ составляет 5 (Пять) лет с даты приёмки Заказчиком последнего раздела рабочей документации; на результат строительных работ составляет 24 (Двадцать четыре) месяца с даты подписания КС-11, но не менее сроков, установленных обязательными требованиями законодательства РФ.</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10-летний гарантийный срок на проектные работы является беспрецедентным и значительно превышает стандартную практику (3-5 лет). Гарантийный срок 60 месяцев на строительные работы также превышает стандартный (24-36 месяца). Согласно ст. 724 ГК РФ, гарантийный срок должен быть разумным. Чрезмерно длительные гарантийные сроки при твёрдой цене фактически означают безвозмездное несение рисков в течение неопределённо долгого времени, что нарушает принцип эквивалентности (ст. 424 ГК РФ).</w:t>
            </w:r>
          </w:p>
        </w:tc>
      </w:tr>
      <w:tr>
        <w:tc>
          <w:tcPr>
            <w:tcW w:type="dxa" w:w="567"/>
          </w:tcPr>
          <w:p>
            <w:pPr>
              <w:jc w:val="center"/>
            </w:pPr>
            <w:r/>
            <w:r>
              <w:rPr>
                <w:rFonts w:ascii="Times New Roman" w:hAnsi="Times New Roman"/>
                <w:sz w:val="18"/>
              </w:rPr>
              <w:t>26</w:t>
            </w:r>
          </w:p>
        </w:tc>
        <w:tc>
          <w:tcPr>
            <w:tcW w:type="dxa" w:w="1134"/>
          </w:tcPr>
          <w:p>
            <w:pPr>
              <w:jc w:val="center"/>
            </w:pPr>
            <w:r/>
            <w:r>
              <w:rPr>
                <w:rFonts w:ascii="Times New Roman" w:hAnsi="Times New Roman"/>
                <w:b/>
                <w:sz w:val="18"/>
              </w:rPr>
              <w:t>п. 10.2</w:t>
            </w:r>
            <w:r>
              <w:rPr>
                <w:rFonts w:ascii="Times New Roman" w:hAnsi="Times New Roman"/>
                <w:b/>
                <w:color w:val="CC0000"/>
                <w:sz w:val="16"/>
              </w:rPr>
              <w:br/>
              <w:t>[CRITICAL]</w:t>
            </w:r>
          </w:p>
        </w:tc>
        <w:tc>
          <w:tcPr>
            <w:tcW w:type="dxa" w:w="3685"/>
          </w:tcPr>
          <w:p>
            <w:r/>
            <w:r>
              <w:rPr>
                <w:rFonts w:ascii="Times New Roman" w:hAnsi="Times New Roman"/>
                <w:sz w:val="18"/>
              </w:rPr>
              <w:t>Стороны пришли к соглашению установить ответственность Генподрядчика за нарушение им конечного срока выполнения работ в виде заранее оцененных убытков Заказчика в размере 720 000 000 (Семьсот двадцать миллионов) руб. за каждый месяц просрочки... Установленная сторонами... ответственность является компенсацией, но не является разновидностью неустойки... К заранее оцененным убыткам не применима статья 333 ГК РФ.</w:t>
            </w:r>
          </w:p>
        </w:tc>
        <w:tc>
          <w:tcPr>
            <w:tcW w:type="dxa" w:w="3685"/>
          </w:tcPr>
          <w:p>
            <w:r/>
            <w:r>
              <w:rPr>
                <w:rFonts w:ascii="Times New Roman" w:hAnsi="Times New Roman"/>
                <w:b/>
                <w:sz w:val="18"/>
              </w:rPr>
              <w:t>За нарушение конечного срока выполнения работ Генподрядчик уплачивает Заказчику неустойку в размере 0,1% от Цены работ за каждый месяц просрочки. К данной неустойке подлежит применение ст. 333 ГК РФ. Максимальный совокупный размер неустойки не может превышать 10% от Цены работ.</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Фиксированные «заранее оценённые убытки» в размере 720 млн рублей в месяц являются несоразмерными и по существу — штрафной санкцией, маскируемой под убытки. Исключение применения ст. 333 ГК РФ (снижение несоразмерной неустойки) является попыткой обойти императивную норму закона. Статья 333 ГК РФ является процессуальной гарантией, от которой стороны не могут отказаться договором. Наименование неустойки «заранее оценёнными убытками» не меняет её правовой природы (ст. 330 ГК РФ, п. 15 Постановления Пленума ВС РФ от 24.03.2016 № 7).</w:t>
            </w:r>
          </w:p>
        </w:tc>
      </w:tr>
      <w:tr>
        <w:tc>
          <w:tcPr>
            <w:tcW w:type="dxa" w:w="567"/>
          </w:tcPr>
          <w:p>
            <w:pPr>
              <w:jc w:val="center"/>
            </w:pPr>
            <w:r/>
            <w:r>
              <w:rPr>
                <w:rFonts w:ascii="Times New Roman" w:hAnsi="Times New Roman"/>
                <w:sz w:val="18"/>
              </w:rPr>
              <w:t>27</w:t>
            </w:r>
          </w:p>
        </w:tc>
        <w:tc>
          <w:tcPr>
            <w:tcW w:type="dxa" w:w="1134"/>
          </w:tcPr>
          <w:p>
            <w:pPr>
              <w:jc w:val="center"/>
            </w:pPr>
            <w:r/>
            <w:r>
              <w:rPr>
                <w:rFonts w:ascii="Times New Roman" w:hAnsi="Times New Roman"/>
                <w:b/>
                <w:sz w:val="18"/>
              </w:rPr>
              <w:t>п. 10.3</w:t>
            </w:r>
            <w:r>
              <w:rPr>
                <w:rFonts w:ascii="Times New Roman" w:hAnsi="Times New Roman"/>
                <w:b/>
                <w:color w:val="FF8000"/>
                <w:sz w:val="16"/>
              </w:rPr>
              <w:br/>
              <w:t>[HIGH]</w:t>
            </w:r>
          </w:p>
        </w:tc>
        <w:tc>
          <w:tcPr>
            <w:tcW w:type="dxa" w:w="3685"/>
          </w:tcPr>
          <w:p>
            <w:r/>
            <w:r>
              <w:rPr>
                <w:rFonts w:ascii="Times New Roman" w:hAnsi="Times New Roman"/>
                <w:sz w:val="18"/>
              </w:rPr>
              <w:t>В случае нарушения Генподрядчиком начального, промежуточного или конечного срока выполнения работ (этапа работ), нарушения сроков устранения недостатков работ, Генподрядчику начисляется неустойка в размере 0,1 %... от Цены работ за каждый день просрочки.</w:t>
            </w:r>
          </w:p>
        </w:tc>
        <w:tc>
          <w:tcPr>
            <w:tcW w:type="dxa" w:w="3685"/>
          </w:tcPr>
          <w:p>
            <w:r/>
            <w:r>
              <w:rPr>
                <w:rFonts w:ascii="Times New Roman" w:hAnsi="Times New Roman"/>
                <w:b/>
                <w:sz w:val="18"/>
              </w:rPr>
              <w:t>В случае нарушения Генподрядчиком сроков выполнения работ, неустойка начисляется в размере 0,1% от стоимости просроченного этапа работ за каждый день просрочки, но не более 10% от стоимости соответствующего этапа. Совокупный размер всех неустоек по Договору не может превышать 10% от Цены работ.</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Неустойка в размере 0,1% от Цены работ (а не стоимости просроченного этапа) за каждый день просрочки является несоразмерной, особенно при наличии промежуточных сроков. Накопление неустойки на всю Цену работ при просрочке даже незначительного этапа приведёт к астрономическим суммам. Согласно ст. 333 ГК РФ, неустойка должна быть соразмерна последствиям нарушения. Отсутствие потолка неустойки является кабальным условием.</w:t>
            </w:r>
          </w:p>
        </w:tc>
      </w:tr>
      <w:tr>
        <w:tc>
          <w:tcPr>
            <w:tcW w:type="dxa" w:w="567"/>
          </w:tcPr>
          <w:p>
            <w:pPr>
              <w:jc w:val="center"/>
            </w:pPr>
            <w:r/>
            <w:r>
              <w:rPr>
                <w:rFonts w:ascii="Times New Roman" w:hAnsi="Times New Roman"/>
                <w:sz w:val="18"/>
              </w:rPr>
              <w:t>28</w:t>
            </w:r>
          </w:p>
        </w:tc>
        <w:tc>
          <w:tcPr>
            <w:tcW w:type="dxa" w:w="1134"/>
          </w:tcPr>
          <w:p>
            <w:pPr>
              <w:jc w:val="center"/>
            </w:pPr>
            <w:r/>
            <w:r>
              <w:rPr>
                <w:rFonts w:ascii="Times New Roman" w:hAnsi="Times New Roman"/>
                <w:b/>
                <w:sz w:val="18"/>
              </w:rPr>
              <w:t>п. 10.13</w:t>
            </w:r>
            <w:r>
              <w:rPr>
                <w:rFonts w:ascii="Times New Roman" w:hAnsi="Times New Roman"/>
                <w:b/>
                <w:color w:val="CC0000"/>
                <w:sz w:val="16"/>
              </w:rPr>
              <w:br/>
              <w:t>[CRITICAL]</w:t>
            </w:r>
          </w:p>
        </w:tc>
        <w:tc>
          <w:tcPr>
            <w:tcW w:type="dxa" w:w="3685"/>
          </w:tcPr>
          <w:p>
            <w:r/>
            <w:r>
              <w:rPr>
                <w:rFonts w:ascii="Times New Roman" w:hAnsi="Times New Roman"/>
                <w:sz w:val="18"/>
              </w:rPr>
              <w:t>Для всех случаев просрочки оплаты выполненных и принятых работ — положения статьи 395 ГК РФ не применяются. В указанных случаях к отношениям Сторон применяется исключительная неустойка... в размере 100 (Ста) рублей за каждый день просрочки... Настоящая неустойка является исключительной и зачетной мерой ответственности Заказчика... Она полностью покрывает все возможные убытки Генподрядчика...</w:t>
            </w:r>
          </w:p>
        </w:tc>
        <w:tc>
          <w:tcPr>
            <w:tcW w:type="dxa" w:w="3685"/>
          </w:tcPr>
          <w:p>
            <w:r/>
            <w:r>
              <w:rPr>
                <w:rFonts w:ascii="Times New Roman" w:hAnsi="Times New Roman"/>
                <w:b/>
                <w:sz w:val="18"/>
              </w:rPr>
              <w:t>За просрочку оплаты выполненных и принятых работ Заказчик уплачивает Генподрядчику неустойку в размере 0,1% от суммы неоплаченных работ за каждый день просрочки. К отношениям Сторон подлежит применению ст. 395 ГК РФ. Данная неустойка носит зачетный характер по отношению к убыткам.</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Резкая асимметрия ответственности: Генподрядчик платит 0,1% в день от Цены работ (п. 10.3) + 720 млн руб./мес. (п. 10.2), а Заказчик — 100 рублей в день, что при Цене работ в миллиарды рублей составляет микродолю процента. Это нарушает принцип равенства сторон и принцип добросовестности (ст. 10 ГК РФ). Исключение ст. 395 ГК РФ и установление символической неустойки лишает Генподрядчика какой-либо реальной защиты от просрочки оплаты, что противоречит ст. 711 ГК РФ.</w:t>
            </w:r>
          </w:p>
        </w:tc>
      </w:tr>
      <w:tr>
        <w:tc>
          <w:tcPr>
            <w:tcW w:type="dxa" w:w="567"/>
          </w:tcPr>
          <w:p>
            <w:pPr>
              <w:jc w:val="center"/>
            </w:pPr>
            <w:r/>
            <w:r>
              <w:rPr>
                <w:rFonts w:ascii="Times New Roman" w:hAnsi="Times New Roman"/>
                <w:sz w:val="18"/>
              </w:rPr>
              <w:t>29</w:t>
            </w:r>
          </w:p>
        </w:tc>
        <w:tc>
          <w:tcPr>
            <w:tcW w:type="dxa" w:w="1134"/>
          </w:tcPr>
          <w:p>
            <w:pPr>
              <w:jc w:val="center"/>
            </w:pPr>
            <w:r/>
            <w:r>
              <w:rPr>
                <w:rFonts w:ascii="Times New Roman" w:hAnsi="Times New Roman"/>
                <w:b/>
                <w:sz w:val="18"/>
              </w:rPr>
              <w:t>п. 10.14</w:t>
            </w:r>
            <w:r>
              <w:rPr>
                <w:rFonts w:ascii="Times New Roman" w:hAnsi="Times New Roman"/>
                <w:b/>
                <w:color w:val="FF8000"/>
                <w:sz w:val="16"/>
              </w:rPr>
              <w:br/>
              <w:t>[HIGH]</w:t>
            </w:r>
          </w:p>
        </w:tc>
        <w:tc>
          <w:tcPr>
            <w:tcW w:type="dxa" w:w="3685"/>
          </w:tcPr>
          <w:p>
            <w:r/>
            <w:r>
              <w:rPr>
                <w:rFonts w:ascii="Times New Roman" w:hAnsi="Times New Roman"/>
                <w:sz w:val="18"/>
              </w:rPr>
              <w:t>Упущенная выгода прямо исключается и не подлежит компенсации Сторонами друг другу.</w:t>
            </w:r>
          </w:p>
        </w:tc>
        <w:tc>
          <w:tcPr>
            <w:tcW w:type="dxa" w:w="3685"/>
          </w:tcPr>
          <w:p>
            <w:r/>
            <w:r>
              <w:rPr>
                <w:rFonts w:ascii="Times New Roman" w:hAnsi="Times New Roman"/>
                <w:b/>
                <w:sz w:val="18"/>
              </w:rPr>
              <w:t>Упущенная выгода подлежит компенсации в соответствии со ст. 15 ГК РФ. Ограничение размера возмещения упущенной выгоды возможно в размере не менее 50% от документально подтверждённой суммы.</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Полное исключение возмещения упущенной выгоды нарушает ст. 15 ГК РФ, которая предусматривает право на полное возмещение убытков, включая упущенную выгоду. При этом для Заказчика в п. 10.2 установлены «заранее оценённые убытки», которые по существу включают упущенную выгоду (720 млн руб./мес.). Таким образом, упущенная выгода исключается только для Генподрядчика, но не для Заказчика, что является грубой асимметрией.</w:t>
            </w:r>
          </w:p>
        </w:tc>
      </w:tr>
      <w:tr>
        <w:tc>
          <w:tcPr>
            <w:tcW w:type="dxa" w:w="567"/>
          </w:tcPr>
          <w:p>
            <w:pPr>
              <w:jc w:val="center"/>
            </w:pPr>
            <w:r/>
            <w:r>
              <w:rPr>
                <w:rFonts w:ascii="Times New Roman" w:hAnsi="Times New Roman"/>
                <w:sz w:val="18"/>
              </w:rPr>
              <w:t>30</w:t>
            </w:r>
          </w:p>
        </w:tc>
        <w:tc>
          <w:tcPr>
            <w:tcW w:type="dxa" w:w="1134"/>
          </w:tcPr>
          <w:p>
            <w:pPr>
              <w:jc w:val="center"/>
            </w:pPr>
            <w:r/>
            <w:r>
              <w:rPr>
                <w:rFonts w:ascii="Times New Roman" w:hAnsi="Times New Roman"/>
                <w:b/>
                <w:sz w:val="18"/>
              </w:rPr>
              <w:t>п. 12.2</w:t>
            </w:r>
            <w:r>
              <w:rPr>
                <w:rFonts w:ascii="Times New Roman" w:hAnsi="Times New Roman"/>
                <w:b/>
                <w:color w:val="FF8000"/>
                <w:sz w:val="16"/>
              </w:rPr>
              <w:br/>
              <w:t>[HIGH]</w:t>
            </w:r>
          </w:p>
        </w:tc>
        <w:tc>
          <w:tcPr>
            <w:tcW w:type="dxa" w:w="3685"/>
          </w:tcPr>
          <w:p>
            <w:r/>
            <w:r>
              <w:rPr>
                <w:rFonts w:ascii="Times New Roman" w:hAnsi="Times New Roman"/>
                <w:sz w:val="18"/>
              </w:rPr>
              <w:t>Досрочное расторжение Договора возможно по соглашению Сторон, на основании одностороннего отказа Заказчика от исполнения обязательств либо по основаниям, предусмотренным законодательством РФ.</w:t>
            </w:r>
          </w:p>
        </w:tc>
        <w:tc>
          <w:tcPr>
            <w:tcW w:type="dxa" w:w="3685"/>
          </w:tcPr>
          <w:p>
            <w:r/>
            <w:r>
              <w:rPr>
                <w:rFonts w:ascii="Times New Roman" w:hAnsi="Times New Roman"/>
                <w:b/>
                <w:sz w:val="18"/>
              </w:rPr>
              <w:t>Досрочное расторжение Договора возможно по соглашению Сторон, на основании одностороннего отказа любой из Сторон от исполнения обязательств (с возмещением убытков другой Стороне), либо по основаниям, предусмотренным законодательством РФ. Генподрядчик вправе отказаться от Договора в случаях, предусмотренных ст. 719 ГК РФ и ст. 716 ГК РФ.</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Право одностороннего отказа от Договора предоставлено только Заказчику, что нарушает принцип равенства сторон. Согласно ст. 719 ГК РФ, Генподрядчик также имеет право не исполнять договор и потребовать расторжения при непредоставлении Заказчиком встречного исполнения. Лишение Генподрядчика этого права противоречит существу обязательства и императивным нормам закона.</w:t>
            </w:r>
          </w:p>
        </w:tc>
      </w:tr>
      <w:tr>
        <w:tc>
          <w:tcPr>
            <w:tcW w:type="dxa" w:w="567"/>
          </w:tcPr>
          <w:p>
            <w:pPr>
              <w:jc w:val="center"/>
            </w:pPr>
            <w:r/>
            <w:r>
              <w:rPr>
                <w:rFonts w:ascii="Times New Roman" w:hAnsi="Times New Roman"/>
                <w:sz w:val="18"/>
              </w:rPr>
              <w:t>31</w:t>
            </w:r>
          </w:p>
        </w:tc>
        <w:tc>
          <w:tcPr>
            <w:tcW w:type="dxa" w:w="1134"/>
          </w:tcPr>
          <w:p>
            <w:pPr>
              <w:jc w:val="center"/>
            </w:pPr>
            <w:r/>
            <w:r>
              <w:rPr>
                <w:rFonts w:ascii="Times New Roman" w:hAnsi="Times New Roman"/>
                <w:b/>
                <w:sz w:val="18"/>
              </w:rPr>
              <w:t>п. 12.8</w:t>
            </w:r>
            <w:r>
              <w:rPr>
                <w:rFonts w:ascii="Times New Roman" w:hAnsi="Times New Roman"/>
                <w:b/>
                <w:color w:val="CC0000"/>
                <w:sz w:val="16"/>
              </w:rPr>
              <w:br/>
              <w:t>[CRITICAL]</w:t>
            </w:r>
          </w:p>
        </w:tc>
        <w:tc>
          <w:tcPr>
            <w:tcW w:type="dxa" w:w="3685"/>
          </w:tcPr>
          <w:p>
            <w:r/>
            <w:r>
              <w:rPr>
                <w:rFonts w:ascii="Times New Roman" w:hAnsi="Times New Roman"/>
                <w:sz w:val="18"/>
              </w:rPr>
              <w:t>При отказе Заказчика от исполнения Договора по основаниям, установленным ст. 717 ГК РФ... максимальный размер убытков, вызванных отказом Заказчика от исполнения Договора... ограничен суммой составляющей 0,01% от Цены работ.</w:t>
            </w:r>
          </w:p>
        </w:tc>
        <w:tc>
          <w:tcPr>
            <w:tcW w:type="dxa" w:w="3685"/>
          </w:tcPr>
          <w:p>
            <w:r/>
            <w:r>
              <w:rPr>
                <w:rFonts w:ascii="Times New Roman" w:hAnsi="Times New Roman"/>
                <w:b/>
                <w:sz w:val="18"/>
              </w:rPr>
              <w:t>При отказе Заказчика от исполнения Договора по основаниям, установленным ст. 717 ГК РФ, Заказчик возмещает Генподрядчику убытки в полном объёме в соответствии со ст. 717 ГК РФ и ст. 15 ГК РФ, включая фактически понесённые расходы и упущенную выгоду.</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Статья 717 ГК РФ устанавливает, что при отказе Заказчика от договора он обязан уплатить Генподрядчику часть установленной цены пропорционально выполненной работе и возместить убытки. Ограничение убытков до 0,01% от Цены работ является ничтожным, поскольку по существу лишает Генподрядчика права, гарантированного императивной нормой закона. Это является злоупотреблением правом (ст. 10 ГК РФ) и нарушает принцип эквивалентности.</w:t>
            </w:r>
          </w:p>
        </w:tc>
      </w:tr>
      <w:tr>
        <w:tc>
          <w:tcPr>
            <w:tcW w:type="dxa" w:w="567"/>
          </w:tcPr>
          <w:p>
            <w:pPr>
              <w:jc w:val="center"/>
            </w:pPr>
            <w:r/>
            <w:r>
              <w:rPr>
                <w:rFonts w:ascii="Times New Roman" w:hAnsi="Times New Roman"/>
                <w:sz w:val="18"/>
              </w:rPr>
              <w:t>32</w:t>
            </w:r>
          </w:p>
        </w:tc>
        <w:tc>
          <w:tcPr>
            <w:tcW w:type="dxa" w:w="1134"/>
          </w:tcPr>
          <w:p>
            <w:pPr>
              <w:jc w:val="center"/>
            </w:pPr>
            <w:r/>
            <w:r>
              <w:rPr>
                <w:rFonts w:ascii="Times New Roman" w:hAnsi="Times New Roman"/>
                <w:b/>
                <w:sz w:val="18"/>
              </w:rPr>
              <w:t>п. 12.11 (второй)</w:t>
            </w:r>
            <w:r>
              <w:rPr>
                <w:rFonts w:ascii="Times New Roman" w:hAnsi="Times New Roman"/>
                <w:b/>
                <w:color w:val="CC0000"/>
                <w:sz w:val="16"/>
              </w:rPr>
              <w:br/>
              <w:t>[CRITICAL]</w:t>
            </w:r>
          </w:p>
        </w:tc>
        <w:tc>
          <w:tcPr>
            <w:tcW w:type="dxa" w:w="3685"/>
          </w:tcPr>
          <w:p>
            <w:r/>
            <w:r>
              <w:rPr>
                <w:rFonts w:ascii="Times New Roman" w:hAnsi="Times New Roman"/>
                <w:sz w:val="18"/>
              </w:rPr>
              <w:t>Генподрядчик не вправе отказаться от Договора по правилам п. 2 ст. 719 ГК РФ.</w:t>
            </w:r>
          </w:p>
        </w:tc>
        <w:tc>
          <w:tcPr>
            <w:tcW w:type="dxa" w:w="3685"/>
          </w:tcPr>
          <w:p>
            <w:r/>
            <w:r>
              <w:rPr>
                <w:rFonts w:ascii="Times New Roman" w:hAnsi="Times New Roman"/>
                <w:b/>
                <w:sz w:val="18"/>
              </w:rPr>
              <w:t>Исключить данный пункт. Генподрядчик вправе отказаться от Договора по правилам п. 2 ст. 719 ГК РФ в случаях, предусмотренных законом.</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Прямой отказ от применения п. 2 ст. 719 ГК РФ лишает Генподрядчика важнейшей защиты — права отказаться от договора при непредоставлении Заказчиком материала, оборудования, технической документации или при наличии обстоятельств, очевидно свидетельствующих о том, что исполнение обязательств не будет произведено в срок. Статья 719 ГК РФ является диспозитивной нормой, однако её полное исключение создаёт существенный дисбаланс и ставит Генподрядчика в зависимость от усмотрения Заказчика, что может быть признано злоупотреблением правом (ст. 10 ГК РФ).</w:t>
            </w:r>
          </w:p>
        </w:tc>
      </w:tr>
      <w:tr>
        <w:tc>
          <w:tcPr>
            <w:tcW w:type="dxa" w:w="567"/>
          </w:tcPr>
          <w:p>
            <w:pPr>
              <w:jc w:val="center"/>
            </w:pPr>
            <w:r/>
            <w:r>
              <w:rPr>
                <w:rFonts w:ascii="Times New Roman" w:hAnsi="Times New Roman"/>
                <w:sz w:val="18"/>
              </w:rPr>
              <w:t>33</w:t>
            </w:r>
          </w:p>
        </w:tc>
        <w:tc>
          <w:tcPr>
            <w:tcW w:type="dxa" w:w="1134"/>
          </w:tcPr>
          <w:p>
            <w:pPr>
              <w:jc w:val="center"/>
            </w:pPr>
            <w:r/>
            <w:r>
              <w:rPr>
                <w:rFonts w:ascii="Times New Roman" w:hAnsi="Times New Roman"/>
                <w:b/>
                <w:sz w:val="18"/>
              </w:rPr>
              <w:t>п. 12.11 (первый)</w:t>
            </w:r>
            <w:r>
              <w:rPr>
                <w:rFonts w:ascii="Times New Roman" w:hAnsi="Times New Roman"/>
                <w:b/>
                <w:color w:val="FF8000"/>
                <w:sz w:val="16"/>
              </w:rPr>
              <w:br/>
              <w:t>[HIGH]</w:t>
            </w:r>
          </w:p>
        </w:tc>
        <w:tc>
          <w:tcPr>
            <w:tcW w:type="dxa" w:w="3685"/>
          </w:tcPr>
          <w:p>
            <w:r/>
            <w:r>
              <w:rPr>
                <w:rFonts w:ascii="Times New Roman" w:hAnsi="Times New Roman"/>
                <w:sz w:val="18"/>
              </w:rPr>
              <w:t>Для целей применения Генподрядчиком права, установленного абзацем 2 п. 6 ст. 709 ГК РФ под существенным возрастанием стоимости материалов и оборудования... понимается возрастание Цены работ на 100% (Сто процентов) относительно установленной в п. 3.1. Договора.</w:t>
            </w:r>
          </w:p>
        </w:tc>
        <w:tc>
          <w:tcPr>
            <w:tcW w:type="dxa" w:w="3685"/>
          </w:tcPr>
          <w:p>
            <w:r/>
            <w:r>
              <w:rPr>
                <w:rFonts w:ascii="Times New Roman" w:hAnsi="Times New Roman"/>
                <w:b/>
                <w:sz w:val="18"/>
              </w:rPr>
              <w:t>Под существенным возрастанием стоимости материалов и оборудования понимается возрастание стоимости соответствующих материалов и оборудования на 20% (Двадцать процентов) и более, подтверждённое документально.</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Порог в 100% для признания возрастания стоимости «существенным» является нереалистичным и фактически лишает Генподрядчика права, предусмотренного п. 6 ст. 709 ГК РФ. Возрастание Цены работ на 100% означает удвоение стоимости всего договора, что в реальности практически невозможно. Такой порог делает норму п. 6 ст. 709 ГК РФ неприменимой, что противоречит цели данной нормы — защите подрядчика от непредсказуемого роста цен.</w:t>
            </w:r>
          </w:p>
        </w:tc>
      </w:tr>
      <w:tr>
        <w:tc>
          <w:tcPr>
            <w:tcW w:type="dxa" w:w="567"/>
          </w:tcPr>
          <w:p>
            <w:pPr>
              <w:jc w:val="center"/>
            </w:pPr>
            <w:r/>
            <w:r>
              <w:rPr>
                <w:rFonts w:ascii="Times New Roman" w:hAnsi="Times New Roman"/>
                <w:sz w:val="18"/>
              </w:rPr>
              <w:t>34</w:t>
            </w:r>
          </w:p>
        </w:tc>
        <w:tc>
          <w:tcPr>
            <w:tcW w:type="dxa" w:w="1134"/>
          </w:tcPr>
          <w:p>
            <w:pPr>
              <w:jc w:val="center"/>
            </w:pPr>
            <w:r/>
            <w:r>
              <w:rPr>
                <w:rFonts w:ascii="Times New Roman" w:hAnsi="Times New Roman"/>
                <w:b/>
                <w:sz w:val="18"/>
              </w:rPr>
              <w:t>п. 6.4.3</w:t>
            </w:r>
            <w:r>
              <w:rPr>
                <w:rFonts w:ascii="Times New Roman" w:hAnsi="Times New Roman"/>
                <w:color w:val="008000"/>
                <w:sz w:val="16"/>
              </w:rPr>
              <w:br/>
              <w:t>[MEDIUM]</w:t>
            </w:r>
          </w:p>
        </w:tc>
        <w:tc>
          <w:tcPr>
            <w:tcW w:type="dxa" w:w="3685"/>
          </w:tcPr>
          <w:p>
            <w:r/>
            <w:r>
              <w:rPr>
                <w:rFonts w:ascii="Times New Roman" w:hAnsi="Times New Roman"/>
                <w:sz w:val="18"/>
              </w:rPr>
              <w:t>Без согласия Генподрядчика Заказчик вправе заключить договоры на выполнение отдельных работ с другими лицами.</w:t>
            </w:r>
          </w:p>
        </w:tc>
        <w:tc>
          <w:tcPr>
            <w:tcW w:type="dxa" w:w="3685"/>
          </w:tcPr>
          <w:p>
            <w:r/>
            <w:r>
              <w:rPr>
                <w:rFonts w:ascii="Times New Roman" w:hAnsi="Times New Roman"/>
                <w:b/>
                <w:sz w:val="18"/>
              </w:rPr>
              <w:t>Заказчик вправе заключить договоры на выполнение отдельных работ с другими лицами при условии предварительного согласования с Генподрядчиком. При этом Генподрядчик вправе координировать работу сторонних подрядчиков на объекте.</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Заказчик может привлекать сторонних подрядчиков без согласия Генподрядчика, при этом Генподрядчик обязан координировать их работу (п. 6.1.56) и несёт ответственность за безопасность. Это возлагает на Генподрядчика обязанности без предоставления соответствующих прав, что нарушает принцип эквивалентности (ст. 424 ГК РФ). Генподрядчик не должен нести ответственность за работу лиц, которых он не выбирал и на которых не может влиять.</w:t>
            </w:r>
          </w:p>
        </w:tc>
      </w:tr>
      <w:tr>
        <w:tc>
          <w:tcPr>
            <w:tcW w:type="dxa" w:w="567"/>
          </w:tcPr>
          <w:p>
            <w:pPr>
              <w:jc w:val="center"/>
            </w:pPr>
            <w:r/>
            <w:r>
              <w:rPr>
                <w:rFonts w:ascii="Times New Roman" w:hAnsi="Times New Roman"/>
                <w:sz w:val="18"/>
              </w:rPr>
              <w:t>35</w:t>
            </w:r>
          </w:p>
        </w:tc>
        <w:tc>
          <w:tcPr>
            <w:tcW w:type="dxa" w:w="1134"/>
          </w:tcPr>
          <w:p>
            <w:pPr>
              <w:jc w:val="center"/>
            </w:pPr>
            <w:r/>
            <w:r>
              <w:rPr>
                <w:rFonts w:ascii="Times New Roman" w:hAnsi="Times New Roman"/>
                <w:b/>
                <w:sz w:val="18"/>
              </w:rPr>
              <w:t>п. 13.1 + п. 13.6</w:t>
            </w:r>
            <w:r>
              <w:rPr>
                <w:rFonts w:ascii="Times New Roman" w:hAnsi="Times New Roman"/>
                <w:b/>
                <w:color w:val="FF8000"/>
                <w:sz w:val="16"/>
              </w:rPr>
              <w:br/>
              <w:t>[HIGH]</w:t>
            </w:r>
          </w:p>
        </w:tc>
        <w:tc>
          <w:tcPr>
            <w:tcW w:type="dxa" w:w="3685"/>
          </w:tcPr>
          <w:p>
            <w:r/>
            <w:r>
              <w:rPr>
                <w:rFonts w:ascii="Times New Roman" w:hAnsi="Times New Roman"/>
                <w:sz w:val="18"/>
              </w:rPr>
              <w:t>Исключительное право на результаты проектных работ по Договору, передается в полном объеме... включает в себя... все иные права, включая авторские права... без каких-либо ограничений. (п. 13.6) Генподрядчик не вправе использовать уникальные решения проектной и рабочей документации или отдельные части, при выполнении проектных работ на других объектах.</w:t>
            </w:r>
          </w:p>
        </w:tc>
        <w:tc>
          <w:tcPr>
            <w:tcW w:type="dxa" w:w="3685"/>
          </w:tcPr>
          <w:p>
            <w:r/>
            <w:r>
              <w:rPr>
                <w:rFonts w:ascii="Times New Roman" w:hAnsi="Times New Roman"/>
                <w:b/>
                <w:sz w:val="18"/>
              </w:rPr>
              <w:t>Исключительное право на результаты проектных работ передаётся Заказчику в объёме, необходимом для строительства, эксплуатации, реконструкции и модернизации объекта. Генподрядчик сохраняет право использовать типовые решения, стандартные узлы и конструктивные элементы, а также свой инженерный опыт при работе на других объектах. Право на переработку документации третьими лицами допускается с уведомлением Генподрядчика.</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Полное отчуждение исключительных прав без ограничения и запрет на использование «уникальных решений» лишают Генподрядчика его профессионального ноу-хау и инженерного опыта. Согласно ст. 1233 ГК РФ, правообладатель может распорядиться исключительным правом, но передача прав не может лишать его возможности использовать общеизвестные технические решения и накопленный профессиональный опыт. Запрет на использование решений на других объектах является ограничением конкуренции и может быть признан недействительным по ст. 10 ГК РФ.</w:t>
            </w:r>
          </w:p>
        </w:tc>
      </w:tr>
      <w:tr>
        <w:tc>
          <w:tcPr>
            <w:tcW w:type="dxa" w:w="567"/>
          </w:tcPr>
          <w:p>
            <w:pPr>
              <w:jc w:val="center"/>
            </w:pPr>
            <w:r/>
            <w:r>
              <w:rPr>
                <w:rFonts w:ascii="Times New Roman" w:hAnsi="Times New Roman"/>
                <w:sz w:val="18"/>
              </w:rPr>
              <w:t>36</w:t>
            </w:r>
          </w:p>
        </w:tc>
        <w:tc>
          <w:tcPr>
            <w:tcW w:type="dxa" w:w="1134"/>
          </w:tcPr>
          <w:p>
            <w:pPr>
              <w:jc w:val="center"/>
            </w:pPr>
            <w:r/>
            <w:r>
              <w:rPr>
                <w:rFonts w:ascii="Times New Roman" w:hAnsi="Times New Roman"/>
                <w:b/>
                <w:sz w:val="18"/>
              </w:rPr>
              <w:t>п. 9.3 (абзац 2)</w:t>
            </w:r>
            <w:r>
              <w:rPr>
                <w:rFonts w:ascii="Times New Roman" w:hAnsi="Times New Roman"/>
                <w:color w:val="008000"/>
                <w:sz w:val="16"/>
              </w:rPr>
              <w:br/>
              <w:t>[MEDIUM]</w:t>
            </w:r>
          </w:p>
        </w:tc>
        <w:tc>
          <w:tcPr>
            <w:tcW w:type="dxa" w:w="3685"/>
          </w:tcPr>
          <w:p>
            <w:r/>
            <w:r>
              <w:rPr>
                <w:rFonts w:ascii="Times New Roman" w:hAnsi="Times New Roman"/>
                <w:sz w:val="18"/>
              </w:rPr>
              <w:t>При отсутствии представителя Генподрядчика в указанный срок или отказе от подписания акта, Заказчик составляет акт в одностороннем порядке и такой акт будет являться обязательным для Генерального подрядчика и иметь силу двусторонне подписанного.</w:t>
            </w:r>
          </w:p>
        </w:tc>
        <w:tc>
          <w:tcPr>
            <w:tcW w:type="dxa" w:w="3685"/>
          </w:tcPr>
          <w:p>
            <w:r/>
            <w:r>
              <w:rPr>
                <w:rFonts w:ascii="Times New Roman" w:hAnsi="Times New Roman"/>
                <w:b/>
                <w:sz w:val="18"/>
              </w:rPr>
              <w:t>При отсутствии представителя Генподрядчика в установленный срок или отказе от подписания акта, Заказчик составляет акт с фиксацией факта неявки представителя Генподрядчика. Генподрядчик вправе оспорить содержание такого акта в судебном порядке. Акт, составленный в одностороннем порядке, не является безусловным доказательством наличия недостатков.</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Односторонний акт Заказчика, имеющий силу двустороннего, лишает Генподрядчика возможности оспорить факт наличия и характер недостатков. Это противоречит принципу состязательности и равноправия сторон. Согласно ст. 65 АПК РФ, каждое лицо, участвующее в деле, должно доказать обстоятельства, на которые оно ссылается. Безусловная обязательность одностороннего акта лишает Генподрядчика процессуальных прав.</w:t>
            </w:r>
          </w:p>
        </w:tc>
      </w:tr>
      <w:tr>
        <w:tc>
          <w:tcPr>
            <w:tcW w:type="dxa" w:w="567"/>
          </w:tcPr>
          <w:p>
            <w:pPr>
              <w:jc w:val="center"/>
            </w:pPr>
            <w:r/>
            <w:r>
              <w:rPr>
                <w:rFonts w:ascii="Times New Roman" w:hAnsi="Times New Roman"/>
                <w:sz w:val="18"/>
              </w:rPr>
              <w:t>37</w:t>
            </w:r>
          </w:p>
        </w:tc>
        <w:tc>
          <w:tcPr>
            <w:tcW w:type="dxa" w:w="1134"/>
          </w:tcPr>
          <w:p>
            <w:pPr>
              <w:jc w:val="center"/>
            </w:pPr>
            <w:r/>
            <w:r>
              <w:rPr>
                <w:rFonts w:ascii="Times New Roman" w:hAnsi="Times New Roman"/>
                <w:b/>
                <w:sz w:val="18"/>
              </w:rPr>
              <w:t>п. 2.6</w:t>
            </w:r>
            <w:r>
              <w:rPr>
                <w:rFonts w:ascii="Times New Roman" w:hAnsi="Times New Roman"/>
                <w:color w:val="008000"/>
                <w:sz w:val="16"/>
              </w:rPr>
              <w:br/>
              <w:t>[MEDIUM]</w:t>
            </w:r>
          </w:p>
        </w:tc>
        <w:tc>
          <w:tcPr>
            <w:tcW w:type="dxa" w:w="3685"/>
          </w:tcPr>
          <w:p>
            <w:r/>
            <w:r>
              <w:rPr>
                <w:rFonts w:ascii="Times New Roman" w:hAnsi="Times New Roman"/>
                <w:sz w:val="18"/>
              </w:rPr>
              <w:t>В случае увеличения сроков работ по основаниям, зависящим от Генподрядчика, стоимость содержания строительной площадки, эксплуатационные расходы, расходы на управление проектом и прочие факультативные расходы, и затраты Генподрядчика в период выполнения работ дольше согласованного срока, не возмещается Заказчиком.</w:t>
            </w:r>
          </w:p>
        </w:tc>
        <w:tc>
          <w:tcPr>
            <w:tcW w:type="dxa" w:w="3685"/>
          </w:tcPr>
          <w:p>
            <w:r/>
            <w:r>
              <w:rPr>
                <w:rFonts w:ascii="Times New Roman" w:hAnsi="Times New Roman"/>
                <w:b/>
                <w:sz w:val="18"/>
              </w:rPr>
              <w:t>В случае увеличения сроков работ по основаниям, зависящим от Генподрядчика, Генподрядчик несёт расходы на содержание строительной площадки в пропорциональной зависимости от своей степени вины в увеличении сроков. При наличии смешанной ответственности, расходы распределяются пропорционально степени вины каждой из Сторон.</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Данная норма в принципе соответствует ст. 393 ГК РФ (ответственность за неисполнение обязательства). Однако формулировка должна учитывать случаи смешанной ответственности, когда увеличение сроков обусловлено как действиями Генподрядчика, так и обстоятельствами, зависящими от Заказчика. Согласно ст. 404 ГК РФ, при неисполнении обязательства по вине обеих сторон размер ответственности определяется с учётом степени вины каждой из сторон.</w:t>
            </w:r>
          </w:p>
        </w:tc>
      </w:tr>
      <w:tr>
        <w:tc>
          <w:tcPr>
            <w:tcW w:type="dxa" w:w="567"/>
          </w:tcPr>
          <w:p>
            <w:pPr>
              <w:jc w:val="center"/>
            </w:pPr>
            <w:r/>
            <w:r>
              <w:rPr>
                <w:rFonts w:ascii="Times New Roman" w:hAnsi="Times New Roman"/>
                <w:sz w:val="18"/>
              </w:rPr>
              <w:t>38</w:t>
            </w:r>
          </w:p>
        </w:tc>
        <w:tc>
          <w:tcPr>
            <w:tcW w:type="dxa" w:w="1134"/>
          </w:tcPr>
          <w:p>
            <w:pPr>
              <w:jc w:val="center"/>
            </w:pPr>
            <w:r/>
            <w:r>
              <w:rPr>
                <w:rFonts w:ascii="Times New Roman" w:hAnsi="Times New Roman"/>
                <w:b/>
                <w:sz w:val="18"/>
              </w:rPr>
              <w:t>п. 1.5</w:t>
            </w:r>
            <w:r>
              <w:rPr>
                <w:rFonts w:ascii="Times New Roman" w:hAnsi="Times New Roman"/>
                <w:color w:val="008000"/>
                <w:sz w:val="16"/>
              </w:rPr>
              <w:br/>
              <w:t>[MEDIUM]</w:t>
            </w:r>
          </w:p>
        </w:tc>
        <w:tc>
          <w:tcPr>
            <w:tcW w:type="dxa" w:w="3685"/>
          </w:tcPr>
          <w:p>
            <w:r/>
            <w:r>
              <w:rPr>
                <w:rFonts w:ascii="Times New Roman" w:hAnsi="Times New Roman"/>
                <w:sz w:val="18"/>
              </w:rPr>
              <w:t>Заказчик для проверки качества работ Генподрядчика имеет право обратиться за соответствующей экспертизой в стороннюю организацию, при этом расходы... подлежат полному возмещению Заказчику в случае установления ненадлежащего качества результата работ...</w:t>
            </w:r>
          </w:p>
        </w:tc>
        <w:tc>
          <w:tcPr>
            <w:tcW w:type="dxa" w:w="3685"/>
          </w:tcPr>
          <w:p>
            <w:r/>
            <w:r>
              <w:rPr>
                <w:rFonts w:ascii="Times New Roman" w:hAnsi="Times New Roman"/>
                <w:b/>
                <w:sz w:val="18"/>
              </w:rPr>
              <w:t>Заказчик для проверки качества работ вправе обратиться за экспертизой в аккредитованную независимую организацию, согласованную Сторонами. Расходы на экспертизу несёт Сторона, чья позиция не подтвердилась результатами экспертизы. Если экспертиза не подтвердила ненадлежащее качество работ, расходы несёт Заказчик.</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Возложение расходов на экспертизу исключительно на Генподрядчика при установлении ненадлежащего качества без предоставления Генподрядчику права участвовать в выборе экспертной организации и без распределения расходов при неподтверждении претензий является несбалансированным. Генподрядчик должен иметь право предложить своего эксперта или оспорить результаты экспертизы.</w:t>
            </w:r>
          </w:p>
        </w:tc>
      </w:tr>
      <w:tr>
        <w:tc>
          <w:tcPr>
            <w:tcW w:type="dxa" w:w="567"/>
          </w:tcPr>
          <w:p>
            <w:pPr>
              <w:jc w:val="center"/>
            </w:pPr>
            <w:r/>
            <w:r>
              <w:rPr>
                <w:rFonts w:ascii="Times New Roman" w:hAnsi="Times New Roman"/>
                <w:sz w:val="18"/>
              </w:rPr>
              <w:t>39</w:t>
            </w:r>
          </w:p>
        </w:tc>
        <w:tc>
          <w:tcPr>
            <w:tcW w:type="dxa" w:w="1134"/>
          </w:tcPr>
          <w:p>
            <w:pPr>
              <w:jc w:val="center"/>
            </w:pPr>
            <w:r/>
            <w:r>
              <w:rPr>
                <w:rFonts w:ascii="Times New Roman" w:hAnsi="Times New Roman"/>
                <w:b/>
                <w:sz w:val="18"/>
              </w:rPr>
              <w:t>п. 10.10 (абзац i)</w:t>
            </w:r>
            <w:r>
              <w:rPr>
                <w:rFonts w:ascii="Times New Roman" w:hAnsi="Times New Roman"/>
                <w:b/>
                <w:color w:val="FF8000"/>
                <w:sz w:val="16"/>
              </w:rPr>
              <w:br/>
              <w:t>[HIGH]</w:t>
            </w:r>
          </w:p>
        </w:tc>
        <w:tc>
          <w:tcPr>
            <w:tcW w:type="dxa" w:w="3685"/>
          </w:tcPr>
          <w:p>
            <w:r/>
            <w:r>
              <w:rPr>
                <w:rFonts w:ascii="Times New Roman" w:hAnsi="Times New Roman"/>
                <w:sz w:val="18"/>
              </w:rPr>
              <w:t>Оплата неустоек, штрафов... производится... Путем удержания... Заказчиком начисленных Генподрядчику неустоек, штрафов... из подлежащих оплате Генподрядчику сумм за работы... Удержание производится Заказчиком в день уведомления Генподрядчика о произведенном удержании... Предусмотренный настоящим абзацем (i) порядок удержания... является согласованным сторонами и непредусмотренным гражданским законодательством способом прекращения обязательств Сторон...</w:t>
            </w:r>
          </w:p>
        </w:tc>
        <w:tc>
          <w:tcPr>
            <w:tcW w:type="dxa" w:w="3685"/>
          </w:tcPr>
          <w:p>
            <w:r/>
            <w:r>
              <w:rPr>
                <w:rFonts w:ascii="Times New Roman" w:hAnsi="Times New Roman"/>
                <w:b/>
                <w:sz w:val="18"/>
              </w:rPr>
              <w:t>Удержание неустоек и штрафов из сумм, подлежащих оплате Генподрядчику, допускается только на основании вступившего в законную силу решения суда или при наличии письменного согласия Генподрядчика. До вынесения судебного решения Заказчик не вправе в одностороннем порядке удерживать суммы неустоек и штрафов из оплаты выполненных работ.</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Одностороннее удержание неустоек и штрафов без судебного решения лишает Генподрядчика права оспорить размер и основания начисления штрафов до их фактического списания. Это противоречит ст. 711 ГК РФ (обязанность оплаты выполненных работ) и принципу недопустимости одностороннего зачёта при наличии спора. Кроме того, квалификация удержания как «способа прекращения обязательств, непредусмотренного гражданским законодательством» является юридически сомнительной и может быть оспорена как обход закона (ст. 10 ГК РФ).</w:t>
            </w:r>
          </w:p>
        </w:tc>
      </w:tr>
      <w:tr>
        <w:tc>
          <w:tcPr>
            <w:tcW w:type="dxa" w:w="567"/>
          </w:tcPr>
          <w:p>
            <w:pPr>
              <w:jc w:val="center"/>
            </w:pPr>
            <w:r/>
            <w:r>
              <w:rPr>
                <w:rFonts w:ascii="Times New Roman" w:hAnsi="Times New Roman"/>
                <w:sz w:val="18"/>
              </w:rPr>
              <w:t>40</w:t>
            </w:r>
          </w:p>
        </w:tc>
        <w:tc>
          <w:tcPr>
            <w:tcW w:type="dxa" w:w="1134"/>
          </w:tcPr>
          <w:p>
            <w:pPr>
              <w:jc w:val="center"/>
            </w:pPr>
            <w:r/>
            <w:r>
              <w:rPr>
                <w:rFonts w:ascii="Times New Roman" w:hAnsi="Times New Roman"/>
                <w:b/>
                <w:sz w:val="18"/>
              </w:rPr>
              <w:t>п. 6.2.1</w:t>
            </w:r>
            <w:r>
              <w:rPr>
                <w:rFonts w:ascii="Times New Roman" w:hAnsi="Times New Roman"/>
                <w:color w:val="008000"/>
                <w:sz w:val="16"/>
              </w:rPr>
              <w:br/>
              <w:t>[MEDIUM]</w:t>
            </w:r>
          </w:p>
        </w:tc>
        <w:tc>
          <w:tcPr>
            <w:tcW w:type="dxa" w:w="3685"/>
          </w:tcPr>
          <w:p>
            <w:r/>
            <w:r>
              <w:rPr>
                <w:rFonts w:ascii="Times New Roman" w:hAnsi="Times New Roman"/>
                <w:sz w:val="18"/>
              </w:rPr>
              <w:t>С последующим письменным уведомлением Заказчика в течение 10 (Десяти) рабочих дней с даты заключения соответствующих договоров привлекать субподрядчиков, субпроектировщиков и иных третьих лиц для выполнения работ по Договору...</w:t>
            </w:r>
          </w:p>
        </w:tc>
        <w:tc>
          <w:tcPr>
            <w:tcW w:type="dxa" w:w="3685"/>
          </w:tcPr>
          <w:p>
            <w:r/>
            <w:r>
              <w:rPr>
                <w:rFonts w:ascii="Times New Roman" w:hAnsi="Times New Roman"/>
                <w:b/>
                <w:sz w:val="18"/>
              </w:rPr>
              <w:t>Генподрядчик вправе привлекать субподрядчиков с предварительным уведомлением Заказчика за 10 (Десять) рабочих дней до заключения соответствующих договоров. Генподрядчик обязан согласовать с Заказчиком привлечение субподрядчиков для выполнения работ, относящихся к лицензируемым видам деятельности.</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Уведомление Заказчика после заключения договоров с субподрядчиками лишает Заказчика возможности заранее оценить риски, но в то же время Генподрядчик как генеральный подрядчик несёт полную ответственность за действия субподрядчиков (ст. 706 ГК РФ). Необходимо найти баланс между правом Генподрядчика на привлечение субподрядчиков (ст. 706 ГК РФ) и правом Заказчика знать, кто выполняет работы на его объекте. Предварительное уведомление является компромиссом.</w:t>
            </w:r>
          </w:p>
        </w:tc>
      </w:tr>
      <w:tr>
        <w:tc>
          <w:tcPr>
            <w:tcW w:type="dxa" w:w="567"/>
          </w:tcPr>
          <w:p>
            <w:pPr>
              <w:jc w:val="center"/>
            </w:pPr>
            <w:r/>
            <w:r>
              <w:rPr>
                <w:rFonts w:ascii="Times New Roman" w:hAnsi="Times New Roman"/>
                <w:sz w:val="18"/>
              </w:rPr>
              <w:t>41</w:t>
            </w:r>
          </w:p>
        </w:tc>
        <w:tc>
          <w:tcPr>
            <w:tcW w:type="dxa" w:w="1134"/>
          </w:tcPr>
          <w:p>
            <w:pPr>
              <w:jc w:val="center"/>
            </w:pPr>
            <w:r/>
            <w:r>
              <w:rPr>
                <w:rFonts w:ascii="Times New Roman" w:hAnsi="Times New Roman"/>
                <w:b/>
                <w:sz w:val="18"/>
              </w:rPr>
              <w:t>п. 2.8.1</w:t>
            </w:r>
            <w:r>
              <w:rPr>
                <w:rFonts w:ascii="Times New Roman" w:hAnsi="Times New Roman"/>
                <w:color w:val="008000"/>
                <w:sz w:val="16"/>
              </w:rPr>
              <w:br/>
              <w:t>[MEDIUM]</w:t>
            </w:r>
          </w:p>
        </w:tc>
        <w:tc>
          <w:tcPr>
            <w:tcW w:type="dxa" w:w="3685"/>
          </w:tcPr>
          <w:p>
            <w:r/>
            <w:r>
              <w:rPr>
                <w:rFonts w:ascii="Times New Roman" w:hAnsi="Times New Roman"/>
                <w:sz w:val="18"/>
              </w:rPr>
              <w:t>Генподрядчик обращается к Заказчику с запросом о продлении сроков выполнения работ не позднее 15 (Пятнадцати) рабочих дней с момента наступления обстоятельств, которые могут потребовать продления сроков выполнения работ.</w:t>
            </w:r>
          </w:p>
        </w:tc>
        <w:tc>
          <w:tcPr>
            <w:tcW w:type="dxa" w:w="3685"/>
          </w:tcPr>
          <w:p>
            <w:r/>
            <w:r>
              <w:rPr>
                <w:rFonts w:ascii="Times New Roman" w:hAnsi="Times New Roman"/>
                <w:b/>
                <w:sz w:val="18"/>
              </w:rPr>
              <w:t>Генподрядчик обращается к Заказчику с запросом о продлении сроков выполнения работ не позднее 30 (Тридцати) календарных дней с момента, когда Генподрядчику стало известно или должно было стать известно о наступлении обстоятельств, которые могут потребовать продления сроков.</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Срок в 15 рабочих дней может быть недостаточным в случае длящихся обстоятельств (например, задержка согласования документации, длительные отрицательные температуры). Формулировка «с момента наступления обстоятельств» вместо «с момента, когда стало известно» является более жёсткой, поскольку обстоятельства могут наступать до того, как Генподрядчик объективно сможет их выявить. Необходимо учитывать принцип добросовестности (ст. 10 ГК РФ).</w:t>
            </w:r>
          </w:p>
        </w:tc>
      </w:tr>
      <w:tr>
        <w:tc>
          <w:tcPr>
            <w:tcW w:type="dxa" w:w="567"/>
          </w:tcPr>
          <w:p>
            <w:pPr>
              <w:jc w:val="center"/>
            </w:pPr>
            <w:r/>
            <w:r>
              <w:rPr>
                <w:rFonts w:ascii="Times New Roman" w:hAnsi="Times New Roman"/>
                <w:sz w:val="18"/>
              </w:rPr>
              <w:t>42</w:t>
            </w:r>
          </w:p>
        </w:tc>
        <w:tc>
          <w:tcPr>
            <w:tcW w:type="dxa" w:w="1134"/>
          </w:tcPr>
          <w:p>
            <w:pPr>
              <w:jc w:val="center"/>
            </w:pPr>
            <w:r/>
            <w:r>
              <w:rPr>
                <w:rFonts w:ascii="Times New Roman" w:hAnsi="Times New Roman"/>
                <w:b/>
                <w:sz w:val="18"/>
              </w:rPr>
              <w:t>п. 6.4.5</w:t>
            </w:r>
            <w:r>
              <w:rPr>
                <w:rFonts w:ascii="Times New Roman" w:hAnsi="Times New Roman"/>
                <w:b/>
                <w:color w:val="FF8000"/>
                <w:sz w:val="16"/>
              </w:rPr>
              <w:br/>
              <w:t>[HIGH]</w:t>
            </w:r>
          </w:p>
        </w:tc>
        <w:tc>
          <w:tcPr>
            <w:tcW w:type="dxa" w:w="3685"/>
          </w:tcPr>
          <w:p>
            <w:r/>
            <w:r>
              <w:rPr>
                <w:rFonts w:ascii="Times New Roman" w:hAnsi="Times New Roman"/>
                <w:sz w:val="18"/>
              </w:rPr>
              <w:t>В случае обнаружения ненадлежащего качества работ... Заказчик вправе не предъявлять Генподрядчику требование об устранении выявленных недостатков, а устранить их самостоятельно, путем поручения их устранения другому подрядчику. Документально подтвержденные расходы Заказчика на устранение недостатков возмещаются Генподрядчиком...</w:t>
            </w:r>
          </w:p>
        </w:tc>
        <w:tc>
          <w:tcPr>
            <w:tcW w:type="dxa" w:w="3685"/>
          </w:tcPr>
          <w:p>
            <w:r/>
            <w:r>
              <w:rPr>
                <w:rFonts w:ascii="Times New Roman" w:hAnsi="Times New Roman"/>
                <w:b/>
                <w:sz w:val="18"/>
              </w:rPr>
              <w:t>В случае обнаружения ненадлежащего качества работ Заказчик обязан в первую очередь предъявить Генподрядчику требование об устранении недостатков с установлением разумного срока. Привлечение третьих лиц для устранения недостатков допускается только при отказе Генподрядчика от устранения или при истечении установленного срока. Стоимость устранения силами третьих лиц подлежит согласованию с Генподрядчиком.</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Право Заказчика устранять недостатки силами третьих лиц без предварительного обращения к Генподрядчику лишает последнего права на устранение недостатков своими силами, что предусмотрено ст. 723 ГК РФ. Без предварительного обращения к Генподрядчику невозможно установить, мог ли он устранить недостатки с меньшими затратами. Это создаёт риск завышения стоимости устранения недостатков и необоснованного возложения расходов на Генподрядчика.</w:t>
            </w:r>
          </w:p>
        </w:tc>
      </w:tr>
      <w:tr>
        <w:tc>
          <w:tcPr>
            <w:tcW w:type="dxa" w:w="567"/>
          </w:tcPr>
          <w:p>
            <w:pPr>
              <w:jc w:val="center"/>
            </w:pPr>
            <w:r/>
            <w:r>
              <w:rPr>
                <w:rFonts w:ascii="Times New Roman" w:hAnsi="Times New Roman"/>
                <w:sz w:val="18"/>
              </w:rPr>
              <w:t>43</w:t>
            </w:r>
          </w:p>
        </w:tc>
        <w:tc>
          <w:tcPr>
            <w:tcW w:type="dxa" w:w="1134"/>
          </w:tcPr>
          <w:p>
            <w:pPr>
              <w:jc w:val="center"/>
            </w:pPr>
            <w:r/>
            <w:r>
              <w:rPr>
                <w:rFonts w:ascii="Times New Roman" w:hAnsi="Times New Roman"/>
                <w:b/>
                <w:sz w:val="18"/>
              </w:rPr>
              <w:t>п. 3.2 (абзац последний)</w:t>
            </w:r>
            <w:r>
              <w:rPr>
                <w:rFonts w:ascii="Times New Roman" w:hAnsi="Times New Roman"/>
                <w:b/>
                <w:color w:val="FF8000"/>
                <w:sz w:val="16"/>
              </w:rPr>
              <w:br/>
              <w:t>[HIGH]</w:t>
            </w:r>
          </w:p>
        </w:tc>
        <w:tc>
          <w:tcPr>
            <w:tcW w:type="dxa" w:w="3685"/>
          </w:tcPr>
          <w:p>
            <w:r/>
            <w:r>
              <w:rPr>
                <w:rFonts w:ascii="Times New Roman" w:hAnsi="Times New Roman"/>
                <w:sz w:val="18"/>
              </w:rPr>
              <w:t>Вышеуказанные расходы, включенные в Цену работ приведены Сторонами в информационном порядке и отсутствие каких-либо расходов, не является основанием для изменения Цены работ и не может служить правом для Генподрядчика на предъявление к оплате таких неучтенных расходов.</w:t>
            </w:r>
          </w:p>
        </w:tc>
        <w:tc>
          <w:tcPr>
            <w:tcW w:type="dxa" w:w="3685"/>
          </w:tcPr>
          <w:p>
            <w:r/>
            <w:r>
              <w:rPr>
                <w:rFonts w:ascii="Times New Roman" w:hAnsi="Times New Roman"/>
                <w:b/>
                <w:sz w:val="18"/>
              </w:rPr>
              <w:t>Расходы, включённые в Цену работ в соответствии с настоящим пунктом, являются исчерпывающими. В случае возникновения расходов, не предусмотренных настоящим пунктом и не являющихся следствием виновных действий Генподрядчика, такие расходы подлежат оплате Заказчиком дополнительно на основании отдельной сметы.</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Формулировка «в информационном порядке» в сочетании с открытым перечнем расходов («не ограничиваясь») и запретом на предъявление неучтённых расходов создаёт правовую неопределённость: Генподрядчик не может заявить ни один расход как «неучтённый», поскольку перечень открытый, а любой якобы неучтённый расход может быть подведён под общую формулировку. Это противоречит принципу определённости предмета договора (ст. 702, 709 ГК РФ) и лишает Генподрядчика возможности прогнозировать свои затраты.</w:t>
            </w:r>
          </w:p>
        </w:tc>
      </w:tr>
      <w:tr>
        <w:tc>
          <w:tcPr>
            <w:tcW w:type="dxa" w:w="567"/>
          </w:tcPr>
          <w:p>
            <w:pPr>
              <w:jc w:val="center"/>
            </w:pPr>
            <w:r/>
            <w:r>
              <w:rPr>
                <w:rFonts w:ascii="Times New Roman" w:hAnsi="Times New Roman"/>
                <w:sz w:val="18"/>
              </w:rPr>
              <w:t>44</w:t>
            </w:r>
          </w:p>
        </w:tc>
        <w:tc>
          <w:tcPr>
            <w:tcW w:type="dxa" w:w="1134"/>
          </w:tcPr>
          <w:p>
            <w:pPr>
              <w:jc w:val="center"/>
            </w:pPr>
            <w:r/>
            <w:r>
              <w:rPr>
                <w:rFonts w:ascii="Times New Roman" w:hAnsi="Times New Roman"/>
                <w:b/>
                <w:sz w:val="18"/>
              </w:rPr>
              <w:t>п. 1.3 (абзац 2)</w:t>
            </w:r>
            <w:r>
              <w:rPr>
                <w:rFonts w:ascii="Times New Roman" w:hAnsi="Times New Roman"/>
                <w:color w:val="008000"/>
                <w:sz w:val="16"/>
              </w:rPr>
              <w:br/>
              <w:t>[MEDIUM]</w:t>
            </w:r>
          </w:p>
        </w:tc>
        <w:tc>
          <w:tcPr>
            <w:tcW w:type="dxa" w:w="3685"/>
          </w:tcPr>
          <w:p>
            <w:r/>
            <w:r>
              <w:rPr>
                <w:rFonts w:ascii="Times New Roman" w:hAnsi="Times New Roman"/>
                <w:sz w:val="18"/>
              </w:rPr>
              <w:t>В случае несоответствия строительных работ проектной и(или) рабочей документации, такие работы считаются выполненными с недостатками, и Генподрядчик обязан привести разработанную им проектную и(или) рабочую документацию в соответствие с нормативными требованиями и устранить недостатки строительных работ.</w:t>
            </w:r>
          </w:p>
        </w:tc>
        <w:tc>
          <w:tcPr>
            <w:tcW w:type="dxa" w:w="3685"/>
          </w:tcPr>
          <w:p>
            <w:r/>
            <w:r>
              <w:rPr>
                <w:rFonts w:ascii="Times New Roman" w:hAnsi="Times New Roman"/>
                <w:b/>
                <w:sz w:val="18"/>
              </w:rPr>
              <w:t>В случае несоответствия строительных работ проектной и(или) рабочей документации, такие работы считаются выполненными с недостатками. Генподрядчик обязан устранить недостатки строительных работ. Если несоответствие проектной или рабочей документации явилось следствием ошибок в исходных данных, предоставленных Заказчиком, устранение недостатков производится за счёт Заказчика.</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Обязанность Генподрядчика привести документацию «в соответствие с нормативными требованиями» без разграничения причин несоответствия может привести к безвозмездному устранению ошибок, вызванных некачественными исходными данными Заказчика. Согласно ст. 744 ГК РФ, Генподрядчик несёт ответственность за качество проектной документации, но Заказчик несёт ответственность за полноту и достоверность исходных данных (ст. 747 ГК РФ).</w:t>
            </w:r>
          </w:p>
        </w:tc>
      </w:tr>
      <w:tr>
        <w:tc>
          <w:tcPr>
            <w:tcW w:type="dxa" w:w="567"/>
          </w:tcPr>
          <w:p>
            <w:pPr>
              <w:jc w:val="center"/>
            </w:pPr>
            <w:r/>
            <w:r>
              <w:rPr>
                <w:rFonts w:ascii="Times New Roman" w:hAnsi="Times New Roman"/>
                <w:sz w:val="18"/>
              </w:rPr>
              <w:t>45</w:t>
            </w:r>
          </w:p>
        </w:tc>
        <w:tc>
          <w:tcPr>
            <w:tcW w:type="dxa" w:w="1134"/>
          </w:tcPr>
          <w:p>
            <w:pPr>
              <w:jc w:val="center"/>
            </w:pPr>
            <w:r/>
            <w:r>
              <w:rPr>
                <w:rFonts w:ascii="Times New Roman" w:hAnsi="Times New Roman"/>
                <w:b/>
                <w:sz w:val="18"/>
              </w:rPr>
              <w:t>п. 7.8</w:t>
            </w:r>
            <w:r>
              <w:rPr>
                <w:rFonts w:ascii="Times New Roman" w:hAnsi="Times New Roman"/>
                <w:color w:val="008000"/>
                <w:sz w:val="16"/>
              </w:rPr>
              <w:br/>
              <w:t>[MEDIUM]</w:t>
            </w:r>
          </w:p>
        </w:tc>
        <w:tc>
          <w:tcPr>
            <w:tcW w:type="dxa" w:w="3685"/>
          </w:tcPr>
          <w:p>
            <w:r/>
            <w:r>
              <w:rPr>
                <w:rFonts w:ascii="Times New Roman" w:hAnsi="Times New Roman"/>
                <w:sz w:val="18"/>
              </w:rPr>
              <w:t>Генподрядчик обязан в срок не более одного дня с момента получения указаний Заказчика приступить к работе по замене некачественных материалов... за свой счет заменить такие материалы... в максимально короткий срок, если иной срок не установлен в указании Заказчика.</w:t>
            </w:r>
          </w:p>
        </w:tc>
        <w:tc>
          <w:tcPr>
            <w:tcW w:type="dxa" w:w="3685"/>
          </w:tcPr>
          <w:p>
            <w:r/>
            <w:r>
              <w:rPr>
                <w:rFonts w:ascii="Times New Roman" w:hAnsi="Times New Roman"/>
                <w:b/>
                <w:sz w:val="18"/>
              </w:rPr>
              <w:t>Генподрядчик обязан приступить к замене материалов в срок не более 5 (Пяти) рабочих дней с момента получения указания Заказчика и завершить замену в максимально короткий срок, но не более 30 (Тридцати) календарных дней, если иной срок не согласован Сторонами.</w:t>
            </w:r>
          </w:p>
        </w:tc>
      </w:tr>
      <w:tr>
        <w:tc>
          <w:tcPr>
            <w:tcW w:type="dxa" w:w="9071"/>
            <w:gridSpan w:val="4"/>
            <w:shd w:fill="F5F5F5"/>
          </w:tcPr>
          <w:p>
            <w:r/>
            <w:r>
              <w:rPr>
                <w:rFonts w:ascii="Times New Roman" w:hAnsi="Times New Roman"/>
                <w:b/>
                <w:i/>
                <w:sz w:val="16"/>
              </w:rPr>
              <w:t xml:space="preserve">Обоснование: </w:t>
            </w:r>
            <w:r>
              <w:rPr>
                <w:rFonts w:ascii="Times New Roman" w:hAnsi="Times New Roman"/>
                <w:i/>
                <w:color w:val="444444"/>
                <w:sz w:val="16"/>
              </w:rPr>
              <w:t>Срок в 1 день для начала замены материалов является нереалистичным, особенно если речь идёт о материалах с длительным сроком поставки или импортных материалах. Это требование по существу неисполнимо и создаёт основания для начисления штрафов. Согласно ст. 314 ГК РФ, обязательство должно быть исполнено в разумный срок.</w:t>
            </w:r>
          </w:p>
        </w:tc>
      </w:tr>
    </w:tbl>
    <w:p/>
    <w:p>
      <w:pPr>
        <w:jc w:val="left"/>
      </w:pPr>
      <w:r>
        <w:rPr>
          <w:rFonts w:ascii="Times New Roman" w:hAnsi="Times New Roman"/>
          <w:b/>
          <w:sz w:val="26"/>
        </w:rPr>
        <w:t>СВОДКА АНАЛИЗА</w:t>
      </w:r>
    </w:p>
    <w:p>
      <w:pPr>
        <w:ind w:firstLine="709"/>
      </w:pPr>
      <w:r>
        <w:rPr>
          <w:rFonts w:ascii="Times New Roman" w:hAnsi="Times New Roman"/>
          <w:sz w:val="20"/>
        </w:rPr>
        <w:t>Всего выявлено пунктов разногласий: 45</w:t>
        <w:br/>
        <w:t>Из них:</w:t>
        <w:br/>
        <w:t xml:space="preserve">  • CRITICAL (экзистенциальный риск): 13</w:t>
        <w:br/>
        <w:t xml:space="preserve">  • HIGH (значительный финансовый риск): 21</w:t>
        <w:br/>
        <w:t xml:space="preserve">  • MEDIUM (операционный риск): 11</w:t>
        <w:br/>
        <w:br/>
        <w:t>Предыдущий протокол содержал 18 пунктов. Настоящий протокол содержит 45 пунктов, что на 27 пунктов больше.</w:t>
        <w:br/>
        <w:br/>
        <w:t>Новые ключевые находки, не вошедшие в предыдущий протокол:</w:t>
        <w:br/>
        <w:t xml:space="preserve">  1. п. 1.7 — Обязательные условия Wildberries с приоритетом над Договором (CRITICAL)</w:t>
        <w:br/>
        <w:t xml:space="preserve">  2. п. 3.4 — Бросовые работы от изменений Заказчика включены в твёрдую цену (CRITICAL)</w:t>
        <w:br/>
        <w:t xml:space="preserve">  3. п. 4.5.1 — Убытки при приостановке по вине Заказчика ограничены 0,01% (CRITICAL)</w:t>
        <w:br/>
        <w:t xml:space="preserve">  4. п. 10.2 — Заранее оценённые убытки 720 млн руб./мес., неприменимость ст. 333 ГК РФ (CRITICAL)</w:t>
        <w:br/>
        <w:t xml:space="preserve">  5. п. 12.11 — Запрет на отказ от Договора по ст. 719 ГК РФ (CRITICAL)</w:t>
      </w:r>
    </w:p>
    <w:p/>
    <w:p/>
    <w:p>
      <w:pPr>
        <w:jc w:val="center"/>
      </w:pPr>
      <w:r>
        <w:rPr>
          <w:rFonts w:ascii="Times New Roman" w:hAnsi="Times New Roman"/>
          <w:b/>
          <w:sz w:val="24"/>
        </w:rPr>
        <w:t>ПОДПИСИ СТОРОН</w:t>
      </w:r>
    </w:p>
    <w:p/>
    <w:tbl>
      <w:tblPr>
        <w:tblW w:type="auto" w:w="0"/>
        <w:jc w:val="center"/>
        <w:tblLook w:firstColumn="1" w:firstRow="1" w:lastColumn="0" w:lastRow="0" w:noHBand="0" w:noVBand="1" w:val="04A0"/>
      </w:tblPr>
      <w:tblGrid>
        <w:gridCol w:w="4986"/>
        <w:gridCol w:w="4986"/>
      </w:tblGrid>
      <w:tr>
        <w:tc>
          <w:tcPr>
            <w:tcW w:type="dxa" w:w="4986"/>
            <w:tcBorders>
              <w:top w:val="none" w:sz="0" w:space="0" w:color="auto"/>
              <w:left w:val="none" w:sz="0" w:space="0" w:color="auto"/>
              <w:bottom w:val="none" w:sz="0" w:space="0" w:color="auto"/>
              <w:right w:val="none" w:sz="0" w:space="0" w:color="auto"/>
            </w:tcBorders>
          </w:tcPr>
          <w:p>
            <w:r/>
            <w:r>
              <w:rPr>
                <w:rFonts w:ascii="Times New Roman" w:hAnsi="Times New Roman"/>
                <w:b/>
                <w:sz w:val="20"/>
              </w:rPr>
              <w:t>ЗАКАЗЧИК:</w:t>
            </w:r>
          </w:p>
        </w:tc>
        <w:tc>
          <w:tcPr>
            <w:tcW w:type="dxa" w:w="4986"/>
            <w:tcBorders>
              <w:top w:val="none" w:sz="0" w:space="0" w:color="auto"/>
              <w:left w:val="none" w:sz="0" w:space="0" w:color="auto"/>
              <w:bottom w:val="none" w:sz="0" w:space="0" w:color="auto"/>
              <w:right w:val="none" w:sz="0" w:space="0" w:color="auto"/>
            </w:tcBorders>
          </w:tcPr>
          <w:p>
            <w:r/>
            <w:r>
              <w:rPr>
                <w:rFonts w:ascii="Times New Roman" w:hAnsi="Times New Roman"/>
                <w:b/>
                <w:sz w:val="20"/>
              </w:rPr>
              <w:t>ГЕНПОДРЯДЧИК:</w:t>
            </w:r>
          </w:p>
        </w:tc>
      </w:tr>
      <w:tr>
        <w:tc>
          <w:tcPr>
            <w:tcW w:type="dxa" w:w="4986"/>
            <w:tcBorders>
              <w:top w:val="none" w:sz="0" w:space="0" w:color="auto"/>
              <w:left w:val="none" w:sz="0" w:space="0" w:color="auto"/>
              <w:bottom w:val="none" w:sz="0" w:space="0" w:color="auto"/>
              <w:right w:val="none" w:sz="0" w:space="0" w:color="auto"/>
            </w:tcBorders>
          </w:tcPr>
          <w:p>
            <w:r/>
            <w:r>
              <w:rPr>
                <w:rFonts w:ascii="Times New Roman" w:hAnsi="Times New Roman"/>
                <w:sz w:val="20"/>
              </w:rPr>
              <w:t>ООО «ИНВЕСТСТРОЙГРУПП»</w:t>
            </w:r>
          </w:p>
        </w:tc>
        <w:tc>
          <w:tcPr>
            <w:tcW w:type="dxa" w:w="4986"/>
            <w:tcBorders>
              <w:top w:val="none" w:sz="0" w:space="0" w:color="auto"/>
              <w:left w:val="none" w:sz="0" w:space="0" w:color="auto"/>
              <w:bottom w:val="none" w:sz="0" w:space="0" w:color="auto"/>
              <w:right w:val="none" w:sz="0" w:space="0" w:color="auto"/>
            </w:tcBorders>
          </w:tcPr>
          <w:p>
            <w:r/>
            <w:r>
              <w:rPr>
                <w:rFonts w:ascii="Times New Roman" w:hAnsi="Times New Roman"/>
                <w:sz w:val="20"/>
              </w:rPr>
              <w:t>ООО «[Наименование]»</w:t>
            </w:r>
          </w:p>
        </w:tc>
      </w:tr>
      <w:tr>
        <w:tc>
          <w:tcPr>
            <w:tcW w:type="dxa" w:w="4986"/>
            <w:tcBorders>
              <w:top w:val="none" w:sz="0" w:space="0" w:color="auto"/>
              <w:left w:val="none" w:sz="0" w:space="0" w:color="auto"/>
              <w:bottom w:val="none" w:sz="0" w:space="0" w:color="auto"/>
              <w:right w:val="none" w:sz="0" w:space="0" w:color="auto"/>
            </w:tcBorders>
          </w:tcPr>
          <w:p>
            <w:r/>
            <w:r>
              <w:rPr>
                <w:rFonts w:ascii="Times New Roman" w:hAnsi="Times New Roman"/>
                <w:sz w:val="20"/>
              </w:rPr>
            </w:r>
          </w:p>
        </w:tc>
        <w:tc>
          <w:tcPr>
            <w:tcW w:type="dxa" w:w="4986"/>
            <w:tcBorders>
              <w:top w:val="none" w:sz="0" w:space="0" w:color="auto"/>
              <w:left w:val="none" w:sz="0" w:space="0" w:color="auto"/>
              <w:bottom w:val="none" w:sz="0" w:space="0" w:color="auto"/>
              <w:right w:val="none" w:sz="0" w:space="0" w:color="auto"/>
            </w:tcBorders>
          </w:tcPr>
          <w:p>
            <w:r/>
            <w:r>
              <w:rPr>
                <w:rFonts w:ascii="Times New Roman" w:hAnsi="Times New Roman"/>
                <w:sz w:val="20"/>
              </w:rPr>
            </w:r>
          </w:p>
        </w:tc>
      </w:tr>
      <w:tr>
        <w:tc>
          <w:tcPr>
            <w:tcW w:type="dxa" w:w="4986"/>
            <w:tcBorders>
              <w:top w:val="none" w:sz="0" w:space="0" w:color="auto"/>
              <w:left w:val="none" w:sz="0" w:space="0" w:color="auto"/>
              <w:bottom w:val="none" w:sz="0" w:space="0" w:color="auto"/>
              <w:right w:val="none" w:sz="0" w:space="0" w:color="auto"/>
            </w:tcBorders>
          </w:tcPr>
          <w:p>
            <w:r/>
            <w:r>
              <w:rPr>
                <w:rFonts w:ascii="Times New Roman" w:hAnsi="Times New Roman"/>
                <w:sz w:val="20"/>
              </w:rPr>
              <w:t>_________________ / Грачёв И.В. /</w:t>
            </w:r>
          </w:p>
        </w:tc>
        <w:tc>
          <w:tcPr>
            <w:tcW w:type="dxa" w:w="4986"/>
            <w:tcBorders>
              <w:top w:val="none" w:sz="0" w:space="0" w:color="auto"/>
              <w:left w:val="none" w:sz="0" w:space="0" w:color="auto"/>
              <w:bottom w:val="none" w:sz="0" w:space="0" w:color="auto"/>
              <w:right w:val="none" w:sz="0" w:space="0" w:color="auto"/>
            </w:tcBorders>
          </w:tcPr>
          <w:p>
            <w:r/>
            <w:r>
              <w:rPr>
                <w:rFonts w:ascii="Times New Roman" w:hAnsi="Times New Roman"/>
                <w:sz w:val="20"/>
              </w:rPr>
              <w:t>_________________ / _______________ /</w:t>
            </w:r>
          </w:p>
        </w:tc>
      </w:tr>
      <w:tr>
        <w:tc>
          <w:tcPr>
            <w:tcW w:type="dxa" w:w="4986"/>
            <w:tcBorders>
              <w:top w:val="none" w:sz="0" w:space="0" w:color="auto"/>
              <w:left w:val="none" w:sz="0" w:space="0" w:color="auto"/>
              <w:bottom w:val="none" w:sz="0" w:space="0" w:color="auto"/>
              <w:right w:val="none" w:sz="0" w:space="0" w:color="auto"/>
            </w:tcBorders>
          </w:tcPr>
          <w:p>
            <w:r/>
            <w:r>
              <w:rPr>
                <w:rFonts w:ascii="Times New Roman" w:hAnsi="Times New Roman"/>
                <w:sz w:val="20"/>
              </w:rPr>
              <w:t>М.П.</w:t>
            </w:r>
          </w:p>
        </w:tc>
        <w:tc>
          <w:tcPr>
            <w:tcW w:type="dxa" w:w="4986"/>
            <w:tcBorders>
              <w:top w:val="none" w:sz="0" w:space="0" w:color="auto"/>
              <w:left w:val="none" w:sz="0" w:space="0" w:color="auto"/>
              <w:bottom w:val="none" w:sz="0" w:space="0" w:color="auto"/>
              <w:right w:val="none" w:sz="0" w:space="0" w:color="auto"/>
            </w:tcBorders>
          </w:tcPr>
          <w:p>
            <w:r/>
            <w:r>
              <w:rPr>
                <w:rFonts w:ascii="Times New Roman" w:hAnsi="Times New Roman"/>
                <w:sz w:val="20"/>
              </w:rPr>
              <w:t>М.П.</w:t>
            </w:r>
          </w:p>
        </w:tc>
      </w:tr>
      <w:tr>
        <w:tc>
          <w:tcPr>
            <w:tcW w:type="dxa" w:w="4986"/>
            <w:tcBorders>
              <w:top w:val="none" w:sz="0" w:space="0" w:color="auto"/>
              <w:left w:val="none" w:sz="0" w:space="0" w:color="auto"/>
              <w:bottom w:val="none" w:sz="0" w:space="0" w:color="auto"/>
              <w:right w:val="none" w:sz="0" w:space="0" w:color="auto"/>
            </w:tcBorders>
          </w:tcPr>
          <w:p>
            <w:r/>
            <w:r>
              <w:rPr>
                <w:rFonts w:ascii="Times New Roman" w:hAnsi="Times New Roman"/>
                <w:sz w:val="20"/>
              </w:rPr>
              <w:t>Дата: «___» __________ 202__ г.</w:t>
            </w:r>
          </w:p>
        </w:tc>
        <w:tc>
          <w:tcPr>
            <w:tcW w:type="dxa" w:w="4986"/>
            <w:tcBorders>
              <w:top w:val="none" w:sz="0" w:space="0" w:color="auto"/>
              <w:left w:val="none" w:sz="0" w:space="0" w:color="auto"/>
              <w:bottom w:val="none" w:sz="0" w:space="0" w:color="auto"/>
              <w:right w:val="none" w:sz="0" w:space="0" w:color="auto"/>
            </w:tcBorders>
          </w:tcPr>
          <w:p>
            <w:r/>
            <w:r>
              <w:rPr>
                <w:rFonts w:ascii="Times New Roman" w:hAnsi="Times New Roman"/>
                <w:sz w:val="20"/>
              </w:rPr>
              <w:t>Дата: «___» __________ 202__ г.</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