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C4D17" w14:textId="7988C4F9" w:rsidR="00567A83" w:rsidRDefault="00F420C9" w:rsidP="00F420C9">
      <w:pPr>
        <w:pStyle w:val="Title"/>
      </w:pPr>
      <w:r>
        <w:t>Temporization for endodontics</w:t>
      </w:r>
    </w:p>
    <w:p w14:paraId="0EF98184" w14:textId="06CEE7AF" w:rsidR="00F420C9" w:rsidRDefault="00F420C9" w:rsidP="00F420C9">
      <w:pPr>
        <w:pStyle w:val="ListParagraph"/>
        <w:numPr>
          <w:ilvl w:val="0"/>
          <w:numId w:val="2"/>
        </w:numPr>
      </w:pPr>
      <w:r w:rsidRPr="00F420C9">
        <w:t xml:space="preserve">Lack of satisfactory temporary restorations during endodontic therapy is ranked </w:t>
      </w:r>
      <w:r w:rsidRPr="00F420C9">
        <w:rPr>
          <w:b/>
          <w:bCs/>
        </w:rPr>
        <w:t>second</w:t>
      </w:r>
      <w:r w:rsidRPr="00F420C9">
        <w:t xml:space="preserve"> among the factors in continued pain after treatment commencement</w:t>
      </w:r>
      <w:r>
        <w:t>.</w:t>
      </w:r>
    </w:p>
    <w:p w14:paraId="4A9ADFEB" w14:textId="2566F99A" w:rsidR="00F420C9" w:rsidRDefault="00F420C9" w:rsidP="00F420C9">
      <w:pPr>
        <w:pStyle w:val="ListParagraph"/>
        <w:numPr>
          <w:ilvl w:val="0"/>
          <w:numId w:val="2"/>
        </w:numPr>
      </w:pPr>
      <w:r>
        <w:t xml:space="preserve">Coronal seal has been shown to be critical for periapical health. </w:t>
      </w:r>
    </w:p>
    <w:p w14:paraId="6BB2E255" w14:textId="04186E8E" w:rsidR="00F420C9" w:rsidRDefault="00F420C9" w:rsidP="00F420C9">
      <w:pPr>
        <w:pBdr>
          <w:top w:val="single" w:sz="12" w:space="1" w:color="B43412" w:themeColor="accent1" w:themeShade="BF"/>
          <w:left w:val="single" w:sz="12" w:space="4" w:color="B43412" w:themeColor="accent1" w:themeShade="BF"/>
          <w:bottom w:val="single" w:sz="12" w:space="1" w:color="B43412" w:themeColor="accent1" w:themeShade="BF"/>
          <w:right w:val="single" w:sz="12" w:space="4" w:color="B43412" w:themeColor="accent1" w:themeShade="BF"/>
        </w:pBdr>
        <w:shd w:val="clear" w:color="auto" w:fill="FADAD2" w:themeFill="accent1" w:themeFillTint="33"/>
        <w:jc w:val="center"/>
      </w:pPr>
      <w:r>
        <w:t>Sterilization + Debridement of canal space + Hermetic Apical Seal = Success</w:t>
      </w:r>
    </w:p>
    <w:tbl>
      <w:tblPr>
        <w:tblStyle w:val="TableGrid"/>
        <w:tblpPr w:leftFromText="180" w:rightFromText="180" w:vertAnchor="text" w:horzAnchor="margin" w:tblpXSpec="right" w:tblpY="-18"/>
        <w:tblW w:w="0" w:type="auto"/>
        <w:tblLook w:val="04A0" w:firstRow="1" w:lastRow="0" w:firstColumn="1" w:lastColumn="0" w:noHBand="0" w:noVBand="1"/>
      </w:tblPr>
      <w:tblGrid>
        <w:gridCol w:w="1497"/>
        <w:gridCol w:w="1498"/>
      </w:tblGrid>
      <w:tr w:rsidR="00DB66E6" w14:paraId="376CF804" w14:textId="77777777" w:rsidTr="00DB66E6">
        <w:trPr>
          <w:trHeight w:val="220"/>
        </w:trPr>
        <w:tc>
          <w:tcPr>
            <w:tcW w:w="2995" w:type="dxa"/>
            <w:gridSpan w:val="2"/>
            <w:shd w:val="clear" w:color="auto" w:fill="A6A6A6" w:themeFill="background1" w:themeFillShade="A6"/>
            <w:vAlign w:val="center"/>
          </w:tcPr>
          <w:p w14:paraId="1E517E74" w14:textId="42B1CEE4" w:rsidR="00DB66E6" w:rsidRPr="00DB66E6" w:rsidRDefault="00DB66E6" w:rsidP="00DB66E6">
            <w:pPr>
              <w:pStyle w:val="ListParagraph"/>
              <w:ind w:left="0"/>
              <w:jc w:val="center"/>
              <w:rPr>
                <w:b/>
                <w:bCs/>
                <w:sz w:val="16"/>
                <w:szCs w:val="16"/>
              </w:rPr>
            </w:pPr>
            <w:r w:rsidRPr="00DB66E6">
              <w:rPr>
                <w:b/>
                <w:bCs/>
                <w:sz w:val="16"/>
                <w:szCs w:val="16"/>
              </w:rPr>
              <w:t>New Terminology</w:t>
            </w:r>
          </w:p>
        </w:tc>
      </w:tr>
      <w:tr w:rsidR="00DB66E6" w14:paraId="06295FCC" w14:textId="77777777" w:rsidTr="00DB66E6">
        <w:trPr>
          <w:trHeight w:val="588"/>
        </w:trPr>
        <w:tc>
          <w:tcPr>
            <w:tcW w:w="1497" w:type="dxa"/>
            <w:vAlign w:val="center"/>
          </w:tcPr>
          <w:p w14:paraId="4F496E33" w14:textId="62D22B7A" w:rsidR="00DB66E6" w:rsidRPr="00DB66E6" w:rsidRDefault="00DB66E6" w:rsidP="00DB66E6">
            <w:pPr>
              <w:pStyle w:val="ListParagraph"/>
              <w:ind w:left="0"/>
              <w:jc w:val="center"/>
              <w:rPr>
                <w:b/>
                <w:bCs/>
                <w:sz w:val="16"/>
                <w:szCs w:val="16"/>
              </w:rPr>
            </w:pPr>
            <w:r w:rsidRPr="00DB66E6">
              <w:rPr>
                <w:b/>
                <w:bCs/>
                <w:sz w:val="16"/>
                <w:szCs w:val="16"/>
              </w:rPr>
              <w:t>Healing</w:t>
            </w:r>
          </w:p>
        </w:tc>
        <w:tc>
          <w:tcPr>
            <w:tcW w:w="1497" w:type="dxa"/>
            <w:vAlign w:val="center"/>
          </w:tcPr>
          <w:p w14:paraId="4F157B56" w14:textId="192D7B6D" w:rsidR="00DB66E6" w:rsidRPr="00DB66E6" w:rsidRDefault="00DB66E6" w:rsidP="00DB66E6">
            <w:pPr>
              <w:pStyle w:val="ListParagraph"/>
              <w:ind w:left="0"/>
              <w:jc w:val="center"/>
              <w:rPr>
                <w:sz w:val="16"/>
                <w:szCs w:val="16"/>
              </w:rPr>
            </w:pPr>
            <w:r w:rsidRPr="00DB66E6">
              <w:rPr>
                <w:sz w:val="16"/>
                <w:szCs w:val="16"/>
              </w:rPr>
              <w:t>Reduced periradicular lesion</w:t>
            </w:r>
          </w:p>
        </w:tc>
      </w:tr>
      <w:tr w:rsidR="00DB66E6" w14:paraId="45D85ED5" w14:textId="77777777" w:rsidTr="00DB66E6">
        <w:trPr>
          <w:trHeight w:val="588"/>
        </w:trPr>
        <w:tc>
          <w:tcPr>
            <w:tcW w:w="1497" w:type="dxa"/>
            <w:vAlign w:val="center"/>
          </w:tcPr>
          <w:p w14:paraId="7C4CC882" w14:textId="1354ED65" w:rsidR="00DB66E6" w:rsidRPr="00DB66E6" w:rsidRDefault="00DB66E6" w:rsidP="00DB66E6">
            <w:pPr>
              <w:pStyle w:val="ListParagraph"/>
              <w:ind w:left="0"/>
              <w:jc w:val="center"/>
              <w:rPr>
                <w:b/>
                <w:bCs/>
                <w:sz w:val="16"/>
                <w:szCs w:val="16"/>
              </w:rPr>
            </w:pPr>
            <w:r w:rsidRPr="00DB66E6">
              <w:rPr>
                <w:b/>
                <w:bCs/>
                <w:sz w:val="16"/>
                <w:szCs w:val="16"/>
              </w:rPr>
              <w:t>Healed</w:t>
            </w:r>
          </w:p>
        </w:tc>
        <w:tc>
          <w:tcPr>
            <w:tcW w:w="1497" w:type="dxa"/>
            <w:vAlign w:val="center"/>
          </w:tcPr>
          <w:p w14:paraId="28B5144C" w14:textId="12F341BC" w:rsidR="00DB66E6" w:rsidRPr="00DB66E6" w:rsidRDefault="00DB66E6" w:rsidP="00DB66E6">
            <w:pPr>
              <w:pStyle w:val="ListParagraph"/>
              <w:ind w:left="0"/>
              <w:jc w:val="center"/>
              <w:rPr>
                <w:sz w:val="16"/>
                <w:szCs w:val="16"/>
              </w:rPr>
            </w:pPr>
            <w:r w:rsidRPr="00DB66E6">
              <w:rPr>
                <w:sz w:val="16"/>
                <w:szCs w:val="16"/>
              </w:rPr>
              <w:t>Complete elimination of periradicular lesion</w:t>
            </w:r>
          </w:p>
        </w:tc>
      </w:tr>
      <w:tr w:rsidR="00DB66E6" w14:paraId="7A99DD2A" w14:textId="77777777" w:rsidTr="00DB66E6">
        <w:trPr>
          <w:trHeight w:val="588"/>
        </w:trPr>
        <w:tc>
          <w:tcPr>
            <w:tcW w:w="1497" w:type="dxa"/>
            <w:vAlign w:val="center"/>
          </w:tcPr>
          <w:p w14:paraId="18BAE633" w14:textId="395C6976" w:rsidR="00DB66E6" w:rsidRPr="00DB66E6" w:rsidRDefault="00DB66E6" w:rsidP="00DB66E6">
            <w:pPr>
              <w:pStyle w:val="ListParagraph"/>
              <w:ind w:left="0"/>
              <w:jc w:val="center"/>
              <w:rPr>
                <w:b/>
                <w:bCs/>
                <w:sz w:val="16"/>
                <w:szCs w:val="16"/>
              </w:rPr>
            </w:pPr>
            <w:r w:rsidRPr="00DB66E6">
              <w:rPr>
                <w:b/>
                <w:bCs/>
                <w:sz w:val="16"/>
                <w:szCs w:val="16"/>
              </w:rPr>
              <w:t>Developing</w:t>
            </w:r>
          </w:p>
        </w:tc>
        <w:tc>
          <w:tcPr>
            <w:tcW w:w="1497" w:type="dxa"/>
            <w:vAlign w:val="center"/>
          </w:tcPr>
          <w:p w14:paraId="551DFDAE" w14:textId="7AC915CE" w:rsidR="00DB66E6" w:rsidRPr="00DB66E6" w:rsidRDefault="00DB66E6" w:rsidP="00DB66E6">
            <w:pPr>
              <w:pStyle w:val="ListParagraph"/>
              <w:ind w:left="0"/>
              <w:jc w:val="center"/>
              <w:rPr>
                <w:sz w:val="16"/>
                <w:szCs w:val="16"/>
              </w:rPr>
            </w:pPr>
            <w:r w:rsidRPr="00DB66E6">
              <w:rPr>
                <w:sz w:val="16"/>
                <w:szCs w:val="16"/>
              </w:rPr>
              <w:t>New periradicular lesion</w:t>
            </w:r>
          </w:p>
        </w:tc>
      </w:tr>
    </w:tbl>
    <w:p w14:paraId="3855EC31" w14:textId="5A2D2244" w:rsidR="00F420C9" w:rsidRDefault="00F420C9" w:rsidP="00F420C9">
      <w:pPr>
        <w:pStyle w:val="ListParagraph"/>
        <w:numPr>
          <w:ilvl w:val="0"/>
          <w:numId w:val="2"/>
        </w:numPr>
      </w:pPr>
      <w:r>
        <w:t xml:space="preserve">No material/technique can </w:t>
      </w:r>
      <w:r w:rsidR="00DB66E6">
        <w:t>predictably</w:t>
      </w:r>
      <w:r>
        <w:t xml:space="preserve"> guarantee an impervious seal of the root canal system coronally – apically, even the resin-bonded filling materials. </w:t>
      </w:r>
    </w:p>
    <w:p w14:paraId="63890FFF" w14:textId="0F566B5D" w:rsidR="00DB66E6" w:rsidRDefault="00DB66E6" w:rsidP="00DB66E6">
      <w:pPr>
        <w:pStyle w:val="ListParagraph"/>
        <w:numPr>
          <w:ilvl w:val="0"/>
          <w:numId w:val="2"/>
        </w:numPr>
      </w:pPr>
      <w:r>
        <w:t xml:space="preserve">Success in endodontics is the debridement and neutralization of any tissue, bacteria, or inflammatory product within the root canal. </w:t>
      </w:r>
    </w:p>
    <w:p w14:paraId="01617514" w14:textId="21DDA548" w:rsidR="00DB66E6" w:rsidRDefault="00DB66E6" w:rsidP="00DB66E6">
      <w:pPr>
        <w:pStyle w:val="ListParagraph"/>
        <w:numPr>
          <w:ilvl w:val="0"/>
          <w:numId w:val="2"/>
        </w:numPr>
      </w:pPr>
      <w:r>
        <w:t>Patient can exist in a state of chronic inflammation without measurable symptoms.</w:t>
      </w:r>
    </w:p>
    <w:p w14:paraId="4F1A8E7A" w14:textId="250AF73B" w:rsidR="00EE4C03" w:rsidRDefault="00EE4C03" w:rsidP="00EE4C03">
      <w:pPr>
        <w:pStyle w:val="Heading1"/>
      </w:pPr>
      <w:r>
        <w:t>Ideal temporary materials</w:t>
      </w:r>
    </w:p>
    <w:tbl>
      <w:tblPr>
        <w:tblStyle w:val="TableGrid"/>
        <w:tblpPr w:leftFromText="180" w:rightFromText="180" w:vertAnchor="text" w:horzAnchor="margin" w:tblpXSpec="right" w:tblpY="147"/>
        <w:tblW w:w="0" w:type="auto"/>
        <w:tblBorders>
          <w:top w:val="single" w:sz="12" w:space="0" w:color="B43412" w:themeColor="accent1" w:themeShade="BF"/>
          <w:left w:val="single" w:sz="12" w:space="0" w:color="B43412" w:themeColor="accent1" w:themeShade="BF"/>
          <w:bottom w:val="single" w:sz="12" w:space="0" w:color="B43412" w:themeColor="accent1" w:themeShade="BF"/>
          <w:right w:val="single" w:sz="12" w:space="0" w:color="B43412" w:themeColor="accent1" w:themeShade="BF"/>
          <w:insideH w:val="single" w:sz="12" w:space="0" w:color="B43412" w:themeColor="accent1" w:themeShade="BF"/>
          <w:insideV w:val="none" w:sz="0" w:space="0" w:color="auto"/>
        </w:tblBorders>
        <w:tblLook w:val="04A0" w:firstRow="1" w:lastRow="0" w:firstColumn="1" w:lastColumn="0" w:noHBand="0" w:noVBand="1"/>
      </w:tblPr>
      <w:tblGrid>
        <w:gridCol w:w="1637"/>
        <w:gridCol w:w="2705"/>
      </w:tblGrid>
      <w:tr w:rsidR="00862E06" w14:paraId="07CEB7D8" w14:textId="77777777" w:rsidTr="00862E06">
        <w:trPr>
          <w:trHeight w:val="526"/>
        </w:trPr>
        <w:tc>
          <w:tcPr>
            <w:tcW w:w="1637" w:type="dxa"/>
            <w:shd w:val="clear" w:color="auto" w:fill="F5B7A6" w:themeFill="accent1" w:themeFillTint="66"/>
            <w:vAlign w:val="center"/>
          </w:tcPr>
          <w:p w14:paraId="48D31BDF" w14:textId="77777777" w:rsidR="00862E06" w:rsidRDefault="00862E06" w:rsidP="00862E06">
            <w:pPr>
              <w:pStyle w:val="ListParagraph"/>
              <w:ind w:left="0"/>
              <w:jc w:val="center"/>
            </w:pPr>
            <w:r>
              <w:t>GP</w:t>
            </w:r>
          </w:p>
        </w:tc>
        <w:tc>
          <w:tcPr>
            <w:tcW w:w="2705" w:type="dxa"/>
          </w:tcPr>
          <w:p w14:paraId="65E11AD1" w14:textId="77777777" w:rsidR="00862E06" w:rsidRDefault="00862E06" w:rsidP="00862E06">
            <w:pPr>
              <w:pStyle w:val="ListParagraph"/>
              <w:ind w:left="0"/>
            </w:pPr>
            <w:r>
              <w:t>GP fillings leaked when subjected to extreme temperatures; not used as a temporary</w:t>
            </w:r>
          </w:p>
        </w:tc>
      </w:tr>
      <w:tr w:rsidR="00862E06" w14:paraId="1CC076FE" w14:textId="77777777" w:rsidTr="00862E06">
        <w:trPr>
          <w:trHeight w:val="537"/>
        </w:trPr>
        <w:tc>
          <w:tcPr>
            <w:tcW w:w="1637" w:type="dxa"/>
            <w:tcBorders>
              <w:bottom w:val="single" w:sz="12" w:space="0" w:color="B43412" w:themeColor="accent1" w:themeShade="BF"/>
            </w:tcBorders>
            <w:shd w:val="clear" w:color="auto" w:fill="F5B7A6" w:themeFill="accent1" w:themeFillTint="66"/>
            <w:vAlign w:val="center"/>
          </w:tcPr>
          <w:p w14:paraId="206F8CDF" w14:textId="77777777" w:rsidR="00862E06" w:rsidRDefault="00862E06" w:rsidP="00862E06">
            <w:pPr>
              <w:pStyle w:val="ListParagraph"/>
              <w:ind w:left="0"/>
              <w:jc w:val="center"/>
            </w:pPr>
            <w:r>
              <w:t>Zn Phosphate</w:t>
            </w:r>
          </w:p>
        </w:tc>
        <w:tc>
          <w:tcPr>
            <w:tcW w:w="2705" w:type="dxa"/>
            <w:tcBorders>
              <w:bottom w:val="single" w:sz="12" w:space="0" w:color="B43412" w:themeColor="accent1" w:themeShade="BF"/>
            </w:tcBorders>
          </w:tcPr>
          <w:p w14:paraId="727C11B6" w14:textId="77777777" w:rsidR="00862E06" w:rsidRDefault="00862E06" w:rsidP="00862E06">
            <w:pPr>
              <w:pStyle w:val="ListParagraph"/>
              <w:ind w:left="0"/>
            </w:pPr>
            <w:r>
              <w:t>Not much in use as there are newer materials with better sealing properties</w:t>
            </w:r>
          </w:p>
        </w:tc>
      </w:tr>
      <w:tr w:rsidR="00862E06" w14:paraId="4638E623" w14:textId="77777777" w:rsidTr="00862E06">
        <w:trPr>
          <w:trHeight w:val="526"/>
        </w:trPr>
        <w:tc>
          <w:tcPr>
            <w:tcW w:w="1637" w:type="dxa"/>
            <w:tcBorders>
              <w:bottom w:val="single" w:sz="24" w:space="0" w:color="B43412" w:themeColor="accent1" w:themeShade="BF"/>
            </w:tcBorders>
            <w:shd w:val="clear" w:color="auto" w:fill="F5B7A6" w:themeFill="accent1" w:themeFillTint="66"/>
            <w:vAlign w:val="center"/>
          </w:tcPr>
          <w:p w14:paraId="1EA1BC20" w14:textId="77777777" w:rsidR="00862E06" w:rsidRDefault="00862E06" w:rsidP="00862E06">
            <w:pPr>
              <w:pStyle w:val="ListParagraph"/>
              <w:ind w:left="0"/>
              <w:jc w:val="center"/>
            </w:pPr>
            <w:r>
              <w:t>Polycarboxylate Cement</w:t>
            </w:r>
          </w:p>
        </w:tc>
        <w:tc>
          <w:tcPr>
            <w:tcW w:w="2705" w:type="dxa"/>
            <w:tcBorders>
              <w:bottom w:val="single" w:sz="24" w:space="0" w:color="B43412" w:themeColor="accent1" w:themeShade="BF"/>
            </w:tcBorders>
          </w:tcPr>
          <w:p w14:paraId="3DBAE6E6" w14:textId="77777777" w:rsidR="00862E06" w:rsidRDefault="00862E06" w:rsidP="00862E06">
            <w:pPr>
              <w:pStyle w:val="ListParagraph"/>
              <w:ind w:left="0"/>
            </w:pPr>
            <w:r>
              <w:t>Not very well established as results have been very conflicting.</w:t>
            </w:r>
          </w:p>
        </w:tc>
      </w:tr>
    </w:tbl>
    <w:p w14:paraId="1CA0BFDE" w14:textId="77777777" w:rsidR="00EE4C03" w:rsidRDefault="00EE4C03" w:rsidP="00EE4C03">
      <w:pPr>
        <w:pStyle w:val="ListParagraph"/>
        <w:numPr>
          <w:ilvl w:val="0"/>
          <w:numId w:val="2"/>
        </w:numPr>
      </w:pPr>
      <w:r>
        <w:t>Temporary materials must provide adequate seal against ingress of bacteria, fluids, and organic material from oral cavity to root canal system. It should also allow ease of placement and removal, acceptable aesthetics and protect the tooth structure during treatment.</w:t>
      </w:r>
      <w:r>
        <w:br/>
        <w:t>It is necessary to have a knowledge of techniques &amp; material properties in order to satisfy requirements like:</w:t>
      </w:r>
    </w:p>
    <w:p w14:paraId="5DED7A71" w14:textId="77777777" w:rsidR="00EE4C03" w:rsidRDefault="00EE4C03" w:rsidP="00EE4C03">
      <w:pPr>
        <w:pStyle w:val="ListParagraph"/>
        <w:numPr>
          <w:ilvl w:val="1"/>
          <w:numId w:val="2"/>
        </w:numPr>
      </w:pPr>
      <w:r>
        <w:t>Time</w:t>
      </w:r>
    </w:p>
    <w:p w14:paraId="7A7F363C" w14:textId="77777777" w:rsidR="00EE4C03" w:rsidRDefault="00EE4C03" w:rsidP="00EE4C03">
      <w:pPr>
        <w:pStyle w:val="ListParagraph"/>
        <w:numPr>
          <w:ilvl w:val="1"/>
          <w:numId w:val="2"/>
        </w:numPr>
      </w:pPr>
      <w:r>
        <w:t>Occlusal Load</w:t>
      </w:r>
    </w:p>
    <w:p w14:paraId="7D509F4B" w14:textId="77777777" w:rsidR="00EE4C03" w:rsidRDefault="00EE4C03" w:rsidP="00EE4C03">
      <w:pPr>
        <w:pStyle w:val="ListParagraph"/>
        <w:numPr>
          <w:ilvl w:val="1"/>
          <w:numId w:val="2"/>
        </w:numPr>
      </w:pPr>
      <w:r>
        <w:t>Wear</w:t>
      </w:r>
    </w:p>
    <w:p w14:paraId="18FBF80F" w14:textId="77777777" w:rsidR="00EE4C03" w:rsidRDefault="00EE4C03" w:rsidP="00EE4C03">
      <w:pPr>
        <w:pStyle w:val="ListParagraph"/>
        <w:numPr>
          <w:ilvl w:val="1"/>
          <w:numId w:val="2"/>
        </w:numPr>
      </w:pPr>
      <w:r>
        <w:t>Complexity of Access</w:t>
      </w:r>
    </w:p>
    <w:p w14:paraId="30BB4DB4" w14:textId="3F0BBDEA" w:rsidR="00862E06" w:rsidRDefault="00EE4C03" w:rsidP="00EE4C03">
      <w:pPr>
        <w:pStyle w:val="ListParagraph"/>
        <w:numPr>
          <w:ilvl w:val="1"/>
          <w:numId w:val="2"/>
        </w:numPr>
      </w:pPr>
      <w:r>
        <w:t>Absence of Tooth Structure</w:t>
      </w:r>
    </w:p>
    <w:p w14:paraId="408185C3" w14:textId="77777777" w:rsidR="00862E06" w:rsidRDefault="00862E06">
      <w:r>
        <w:br w:type="page"/>
      </w:r>
    </w:p>
    <w:p w14:paraId="1F85CE38" w14:textId="19D149F2" w:rsidR="00EE4C03" w:rsidRDefault="00EE4C03" w:rsidP="00EE4C03">
      <w:pPr>
        <w:pStyle w:val="Heading1"/>
      </w:pPr>
      <w:r>
        <w:lastRenderedPageBreak/>
        <w:t>temporization of access cavity in tooth structure</w:t>
      </w:r>
    </w:p>
    <w:tbl>
      <w:tblPr>
        <w:tblStyle w:val="TableGrid"/>
        <w:tblW w:w="0" w:type="auto"/>
        <w:tblBorders>
          <w:insideV w:val="none" w:sz="0" w:space="0" w:color="auto"/>
        </w:tblBorders>
        <w:tblLook w:val="04A0" w:firstRow="1" w:lastRow="0" w:firstColumn="1" w:lastColumn="0" w:noHBand="0" w:noVBand="1"/>
      </w:tblPr>
      <w:tblGrid>
        <w:gridCol w:w="448"/>
        <w:gridCol w:w="2214"/>
        <w:gridCol w:w="2213"/>
        <w:gridCol w:w="2212"/>
        <w:gridCol w:w="2213"/>
      </w:tblGrid>
      <w:tr w:rsidR="00D0533A" w14:paraId="1807D55C" w14:textId="77777777" w:rsidTr="00D0533A">
        <w:tc>
          <w:tcPr>
            <w:tcW w:w="448" w:type="dxa"/>
            <w:tcBorders>
              <w:top w:val="nil"/>
              <w:left w:val="single" w:sz="24" w:space="0" w:color="E84C22" w:themeColor="accent1"/>
              <w:bottom w:val="nil"/>
              <w:right w:val="single" w:sz="12" w:space="0" w:color="E84C22" w:themeColor="accent1"/>
            </w:tcBorders>
            <w:shd w:val="clear" w:color="auto" w:fill="D9D9D9" w:themeFill="background1" w:themeFillShade="D9"/>
          </w:tcPr>
          <w:p w14:paraId="5B9EF767" w14:textId="77777777" w:rsidR="00C0558F" w:rsidRPr="00F87EE2" w:rsidRDefault="00C0558F" w:rsidP="00C0558F">
            <w:pPr>
              <w:rPr>
                <w:sz w:val="18"/>
                <w:szCs w:val="18"/>
              </w:rPr>
            </w:pPr>
          </w:p>
        </w:tc>
        <w:tc>
          <w:tcPr>
            <w:tcW w:w="2225" w:type="dxa"/>
            <w:tcBorders>
              <w:top w:val="nil"/>
              <w:left w:val="single" w:sz="12" w:space="0" w:color="E84C22" w:themeColor="accent1"/>
              <w:bottom w:val="single" w:sz="12" w:space="0" w:color="E84C22" w:themeColor="accent1"/>
            </w:tcBorders>
            <w:shd w:val="clear" w:color="auto" w:fill="F2F2F2" w:themeFill="background1" w:themeFillShade="F2"/>
            <w:vAlign w:val="center"/>
          </w:tcPr>
          <w:p w14:paraId="7C860A8C" w14:textId="38CE22B4" w:rsidR="00C0558F" w:rsidRPr="00D0533A" w:rsidRDefault="00C0558F" w:rsidP="00C0558F">
            <w:pPr>
              <w:jc w:val="center"/>
              <w:rPr>
                <w:b/>
                <w:bCs/>
                <w:sz w:val="18"/>
                <w:szCs w:val="18"/>
              </w:rPr>
            </w:pPr>
            <w:r w:rsidRPr="00D0533A">
              <w:rPr>
                <w:b/>
                <w:bCs/>
                <w:sz w:val="18"/>
                <w:szCs w:val="18"/>
              </w:rPr>
              <w:t>ZINC OXIDE/CALCIUM SULPHATE PREPARATIONS (CAVIT)</w:t>
            </w:r>
          </w:p>
        </w:tc>
        <w:tc>
          <w:tcPr>
            <w:tcW w:w="2226" w:type="dxa"/>
            <w:tcBorders>
              <w:top w:val="nil"/>
              <w:bottom w:val="single" w:sz="12" w:space="0" w:color="E84C22" w:themeColor="accent1"/>
            </w:tcBorders>
            <w:shd w:val="clear" w:color="auto" w:fill="DDD9C3" w:themeFill="background2" w:themeFillShade="E6"/>
            <w:vAlign w:val="center"/>
          </w:tcPr>
          <w:p w14:paraId="3D4F9EC9" w14:textId="257E0BF5" w:rsidR="00C0558F" w:rsidRPr="00D0533A" w:rsidRDefault="00C0558F" w:rsidP="00C0558F">
            <w:pPr>
              <w:jc w:val="center"/>
              <w:rPr>
                <w:b/>
                <w:bCs/>
                <w:sz w:val="18"/>
                <w:szCs w:val="18"/>
              </w:rPr>
            </w:pPr>
            <w:r w:rsidRPr="00D0533A">
              <w:rPr>
                <w:b/>
                <w:bCs/>
                <w:sz w:val="18"/>
                <w:szCs w:val="18"/>
              </w:rPr>
              <w:t>ZINC OXIDE AND EUGENOL PREPARATION</w:t>
            </w:r>
          </w:p>
        </w:tc>
        <w:tc>
          <w:tcPr>
            <w:tcW w:w="2225" w:type="dxa"/>
            <w:tcBorders>
              <w:top w:val="nil"/>
              <w:bottom w:val="single" w:sz="12" w:space="0" w:color="E84C22" w:themeColor="accent1"/>
            </w:tcBorders>
            <w:shd w:val="clear" w:color="auto" w:fill="FFF1DA" w:themeFill="accent2" w:themeFillTint="33"/>
            <w:vAlign w:val="center"/>
          </w:tcPr>
          <w:p w14:paraId="328B5DA9" w14:textId="48F0BD05" w:rsidR="00C0558F" w:rsidRPr="00D0533A" w:rsidRDefault="00C0558F" w:rsidP="00C0558F">
            <w:pPr>
              <w:jc w:val="center"/>
              <w:rPr>
                <w:b/>
                <w:bCs/>
                <w:sz w:val="18"/>
                <w:szCs w:val="18"/>
              </w:rPr>
            </w:pPr>
            <w:r w:rsidRPr="00D0533A">
              <w:rPr>
                <w:b/>
                <w:bCs/>
                <w:sz w:val="18"/>
                <w:szCs w:val="18"/>
              </w:rPr>
              <w:t>GLASS IONOMER CEMENT (GIC)</w:t>
            </w:r>
          </w:p>
        </w:tc>
        <w:tc>
          <w:tcPr>
            <w:tcW w:w="2226" w:type="dxa"/>
            <w:tcBorders>
              <w:top w:val="nil"/>
              <w:bottom w:val="single" w:sz="12" w:space="0" w:color="E84C22" w:themeColor="accent1"/>
              <w:right w:val="single" w:sz="24" w:space="0" w:color="E84C22" w:themeColor="accent1"/>
            </w:tcBorders>
            <w:shd w:val="clear" w:color="auto" w:fill="FFE6D3" w:themeFill="accent4" w:themeFillTint="33"/>
            <w:vAlign w:val="center"/>
          </w:tcPr>
          <w:p w14:paraId="2794F1AA" w14:textId="48EF032B" w:rsidR="00C0558F" w:rsidRPr="00D0533A" w:rsidRDefault="00F87EE2" w:rsidP="00C0558F">
            <w:pPr>
              <w:jc w:val="center"/>
              <w:rPr>
                <w:b/>
                <w:bCs/>
                <w:sz w:val="18"/>
                <w:szCs w:val="18"/>
              </w:rPr>
            </w:pPr>
            <w:r w:rsidRPr="00D0533A">
              <w:rPr>
                <w:b/>
                <w:bCs/>
                <w:sz w:val="18"/>
                <w:szCs w:val="18"/>
              </w:rPr>
              <w:t>Composite resins</w:t>
            </w:r>
          </w:p>
        </w:tc>
      </w:tr>
      <w:tr w:rsidR="00D0533A" w14:paraId="59FB6A1C" w14:textId="77777777" w:rsidTr="00D0533A">
        <w:trPr>
          <w:cantSplit/>
          <w:trHeight w:val="1134"/>
        </w:trPr>
        <w:tc>
          <w:tcPr>
            <w:tcW w:w="448" w:type="dxa"/>
            <w:tcBorders>
              <w:top w:val="nil"/>
              <w:left w:val="single" w:sz="24" w:space="0" w:color="E84C22" w:themeColor="accent1"/>
              <w:bottom w:val="nil"/>
              <w:right w:val="single" w:sz="12" w:space="0" w:color="E84C22" w:themeColor="accent1"/>
            </w:tcBorders>
            <w:shd w:val="clear" w:color="auto" w:fill="D9D9D9" w:themeFill="background1" w:themeFillShade="D9"/>
            <w:textDirection w:val="tbRl"/>
            <w:vAlign w:val="bottom"/>
          </w:tcPr>
          <w:p w14:paraId="7F90F2A6" w14:textId="45ADE39C" w:rsidR="00C0558F" w:rsidRPr="00F87EE2" w:rsidRDefault="00C0558F" w:rsidP="00C0558F">
            <w:pPr>
              <w:ind w:left="113" w:right="113"/>
              <w:jc w:val="center"/>
              <w:rPr>
                <w:sz w:val="18"/>
                <w:szCs w:val="18"/>
              </w:rPr>
            </w:pPr>
            <w:r w:rsidRPr="00F87EE2">
              <w:rPr>
                <w:sz w:val="18"/>
                <w:szCs w:val="18"/>
              </w:rPr>
              <w:t>Type</w:t>
            </w:r>
          </w:p>
        </w:tc>
        <w:tc>
          <w:tcPr>
            <w:tcW w:w="2225" w:type="dxa"/>
            <w:tcBorders>
              <w:top w:val="single" w:sz="12" w:space="0" w:color="E84C22" w:themeColor="accent1"/>
              <w:left w:val="single" w:sz="12" w:space="0" w:color="E84C22" w:themeColor="accent1"/>
              <w:bottom w:val="single" w:sz="12" w:space="0" w:color="E84C22" w:themeColor="accent1"/>
            </w:tcBorders>
            <w:shd w:val="clear" w:color="auto" w:fill="F2F2F2" w:themeFill="background1" w:themeFillShade="F2"/>
            <w:vAlign w:val="center"/>
          </w:tcPr>
          <w:p w14:paraId="76B9CE66" w14:textId="26FB4024" w:rsidR="00C0558F" w:rsidRPr="00F87EE2" w:rsidRDefault="00C0558F" w:rsidP="00C0558F">
            <w:pPr>
              <w:jc w:val="center"/>
              <w:rPr>
                <w:sz w:val="18"/>
                <w:szCs w:val="18"/>
              </w:rPr>
            </w:pPr>
            <w:r w:rsidRPr="00F87EE2">
              <w:rPr>
                <w:sz w:val="18"/>
                <w:szCs w:val="18"/>
              </w:rPr>
              <w:t>CAVIT</w:t>
            </w:r>
          </w:p>
        </w:tc>
        <w:tc>
          <w:tcPr>
            <w:tcW w:w="2226" w:type="dxa"/>
            <w:tcBorders>
              <w:top w:val="single" w:sz="12" w:space="0" w:color="E84C22" w:themeColor="accent1"/>
              <w:bottom w:val="single" w:sz="12" w:space="0" w:color="E84C22" w:themeColor="accent1"/>
            </w:tcBorders>
            <w:shd w:val="clear" w:color="auto" w:fill="DDD9C3" w:themeFill="background2" w:themeFillShade="E6"/>
            <w:vAlign w:val="center"/>
          </w:tcPr>
          <w:p w14:paraId="5130283F" w14:textId="377FD561" w:rsidR="00C0558F" w:rsidRPr="00F87EE2" w:rsidRDefault="00C0558F" w:rsidP="00C0558F">
            <w:pPr>
              <w:jc w:val="center"/>
              <w:rPr>
                <w:sz w:val="18"/>
                <w:szCs w:val="18"/>
              </w:rPr>
            </w:pPr>
            <w:r w:rsidRPr="00F87EE2">
              <w:rPr>
                <w:sz w:val="18"/>
                <w:szCs w:val="18"/>
              </w:rPr>
              <w:t xml:space="preserve">Plain </w:t>
            </w:r>
            <w:proofErr w:type="spellStart"/>
            <w:r w:rsidRPr="00F87EE2">
              <w:rPr>
                <w:sz w:val="18"/>
                <w:szCs w:val="18"/>
              </w:rPr>
              <w:t>ZnOE</w:t>
            </w:r>
            <w:proofErr w:type="spellEnd"/>
            <w:r w:rsidRPr="00F87EE2">
              <w:rPr>
                <w:sz w:val="18"/>
                <w:szCs w:val="18"/>
              </w:rPr>
              <w:t xml:space="preserve"> less effective that CAVIT but better than ZnPO4 &amp; poly-carboxylate cements.</w:t>
            </w:r>
          </w:p>
        </w:tc>
        <w:tc>
          <w:tcPr>
            <w:tcW w:w="2225" w:type="dxa"/>
            <w:tcBorders>
              <w:top w:val="single" w:sz="12" w:space="0" w:color="E84C22" w:themeColor="accent1"/>
              <w:bottom w:val="single" w:sz="12" w:space="0" w:color="E84C22" w:themeColor="accent1"/>
            </w:tcBorders>
            <w:shd w:val="clear" w:color="auto" w:fill="FFF1DA" w:themeFill="accent2" w:themeFillTint="33"/>
            <w:vAlign w:val="center"/>
          </w:tcPr>
          <w:p w14:paraId="3F84E934" w14:textId="4B13BE21" w:rsidR="00C0558F" w:rsidRPr="00F87EE2" w:rsidRDefault="00C0558F" w:rsidP="00C0558F">
            <w:pPr>
              <w:jc w:val="center"/>
              <w:rPr>
                <w:sz w:val="18"/>
                <w:szCs w:val="18"/>
              </w:rPr>
            </w:pPr>
            <w:r w:rsidRPr="00F87EE2">
              <w:rPr>
                <w:sz w:val="18"/>
                <w:szCs w:val="18"/>
              </w:rPr>
              <w:t>GIC</w:t>
            </w:r>
          </w:p>
        </w:tc>
        <w:tc>
          <w:tcPr>
            <w:tcW w:w="2226" w:type="dxa"/>
            <w:tcBorders>
              <w:top w:val="single" w:sz="12" w:space="0" w:color="E84C22" w:themeColor="accent1"/>
              <w:bottom w:val="single" w:sz="12" w:space="0" w:color="E84C22" w:themeColor="accent1"/>
              <w:right w:val="single" w:sz="24" w:space="0" w:color="E84C22" w:themeColor="accent1"/>
            </w:tcBorders>
            <w:shd w:val="clear" w:color="auto" w:fill="FFE6D3" w:themeFill="accent4" w:themeFillTint="33"/>
            <w:vAlign w:val="center"/>
          </w:tcPr>
          <w:p w14:paraId="68F35471" w14:textId="1DB026B7" w:rsidR="00C0558F" w:rsidRPr="00F87EE2" w:rsidRDefault="00F87EE2" w:rsidP="00C0558F">
            <w:pPr>
              <w:jc w:val="center"/>
              <w:rPr>
                <w:sz w:val="18"/>
                <w:szCs w:val="18"/>
              </w:rPr>
            </w:pPr>
            <w:r w:rsidRPr="00F87EE2">
              <w:rPr>
                <w:b/>
                <w:bCs/>
                <w:sz w:val="18"/>
                <w:szCs w:val="18"/>
              </w:rPr>
              <w:t>TERM</w:t>
            </w:r>
            <w:r w:rsidRPr="00F87EE2">
              <w:rPr>
                <w:sz w:val="18"/>
                <w:szCs w:val="18"/>
              </w:rPr>
              <w:t>: temporary endo-restorative material. It is a single component light curable resin.</w:t>
            </w:r>
          </w:p>
        </w:tc>
      </w:tr>
      <w:tr w:rsidR="00D0533A" w14:paraId="47E79DC1" w14:textId="77777777" w:rsidTr="00D0533A">
        <w:trPr>
          <w:cantSplit/>
          <w:trHeight w:val="1134"/>
        </w:trPr>
        <w:tc>
          <w:tcPr>
            <w:tcW w:w="448" w:type="dxa"/>
            <w:tcBorders>
              <w:top w:val="nil"/>
              <w:left w:val="single" w:sz="24" w:space="0" w:color="E84C22" w:themeColor="accent1"/>
              <w:bottom w:val="nil"/>
              <w:right w:val="single" w:sz="12" w:space="0" w:color="E84C22" w:themeColor="accent1"/>
            </w:tcBorders>
            <w:shd w:val="clear" w:color="auto" w:fill="D9D9D9" w:themeFill="background1" w:themeFillShade="D9"/>
            <w:textDirection w:val="tbRl"/>
            <w:vAlign w:val="bottom"/>
          </w:tcPr>
          <w:p w14:paraId="1D22A611" w14:textId="465D8AC2" w:rsidR="00C0558F" w:rsidRPr="00F87EE2" w:rsidRDefault="00C0558F" w:rsidP="00C0558F">
            <w:pPr>
              <w:ind w:left="113" w:right="113"/>
              <w:jc w:val="center"/>
              <w:rPr>
                <w:sz w:val="18"/>
                <w:szCs w:val="18"/>
              </w:rPr>
            </w:pPr>
            <w:r w:rsidRPr="00F87EE2">
              <w:rPr>
                <w:sz w:val="18"/>
                <w:szCs w:val="18"/>
              </w:rPr>
              <w:t>Ingredients</w:t>
            </w:r>
          </w:p>
        </w:tc>
        <w:tc>
          <w:tcPr>
            <w:tcW w:w="2225" w:type="dxa"/>
            <w:tcBorders>
              <w:top w:val="single" w:sz="12" w:space="0" w:color="E84C22" w:themeColor="accent1"/>
              <w:left w:val="single" w:sz="12" w:space="0" w:color="E84C22" w:themeColor="accent1"/>
              <w:bottom w:val="single" w:sz="12" w:space="0" w:color="E84C22" w:themeColor="accent1"/>
            </w:tcBorders>
            <w:shd w:val="clear" w:color="auto" w:fill="F2F2F2" w:themeFill="background1" w:themeFillShade="F2"/>
            <w:vAlign w:val="center"/>
          </w:tcPr>
          <w:p w14:paraId="5549913F" w14:textId="5F70B29D" w:rsidR="00C0558F" w:rsidRPr="00F87EE2" w:rsidRDefault="00C0558F" w:rsidP="00C0558F">
            <w:pPr>
              <w:jc w:val="center"/>
              <w:rPr>
                <w:sz w:val="18"/>
                <w:szCs w:val="18"/>
              </w:rPr>
            </w:pPr>
            <w:proofErr w:type="spellStart"/>
            <w:r w:rsidRPr="00F87EE2">
              <w:rPr>
                <w:sz w:val="18"/>
                <w:szCs w:val="18"/>
              </w:rPr>
              <w:t>Zno</w:t>
            </w:r>
            <w:proofErr w:type="spellEnd"/>
            <w:r w:rsidRPr="00F87EE2">
              <w:rPr>
                <w:sz w:val="18"/>
                <w:szCs w:val="18"/>
              </w:rPr>
              <w:t>, CaSO4, ZnSO4, glycol acetate resins and pigments.</w:t>
            </w:r>
          </w:p>
        </w:tc>
        <w:tc>
          <w:tcPr>
            <w:tcW w:w="2226" w:type="dxa"/>
            <w:tcBorders>
              <w:top w:val="single" w:sz="12" w:space="0" w:color="E84C22" w:themeColor="accent1"/>
              <w:bottom w:val="single" w:sz="12" w:space="0" w:color="E84C22" w:themeColor="accent1"/>
            </w:tcBorders>
            <w:shd w:val="clear" w:color="auto" w:fill="DDD9C3" w:themeFill="background2" w:themeFillShade="E6"/>
            <w:vAlign w:val="center"/>
          </w:tcPr>
          <w:p w14:paraId="02560B23" w14:textId="77777777" w:rsidR="00C0558F" w:rsidRPr="00F87EE2" w:rsidRDefault="00C0558F" w:rsidP="00C0558F">
            <w:pPr>
              <w:jc w:val="center"/>
              <w:rPr>
                <w:sz w:val="18"/>
                <w:szCs w:val="18"/>
              </w:rPr>
            </w:pPr>
          </w:p>
        </w:tc>
        <w:tc>
          <w:tcPr>
            <w:tcW w:w="2225" w:type="dxa"/>
            <w:tcBorders>
              <w:top w:val="single" w:sz="12" w:space="0" w:color="E84C22" w:themeColor="accent1"/>
              <w:bottom w:val="single" w:sz="12" w:space="0" w:color="E84C22" w:themeColor="accent1"/>
            </w:tcBorders>
            <w:shd w:val="clear" w:color="auto" w:fill="FFF1DA" w:themeFill="accent2" w:themeFillTint="33"/>
            <w:vAlign w:val="center"/>
          </w:tcPr>
          <w:p w14:paraId="39F5EABF" w14:textId="77777777" w:rsidR="00C0558F" w:rsidRPr="00F87EE2" w:rsidRDefault="00C0558F" w:rsidP="00F87EE2">
            <w:pPr>
              <w:jc w:val="center"/>
              <w:rPr>
                <w:sz w:val="18"/>
                <w:szCs w:val="18"/>
              </w:rPr>
            </w:pPr>
          </w:p>
        </w:tc>
        <w:tc>
          <w:tcPr>
            <w:tcW w:w="2226" w:type="dxa"/>
            <w:tcBorders>
              <w:top w:val="single" w:sz="12" w:space="0" w:color="E84C22" w:themeColor="accent1"/>
              <w:bottom w:val="single" w:sz="12" w:space="0" w:color="E84C22" w:themeColor="accent1"/>
              <w:right w:val="single" w:sz="24" w:space="0" w:color="E84C22" w:themeColor="accent1"/>
            </w:tcBorders>
            <w:shd w:val="clear" w:color="auto" w:fill="FFE6D3" w:themeFill="accent4" w:themeFillTint="33"/>
            <w:vAlign w:val="center"/>
          </w:tcPr>
          <w:p w14:paraId="2A3B8199" w14:textId="31149C35" w:rsidR="00C0558F" w:rsidRPr="00F87EE2" w:rsidRDefault="00F87EE2" w:rsidP="00C0558F">
            <w:pPr>
              <w:jc w:val="center"/>
              <w:rPr>
                <w:sz w:val="18"/>
                <w:szCs w:val="18"/>
              </w:rPr>
            </w:pPr>
            <w:r w:rsidRPr="00F87EE2">
              <w:rPr>
                <w:sz w:val="18"/>
                <w:szCs w:val="18"/>
              </w:rPr>
              <w:t>Urethan-dimethacrylate polymer, inorganic radiopaque filler, organic pre-polymerized filler, pigments, and initiators.</w:t>
            </w:r>
          </w:p>
        </w:tc>
      </w:tr>
      <w:tr w:rsidR="00D0533A" w14:paraId="0E2C7925" w14:textId="77777777" w:rsidTr="00D0533A">
        <w:trPr>
          <w:cantSplit/>
          <w:trHeight w:val="1134"/>
        </w:trPr>
        <w:tc>
          <w:tcPr>
            <w:tcW w:w="448" w:type="dxa"/>
            <w:tcBorders>
              <w:top w:val="nil"/>
              <w:left w:val="single" w:sz="24" w:space="0" w:color="E84C22" w:themeColor="accent1"/>
              <w:bottom w:val="nil"/>
              <w:right w:val="single" w:sz="12" w:space="0" w:color="E84C22" w:themeColor="accent1"/>
            </w:tcBorders>
            <w:shd w:val="clear" w:color="auto" w:fill="D9D9D9" w:themeFill="background1" w:themeFillShade="D9"/>
            <w:textDirection w:val="tbRl"/>
            <w:vAlign w:val="bottom"/>
          </w:tcPr>
          <w:p w14:paraId="253AE01C" w14:textId="4ECAC2EC" w:rsidR="00C0558F" w:rsidRPr="00F87EE2" w:rsidRDefault="00C0558F" w:rsidP="00C0558F">
            <w:pPr>
              <w:ind w:left="113" w:right="113"/>
              <w:jc w:val="center"/>
              <w:rPr>
                <w:sz w:val="18"/>
                <w:szCs w:val="18"/>
              </w:rPr>
            </w:pPr>
            <w:r w:rsidRPr="00F87EE2">
              <w:rPr>
                <w:sz w:val="18"/>
                <w:szCs w:val="18"/>
              </w:rPr>
              <w:t>Advantages</w:t>
            </w:r>
          </w:p>
        </w:tc>
        <w:tc>
          <w:tcPr>
            <w:tcW w:w="2225" w:type="dxa"/>
            <w:tcBorders>
              <w:top w:val="single" w:sz="12" w:space="0" w:color="E84C22" w:themeColor="accent1"/>
              <w:left w:val="single" w:sz="12" w:space="0" w:color="E84C22" w:themeColor="accent1"/>
              <w:bottom w:val="single" w:sz="12" w:space="0" w:color="E84C22" w:themeColor="accent1"/>
            </w:tcBorders>
            <w:shd w:val="clear" w:color="auto" w:fill="F2F2F2" w:themeFill="background1" w:themeFillShade="F2"/>
            <w:vAlign w:val="center"/>
          </w:tcPr>
          <w:p w14:paraId="46B03FD8" w14:textId="7331240F" w:rsidR="00C0558F" w:rsidRPr="00F87EE2" w:rsidRDefault="00C0558F" w:rsidP="00C0558F">
            <w:pPr>
              <w:jc w:val="center"/>
              <w:rPr>
                <w:sz w:val="18"/>
                <w:szCs w:val="18"/>
              </w:rPr>
            </w:pPr>
            <w:r w:rsidRPr="00F87EE2">
              <w:rPr>
                <w:color w:val="00B050"/>
                <w:sz w:val="18"/>
                <w:szCs w:val="18"/>
              </w:rPr>
              <w:t>High</w:t>
            </w:r>
            <w:r w:rsidRPr="00F87EE2">
              <w:rPr>
                <w:sz w:val="18"/>
                <w:szCs w:val="18"/>
              </w:rPr>
              <w:t xml:space="preserve"> co-efficient of linear expansion </w:t>
            </w:r>
            <w:r w:rsidRPr="00F87EE2">
              <w:rPr>
                <w:sz w:val="18"/>
                <w:szCs w:val="18"/>
              </w:rPr>
              <w:sym w:font="Wingdings" w:char="F0E8"/>
            </w:r>
            <w:r w:rsidRPr="00F87EE2">
              <w:rPr>
                <w:sz w:val="18"/>
                <w:szCs w:val="18"/>
              </w:rPr>
              <w:t xml:space="preserve"> excellent marginal sealing abilities.</w:t>
            </w:r>
          </w:p>
          <w:p w14:paraId="38106382" w14:textId="77777777" w:rsidR="00C0558F" w:rsidRPr="00F87EE2" w:rsidRDefault="00C0558F" w:rsidP="00C0558F">
            <w:pPr>
              <w:jc w:val="center"/>
              <w:rPr>
                <w:sz w:val="18"/>
                <w:szCs w:val="18"/>
              </w:rPr>
            </w:pPr>
          </w:p>
          <w:p w14:paraId="46AEF0CC" w14:textId="5D1E321B" w:rsidR="00C0558F" w:rsidRPr="00F87EE2" w:rsidRDefault="00C0558F" w:rsidP="00C0558F">
            <w:pPr>
              <w:jc w:val="center"/>
              <w:rPr>
                <w:sz w:val="18"/>
                <w:szCs w:val="18"/>
              </w:rPr>
            </w:pPr>
            <w:r w:rsidRPr="00F87EE2">
              <w:rPr>
                <w:sz w:val="18"/>
                <w:szCs w:val="18"/>
              </w:rPr>
              <w:t xml:space="preserve">Temperature fluctuations </w:t>
            </w:r>
            <w:r w:rsidRPr="00F87EE2">
              <w:rPr>
                <w:color w:val="00B050"/>
                <w:sz w:val="18"/>
                <w:szCs w:val="18"/>
              </w:rPr>
              <w:t xml:space="preserve">does not </w:t>
            </w:r>
            <w:r w:rsidRPr="00F87EE2">
              <w:rPr>
                <w:sz w:val="18"/>
                <w:szCs w:val="18"/>
              </w:rPr>
              <w:t>affect the sealability.</w:t>
            </w:r>
          </w:p>
          <w:p w14:paraId="6A751E55" w14:textId="2A198BA1" w:rsidR="00C0558F" w:rsidRPr="00F87EE2" w:rsidRDefault="00C0558F" w:rsidP="00C0558F">
            <w:pPr>
              <w:jc w:val="center"/>
              <w:rPr>
                <w:b/>
                <w:bCs/>
                <w:sz w:val="18"/>
                <w:szCs w:val="18"/>
              </w:rPr>
            </w:pPr>
          </w:p>
          <w:p w14:paraId="18A8AF98" w14:textId="356A2F9B" w:rsidR="00C0558F" w:rsidRPr="00F87EE2" w:rsidRDefault="00C0558F" w:rsidP="00C0558F">
            <w:pPr>
              <w:jc w:val="center"/>
              <w:rPr>
                <w:sz w:val="18"/>
                <w:szCs w:val="18"/>
              </w:rPr>
            </w:pPr>
            <w:r w:rsidRPr="00F87EE2">
              <w:rPr>
                <w:sz w:val="18"/>
                <w:szCs w:val="18"/>
              </w:rPr>
              <w:t>Ease of manipulation</w:t>
            </w:r>
            <w:r w:rsidRPr="00F87EE2">
              <w:rPr>
                <w:sz w:val="18"/>
                <w:szCs w:val="18"/>
              </w:rPr>
              <w:br/>
            </w:r>
          </w:p>
          <w:p w14:paraId="1A652779" w14:textId="45B1189D" w:rsidR="00C0558F" w:rsidRPr="00F87EE2" w:rsidRDefault="00C0558F" w:rsidP="00C0558F">
            <w:pPr>
              <w:jc w:val="center"/>
              <w:rPr>
                <w:sz w:val="18"/>
                <w:szCs w:val="18"/>
              </w:rPr>
            </w:pPr>
            <w:r w:rsidRPr="00F87EE2">
              <w:rPr>
                <w:sz w:val="18"/>
                <w:szCs w:val="18"/>
              </w:rPr>
              <w:t>Availability as a premixed paste</w:t>
            </w:r>
            <w:r w:rsidRPr="00F87EE2">
              <w:rPr>
                <w:sz w:val="18"/>
                <w:szCs w:val="18"/>
              </w:rPr>
              <w:br/>
            </w:r>
          </w:p>
          <w:p w14:paraId="5EB46856" w14:textId="39D118EC" w:rsidR="00C0558F" w:rsidRPr="00F87EE2" w:rsidRDefault="00C0558F" w:rsidP="00C0558F">
            <w:pPr>
              <w:jc w:val="center"/>
              <w:rPr>
                <w:sz w:val="18"/>
                <w:szCs w:val="18"/>
              </w:rPr>
            </w:pPr>
            <w:r w:rsidRPr="00F87EE2">
              <w:rPr>
                <w:sz w:val="18"/>
                <w:szCs w:val="18"/>
              </w:rPr>
              <w:t>Easily removed after setting.</w:t>
            </w:r>
          </w:p>
        </w:tc>
        <w:tc>
          <w:tcPr>
            <w:tcW w:w="2226" w:type="dxa"/>
            <w:tcBorders>
              <w:top w:val="single" w:sz="12" w:space="0" w:color="E84C22" w:themeColor="accent1"/>
              <w:bottom w:val="single" w:sz="12" w:space="0" w:color="E84C22" w:themeColor="accent1"/>
            </w:tcBorders>
            <w:shd w:val="clear" w:color="auto" w:fill="DDD9C3" w:themeFill="background2" w:themeFillShade="E6"/>
            <w:vAlign w:val="center"/>
          </w:tcPr>
          <w:p w14:paraId="4A13A719" w14:textId="77777777" w:rsidR="00C0558F" w:rsidRPr="00F87EE2" w:rsidRDefault="00C0558F" w:rsidP="00C0558F">
            <w:pPr>
              <w:jc w:val="center"/>
              <w:rPr>
                <w:sz w:val="18"/>
                <w:szCs w:val="18"/>
              </w:rPr>
            </w:pPr>
          </w:p>
        </w:tc>
        <w:tc>
          <w:tcPr>
            <w:tcW w:w="2225" w:type="dxa"/>
            <w:tcBorders>
              <w:top w:val="single" w:sz="12" w:space="0" w:color="E84C22" w:themeColor="accent1"/>
              <w:bottom w:val="single" w:sz="12" w:space="0" w:color="E84C22" w:themeColor="accent1"/>
            </w:tcBorders>
            <w:shd w:val="clear" w:color="auto" w:fill="FFF1DA" w:themeFill="accent2" w:themeFillTint="33"/>
            <w:vAlign w:val="center"/>
          </w:tcPr>
          <w:p w14:paraId="31A4FA69" w14:textId="77777777" w:rsidR="00F87EE2" w:rsidRPr="00F87EE2" w:rsidRDefault="00F87EE2" w:rsidP="00F87EE2">
            <w:pPr>
              <w:jc w:val="center"/>
              <w:rPr>
                <w:sz w:val="18"/>
                <w:szCs w:val="18"/>
              </w:rPr>
            </w:pPr>
            <w:r w:rsidRPr="00F87EE2">
              <w:rPr>
                <w:sz w:val="18"/>
                <w:szCs w:val="18"/>
              </w:rPr>
              <w:t>Adhesion Mechanism – Sealing ability</w:t>
            </w:r>
            <w:r w:rsidRPr="00F87EE2">
              <w:rPr>
                <w:sz w:val="18"/>
                <w:szCs w:val="18"/>
              </w:rPr>
              <w:br/>
            </w:r>
          </w:p>
          <w:p w14:paraId="21275F72" w14:textId="77777777" w:rsidR="00F87EE2" w:rsidRPr="00F87EE2" w:rsidRDefault="00F87EE2" w:rsidP="00F87EE2">
            <w:pPr>
              <w:jc w:val="center"/>
              <w:rPr>
                <w:sz w:val="18"/>
                <w:szCs w:val="18"/>
              </w:rPr>
            </w:pPr>
            <w:r w:rsidRPr="00F87EE2">
              <w:rPr>
                <w:sz w:val="18"/>
                <w:szCs w:val="18"/>
              </w:rPr>
              <w:t xml:space="preserve">Release of </w:t>
            </w:r>
            <w:r w:rsidRPr="00F87EE2">
              <w:rPr>
                <w:b/>
                <w:bCs/>
                <w:sz w:val="18"/>
                <w:szCs w:val="18"/>
              </w:rPr>
              <w:t>F</w:t>
            </w:r>
            <w:r w:rsidRPr="00F87EE2">
              <w:rPr>
                <w:sz w:val="18"/>
                <w:szCs w:val="18"/>
              </w:rPr>
              <w:t>luoride – Antibacterial action</w:t>
            </w:r>
            <w:r w:rsidRPr="00F87EE2">
              <w:rPr>
                <w:sz w:val="18"/>
                <w:szCs w:val="18"/>
              </w:rPr>
              <w:br/>
            </w:r>
          </w:p>
          <w:p w14:paraId="7E854EF5" w14:textId="77777777" w:rsidR="00F87EE2" w:rsidRPr="00F87EE2" w:rsidRDefault="00F87EE2" w:rsidP="00F87EE2">
            <w:pPr>
              <w:jc w:val="center"/>
              <w:rPr>
                <w:sz w:val="18"/>
                <w:szCs w:val="18"/>
              </w:rPr>
            </w:pPr>
            <w:r w:rsidRPr="00F87EE2">
              <w:rPr>
                <w:sz w:val="18"/>
                <w:szCs w:val="18"/>
              </w:rPr>
              <w:t xml:space="preserve">Low pH, </w:t>
            </w:r>
            <w:r w:rsidRPr="00F87EE2">
              <w:rPr>
                <w:b/>
                <w:bCs/>
                <w:sz w:val="18"/>
                <w:szCs w:val="18"/>
              </w:rPr>
              <w:t>Sr</w:t>
            </w:r>
            <w:r w:rsidRPr="00F87EE2">
              <w:rPr>
                <w:sz w:val="18"/>
                <w:szCs w:val="18"/>
              </w:rPr>
              <w:t xml:space="preserve"> + </w:t>
            </w:r>
            <w:r w:rsidRPr="00F87EE2">
              <w:rPr>
                <w:b/>
                <w:bCs/>
                <w:sz w:val="18"/>
                <w:szCs w:val="18"/>
              </w:rPr>
              <w:t>Zn</w:t>
            </w:r>
            <w:r w:rsidRPr="00F87EE2">
              <w:rPr>
                <w:sz w:val="18"/>
                <w:szCs w:val="18"/>
              </w:rPr>
              <w:t xml:space="preserve"> cations – Longer duration temporization.</w:t>
            </w:r>
          </w:p>
          <w:p w14:paraId="6EFE4D96" w14:textId="77777777" w:rsidR="00C0558F" w:rsidRPr="00F87EE2" w:rsidRDefault="00C0558F" w:rsidP="00C0558F">
            <w:pPr>
              <w:jc w:val="center"/>
              <w:rPr>
                <w:sz w:val="18"/>
                <w:szCs w:val="18"/>
              </w:rPr>
            </w:pPr>
          </w:p>
        </w:tc>
        <w:tc>
          <w:tcPr>
            <w:tcW w:w="2226" w:type="dxa"/>
            <w:tcBorders>
              <w:top w:val="single" w:sz="12" w:space="0" w:color="E84C22" w:themeColor="accent1"/>
              <w:bottom w:val="single" w:sz="12" w:space="0" w:color="E84C22" w:themeColor="accent1"/>
              <w:right w:val="single" w:sz="24" w:space="0" w:color="E84C22" w:themeColor="accent1"/>
            </w:tcBorders>
            <w:shd w:val="clear" w:color="auto" w:fill="FFE6D3" w:themeFill="accent4" w:themeFillTint="33"/>
            <w:vAlign w:val="center"/>
          </w:tcPr>
          <w:p w14:paraId="18DBB10F" w14:textId="529D4FA2" w:rsidR="00F87EE2" w:rsidRPr="00F87EE2" w:rsidRDefault="00F87EE2" w:rsidP="00F87EE2">
            <w:pPr>
              <w:jc w:val="center"/>
              <w:rPr>
                <w:b/>
                <w:bCs/>
                <w:sz w:val="18"/>
                <w:szCs w:val="18"/>
              </w:rPr>
            </w:pPr>
            <w:r w:rsidRPr="00F87EE2">
              <w:rPr>
                <w:color w:val="00B050"/>
                <w:sz w:val="18"/>
                <w:szCs w:val="18"/>
              </w:rPr>
              <w:t xml:space="preserve">High </w:t>
            </w:r>
            <w:r w:rsidRPr="00F87EE2">
              <w:rPr>
                <w:sz w:val="18"/>
                <w:szCs w:val="18"/>
              </w:rPr>
              <w:t>hardness, tensile and compressive strengths</w:t>
            </w:r>
            <w:r w:rsidRPr="00F87EE2">
              <w:rPr>
                <w:sz w:val="18"/>
                <w:szCs w:val="18"/>
              </w:rPr>
              <w:br/>
            </w:r>
          </w:p>
          <w:p w14:paraId="3F243DE7" w14:textId="77777777" w:rsidR="00F87EE2" w:rsidRPr="00F87EE2" w:rsidRDefault="00F87EE2" w:rsidP="00F87EE2">
            <w:pPr>
              <w:jc w:val="center"/>
              <w:rPr>
                <w:b/>
                <w:bCs/>
                <w:sz w:val="18"/>
                <w:szCs w:val="18"/>
              </w:rPr>
            </w:pPr>
            <w:r w:rsidRPr="00F87EE2">
              <w:rPr>
                <w:color w:val="00B050"/>
                <w:sz w:val="18"/>
                <w:szCs w:val="18"/>
              </w:rPr>
              <w:t xml:space="preserve">Good </w:t>
            </w:r>
            <w:r w:rsidRPr="00F87EE2">
              <w:rPr>
                <w:sz w:val="18"/>
                <w:szCs w:val="18"/>
              </w:rPr>
              <w:t>marginal seal</w:t>
            </w:r>
          </w:p>
          <w:p w14:paraId="2CF355BA" w14:textId="77777777" w:rsidR="00C0558F" w:rsidRPr="00F87EE2" w:rsidRDefault="00C0558F" w:rsidP="00F87EE2">
            <w:pPr>
              <w:jc w:val="center"/>
              <w:rPr>
                <w:sz w:val="18"/>
                <w:szCs w:val="18"/>
              </w:rPr>
            </w:pPr>
          </w:p>
        </w:tc>
      </w:tr>
      <w:tr w:rsidR="00D0533A" w14:paraId="021BFA8B" w14:textId="77777777" w:rsidTr="00D0533A">
        <w:trPr>
          <w:cantSplit/>
          <w:trHeight w:val="1134"/>
        </w:trPr>
        <w:tc>
          <w:tcPr>
            <w:tcW w:w="448" w:type="dxa"/>
            <w:tcBorders>
              <w:top w:val="nil"/>
              <w:left w:val="single" w:sz="24" w:space="0" w:color="E84C22" w:themeColor="accent1"/>
              <w:bottom w:val="nil"/>
              <w:right w:val="single" w:sz="12" w:space="0" w:color="E84C22" w:themeColor="accent1"/>
            </w:tcBorders>
            <w:shd w:val="clear" w:color="auto" w:fill="D9D9D9" w:themeFill="background1" w:themeFillShade="D9"/>
            <w:textDirection w:val="tbRl"/>
            <w:vAlign w:val="bottom"/>
          </w:tcPr>
          <w:p w14:paraId="08DD35C2" w14:textId="14B2941D" w:rsidR="00C0558F" w:rsidRPr="00F87EE2" w:rsidRDefault="00C0558F" w:rsidP="00C0558F">
            <w:pPr>
              <w:ind w:left="113" w:right="113"/>
              <w:jc w:val="center"/>
              <w:rPr>
                <w:sz w:val="18"/>
                <w:szCs w:val="18"/>
              </w:rPr>
            </w:pPr>
            <w:r w:rsidRPr="00F87EE2">
              <w:rPr>
                <w:sz w:val="18"/>
                <w:szCs w:val="18"/>
              </w:rPr>
              <w:t>Disadvantages</w:t>
            </w:r>
          </w:p>
        </w:tc>
        <w:tc>
          <w:tcPr>
            <w:tcW w:w="2225" w:type="dxa"/>
            <w:tcBorders>
              <w:top w:val="single" w:sz="12" w:space="0" w:color="E84C22" w:themeColor="accent1"/>
              <w:left w:val="single" w:sz="12" w:space="0" w:color="E84C22" w:themeColor="accent1"/>
              <w:bottom w:val="single" w:sz="12" w:space="0" w:color="E84C22" w:themeColor="accent1"/>
            </w:tcBorders>
            <w:shd w:val="clear" w:color="auto" w:fill="F2F2F2" w:themeFill="background1" w:themeFillShade="F2"/>
            <w:vAlign w:val="center"/>
          </w:tcPr>
          <w:p w14:paraId="2963FA4B" w14:textId="1C755F68" w:rsidR="00C0558F" w:rsidRPr="00F87EE2" w:rsidRDefault="00C0558F" w:rsidP="00C0558F">
            <w:pPr>
              <w:jc w:val="center"/>
              <w:rPr>
                <w:b/>
                <w:bCs/>
                <w:sz w:val="18"/>
                <w:szCs w:val="18"/>
              </w:rPr>
            </w:pPr>
            <w:r w:rsidRPr="00F87EE2">
              <w:rPr>
                <w:sz w:val="18"/>
                <w:szCs w:val="18"/>
              </w:rPr>
              <w:t xml:space="preserve">Compressive strength is </w:t>
            </w:r>
            <w:r w:rsidRPr="00F87EE2">
              <w:rPr>
                <w:color w:val="FF0000"/>
                <w:sz w:val="18"/>
                <w:szCs w:val="18"/>
              </w:rPr>
              <w:t>less</w:t>
            </w:r>
            <w:r w:rsidRPr="00F87EE2">
              <w:rPr>
                <w:sz w:val="18"/>
                <w:szCs w:val="18"/>
              </w:rPr>
              <w:t xml:space="preserve"> than </w:t>
            </w:r>
            <w:proofErr w:type="spellStart"/>
            <w:r w:rsidRPr="00F87EE2">
              <w:rPr>
                <w:sz w:val="18"/>
                <w:szCs w:val="18"/>
              </w:rPr>
              <w:t>ZnOE</w:t>
            </w:r>
            <w:proofErr w:type="spellEnd"/>
            <w:r w:rsidRPr="00F87EE2">
              <w:rPr>
                <w:sz w:val="18"/>
                <w:szCs w:val="18"/>
              </w:rPr>
              <w:t xml:space="preserve"> </w:t>
            </w:r>
            <w:r w:rsidRPr="00F87EE2">
              <w:rPr>
                <w:sz w:val="18"/>
                <w:szCs w:val="18"/>
              </w:rPr>
              <w:sym w:font="Wingdings" w:char="F0E8"/>
            </w:r>
            <w:r w:rsidRPr="00F87EE2">
              <w:rPr>
                <w:sz w:val="18"/>
                <w:szCs w:val="18"/>
              </w:rPr>
              <w:t xml:space="preserve"> sufficient bulk is required to provide adequate seal.</w:t>
            </w:r>
          </w:p>
        </w:tc>
        <w:tc>
          <w:tcPr>
            <w:tcW w:w="2226" w:type="dxa"/>
            <w:tcBorders>
              <w:top w:val="single" w:sz="12" w:space="0" w:color="E84C22" w:themeColor="accent1"/>
              <w:bottom w:val="single" w:sz="12" w:space="0" w:color="E84C22" w:themeColor="accent1"/>
            </w:tcBorders>
            <w:shd w:val="clear" w:color="auto" w:fill="DDD9C3" w:themeFill="background2" w:themeFillShade="E6"/>
            <w:vAlign w:val="center"/>
          </w:tcPr>
          <w:p w14:paraId="7B85C62A" w14:textId="77777777" w:rsidR="00C0558F" w:rsidRPr="00F87EE2" w:rsidRDefault="00C0558F" w:rsidP="00C0558F">
            <w:pPr>
              <w:jc w:val="center"/>
              <w:rPr>
                <w:sz w:val="18"/>
                <w:szCs w:val="18"/>
              </w:rPr>
            </w:pPr>
          </w:p>
        </w:tc>
        <w:tc>
          <w:tcPr>
            <w:tcW w:w="2225" w:type="dxa"/>
            <w:tcBorders>
              <w:top w:val="single" w:sz="12" w:space="0" w:color="E84C22" w:themeColor="accent1"/>
              <w:bottom w:val="single" w:sz="12" w:space="0" w:color="E84C22" w:themeColor="accent1"/>
            </w:tcBorders>
            <w:shd w:val="clear" w:color="auto" w:fill="FFF1DA" w:themeFill="accent2" w:themeFillTint="33"/>
            <w:vAlign w:val="center"/>
          </w:tcPr>
          <w:p w14:paraId="6E0F662D" w14:textId="70E3137E" w:rsidR="00C0558F" w:rsidRPr="00F87EE2" w:rsidRDefault="00C0558F" w:rsidP="00C0558F">
            <w:pPr>
              <w:jc w:val="center"/>
              <w:rPr>
                <w:sz w:val="18"/>
                <w:szCs w:val="18"/>
              </w:rPr>
            </w:pPr>
            <w:r w:rsidRPr="00F87EE2">
              <w:rPr>
                <w:sz w:val="18"/>
                <w:szCs w:val="18"/>
              </w:rPr>
              <w:t>Cost</w:t>
            </w:r>
          </w:p>
          <w:p w14:paraId="526FC2FB" w14:textId="77777777" w:rsidR="00C0558F" w:rsidRPr="00F87EE2" w:rsidRDefault="00C0558F" w:rsidP="00C0558F">
            <w:pPr>
              <w:jc w:val="center"/>
              <w:rPr>
                <w:sz w:val="18"/>
                <w:szCs w:val="18"/>
              </w:rPr>
            </w:pPr>
          </w:p>
          <w:p w14:paraId="5FCFC4D5" w14:textId="2497FAEA" w:rsidR="00C0558F" w:rsidRPr="00F87EE2" w:rsidRDefault="00C0558F" w:rsidP="00C0558F">
            <w:pPr>
              <w:jc w:val="center"/>
              <w:rPr>
                <w:sz w:val="18"/>
                <w:szCs w:val="18"/>
              </w:rPr>
            </w:pPr>
            <w:r w:rsidRPr="00F87EE2">
              <w:rPr>
                <w:sz w:val="18"/>
                <w:szCs w:val="18"/>
              </w:rPr>
              <w:t>Speed of setting</w:t>
            </w:r>
          </w:p>
          <w:p w14:paraId="7581B3C7" w14:textId="77777777" w:rsidR="00C0558F" w:rsidRPr="00F87EE2" w:rsidRDefault="00C0558F" w:rsidP="00C0558F">
            <w:pPr>
              <w:jc w:val="center"/>
              <w:rPr>
                <w:sz w:val="18"/>
                <w:szCs w:val="18"/>
              </w:rPr>
            </w:pPr>
          </w:p>
          <w:p w14:paraId="56103EEE" w14:textId="6FDF9EFC" w:rsidR="00C0558F" w:rsidRPr="00F87EE2" w:rsidRDefault="00C0558F" w:rsidP="00C0558F">
            <w:pPr>
              <w:jc w:val="center"/>
              <w:rPr>
                <w:sz w:val="18"/>
                <w:szCs w:val="18"/>
              </w:rPr>
            </w:pPr>
            <w:r w:rsidRPr="00F87EE2">
              <w:rPr>
                <w:sz w:val="18"/>
                <w:szCs w:val="18"/>
              </w:rPr>
              <w:t>Difficulty in differentiating GIC from the remaining tooth structure (hard removal)</w:t>
            </w:r>
          </w:p>
        </w:tc>
        <w:tc>
          <w:tcPr>
            <w:tcW w:w="2226" w:type="dxa"/>
            <w:tcBorders>
              <w:top w:val="single" w:sz="12" w:space="0" w:color="E84C22" w:themeColor="accent1"/>
              <w:bottom w:val="single" w:sz="12" w:space="0" w:color="E84C22" w:themeColor="accent1"/>
              <w:right w:val="single" w:sz="24" w:space="0" w:color="E84C22" w:themeColor="accent1"/>
            </w:tcBorders>
            <w:shd w:val="clear" w:color="auto" w:fill="FFE6D3" w:themeFill="accent4" w:themeFillTint="33"/>
            <w:vAlign w:val="center"/>
          </w:tcPr>
          <w:p w14:paraId="6DFA6ACC" w14:textId="77777777" w:rsidR="00F87EE2" w:rsidRPr="00F87EE2" w:rsidRDefault="00F87EE2" w:rsidP="00F87EE2">
            <w:pPr>
              <w:jc w:val="center"/>
              <w:rPr>
                <w:b/>
                <w:bCs/>
                <w:sz w:val="18"/>
                <w:szCs w:val="18"/>
              </w:rPr>
            </w:pPr>
            <w:r w:rsidRPr="00F87EE2">
              <w:rPr>
                <w:color w:val="FF0000"/>
                <w:sz w:val="18"/>
                <w:szCs w:val="18"/>
              </w:rPr>
              <w:t xml:space="preserve">No </w:t>
            </w:r>
            <w:r w:rsidRPr="00F87EE2">
              <w:rPr>
                <w:sz w:val="18"/>
                <w:szCs w:val="18"/>
              </w:rPr>
              <w:t>antibacterial properties</w:t>
            </w:r>
          </w:p>
          <w:p w14:paraId="484B0C19" w14:textId="77777777" w:rsidR="00C0558F" w:rsidRPr="00F87EE2" w:rsidRDefault="00C0558F" w:rsidP="00F87EE2">
            <w:pPr>
              <w:jc w:val="center"/>
              <w:rPr>
                <w:sz w:val="18"/>
                <w:szCs w:val="18"/>
              </w:rPr>
            </w:pPr>
          </w:p>
        </w:tc>
      </w:tr>
      <w:tr w:rsidR="00D0533A" w14:paraId="383607DE" w14:textId="77777777" w:rsidTr="00D0533A">
        <w:trPr>
          <w:cantSplit/>
          <w:trHeight w:val="1134"/>
        </w:trPr>
        <w:tc>
          <w:tcPr>
            <w:tcW w:w="448" w:type="dxa"/>
            <w:tcBorders>
              <w:top w:val="nil"/>
              <w:left w:val="single" w:sz="24" w:space="0" w:color="E84C22" w:themeColor="accent1"/>
              <w:bottom w:val="single" w:sz="24" w:space="0" w:color="E84C22" w:themeColor="accent1"/>
              <w:right w:val="single" w:sz="12" w:space="0" w:color="E84C22" w:themeColor="accent1"/>
            </w:tcBorders>
            <w:shd w:val="clear" w:color="auto" w:fill="D9D9D9" w:themeFill="background1" w:themeFillShade="D9"/>
            <w:textDirection w:val="tbRl"/>
            <w:vAlign w:val="bottom"/>
          </w:tcPr>
          <w:p w14:paraId="5B30393C" w14:textId="220ECE4C" w:rsidR="00C0558F" w:rsidRPr="00F87EE2" w:rsidRDefault="00C0558F" w:rsidP="00C0558F">
            <w:pPr>
              <w:ind w:left="113" w:right="113"/>
              <w:jc w:val="center"/>
              <w:rPr>
                <w:sz w:val="18"/>
                <w:szCs w:val="18"/>
              </w:rPr>
            </w:pPr>
            <w:r w:rsidRPr="00F87EE2">
              <w:rPr>
                <w:sz w:val="18"/>
                <w:szCs w:val="18"/>
              </w:rPr>
              <w:t>Varieties</w:t>
            </w:r>
          </w:p>
        </w:tc>
        <w:tc>
          <w:tcPr>
            <w:tcW w:w="2225" w:type="dxa"/>
            <w:tcBorders>
              <w:top w:val="single" w:sz="12" w:space="0" w:color="E84C22" w:themeColor="accent1"/>
              <w:left w:val="single" w:sz="12" w:space="0" w:color="E84C22" w:themeColor="accent1"/>
              <w:bottom w:val="single" w:sz="24" w:space="0" w:color="E84C22" w:themeColor="accent1"/>
            </w:tcBorders>
            <w:shd w:val="clear" w:color="auto" w:fill="F2F2F2" w:themeFill="background1" w:themeFillShade="F2"/>
            <w:vAlign w:val="center"/>
          </w:tcPr>
          <w:p w14:paraId="1760D78E" w14:textId="33183DF8" w:rsidR="00C0558F" w:rsidRPr="00F87EE2" w:rsidRDefault="00C0558F" w:rsidP="00C0558F">
            <w:pPr>
              <w:jc w:val="center"/>
              <w:rPr>
                <w:b/>
                <w:bCs/>
                <w:sz w:val="18"/>
                <w:szCs w:val="18"/>
              </w:rPr>
            </w:pPr>
            <w:r w:rsidRPr="00F87EE2">
              <w:rPr>
                <w:sz w:val="18"/>
                <w:szCs w:val="18"/>
                <w:u w:val="single"/>
              </w:rPr>
              <w:t>CAVIT-G &amp; CAVIT-W</w:t>
            </w:r>
            <w:r w:rsidRPr="00F87EE2">
              <w:rPr>
                <w:sz w:val="18"/>
                <w:szCs w:val="18"/>
              </w:rPr>
              <w:t>: vary in resin content and resulting hardness and setting.</w:t>
            </w:r>
            <w:r w:rsidRPr="00F87EE2">
              <w:rPr>
                <w:sz w:val="18"/>
                <w:szCs w:val="18"/>
              </w:rPr>
              <w:br/>
            </w:r>
          </w:p>
          <w:p w14:paraId="793A2891" w14:textId="440E16E7" w:rsidR="00C0558F" w:rsidRPr="00F87EE2" w:rsidRDefault="00C0558F" w:rsidP="00C0558F">
            <w:pPr>
              <w:jc w:val="center"/>
              <w:rPr>
                <w:b/>
                <w:bCs/>
                <w:sz w:val="18"/>
                <w:szCs w:val="18"/>
              </w:rPr>
            </w:pPr>
            <w:r w:rsidRPr="00F87EE2">
              <w:rPr>
                <w:sz w:val="18"/>
                <w:szCs w:val="18"/>
                <w:u w:val="single"/>
              </w:rPr>
              <w:t>COLTOSOL</w:t>
            </w:r>
            <w:r w:rsidRPr="00F87EE2">
              <w:rPr>
                <w:sz w:val="18"/>
                <w:szCs w:val="18"/>
              </w:rPr>
              <w:t xml:space="preserve">: hemi-hydrate-based material, hardens 20—30 minutes when in contact with moisture. This material is designed for short-term use, </w:t>
            </w:r>
            <w:r w:rsidRPr="00F87EE2">
              <w:rPr>
                <w:color w:val="FF0000"/>
                <w:sz w:val="18"/>
                <w:szCs w:val="18"/>
              </w:rPr>
              <w:t xml:space="preserve">not exceeding </w:t>
            </w:r>
            <w:r w:rsidRPr="00F87EE2">
              <w:rPr>
                <w:sz w:val="18"/>
                <w:szCs w:val="18"/>
              </w:rPr>
              <w:t>2 weeks.</w:t>
            </w:r>
          </w:p>
          <w:p w14:paraId="6410A6DC" w14:textId="77777777" w:rsidR="00C0558F" w:rsidRPr="00F87EE2" w:rsidRDefault="00C0558F" w:rsidP="00C0558F">
            <w:pPr>
              <w:jc w:val="center"/>
              <w:rPr>
                <w:sz w:val="18"/>
                <w:szCs w:val="18"/>
              </w:rPr>
            </w:pPr>
          </w:p>
        </w:tc>
        <w:tc>
          <w:tcPr>
            <w:tcW w:w="2226" w:type="dxa"/>
            <w:tcBorders>
              <w:top w:val="single" w:sz="12" w:space="0" w:color="E84C22" w:themeColor="accent1"/>
              <w:bottom w:val="single" w:sz="24" w:space="0" w:color="E84C22" w:themeColor="accent1"/>
            </w:tcBorders>
            <w:shd w:val="clear" w:color="auto" w:fill="DDD9C3" w:themeFill="background2" w:themeFillShade="E6"/>
            <w:vAlign w:val="center"/>
          </w:tcPr>
          <w:p w14:paraId="4282C036" w14:textId="0DB888AE" w:rsidR="00C0558F" w:rsidRPr="00F87EE2" w:rsidRDefault="00C0558F" w:rsidP="00C0558F">
            <w:pPr>
              <w:jc w:val="center"/>
              <w:rPr>
                <w:sz w:val="18"/>
                <w:szCs w:val="18"/>
              </w:rPr>
            </w:pPr>
            <w:r w:rsidRPr="00F87EE2">
              <w:rPr>
                <w:sz w:val="18"/>
                <w:szCs w:val="18"/>
                <w:u w:val="single"/>
              </w:rPr>
              <w:t>KALZINOL</w:t>
            </w:r>
            <w:r w:rsidRPr="00F87EE2">
              <w:rPr>
                <w:sz w:val="18"/>
                <w:szCs w:val="18"/>
              </w:rPr>
              <w:t xml:space="preserve">: ZOE based cement </w:t>
            </w:r>
            <w:r w:rsidRPr="00F87EE2">
              <w:rPr>
                <w:b/>
                <w:bCs/>
                <w:sz w:val="18"/>
                <w:szCs w:val="18"/>
              </w:rPr>
              <w:t>reinforced with</w:t>
            </w:r>
            <w:r w:rsidRPr="00F87EE2">
              <w:rPr>
                <w:sz w:val="18"/>
                <w:szCs w:val="18"/>
              </w:rPr>
              <w:t xml:space="preserve"> </w:t>
            </w:r>
            <w:r w:rsidRPr="00F87EE2">
              <w:rPr>
                <w:b/>
                <w:bCs/>
                <w:sz w:val="18"/>
                <w:szCs w:val="18"/>
              </w:rPr>
              <w:t>2% polystyrene polymer</w:t>
            </w:r>
            <w:r w:rsidRPr="00F87EE2">
              <w:rPr>
                <w:sz w:val="18"/>
                <w:szCs w:val="18"/>
              </w:rPr>
              <w:t xml:space="preserve"> to </w:t>
            </w:r>
            <w:r w:rsidRPr="00F87EE2">
              <w:rPr>
                <w:color w:val="00B050"/>
                <w:sz w:val="18"/>
                <w:szCs w:val="18"/>
              </w:rPr>
              <w:t>double</w:t>
            </w:r>
            <w:r w:rsidRPr="00F87EE2">
              <w:rPr>
                <w:sz w:val="18"/>
                <w:szCs w:val="18"/>
              </w:rPr>
              <w:t xml:space="preserve"> the compressive strength.</w:t>
            </w:r>
            <w:r w:rsidRPr="00F87EE2">
              <w:rPr>
                <w:sz w:val="18"/>
                <w:szCs w:val="18"/>
              </w:rPr>
              <w:br/>
            </w:r>
          </w:p>
          <w:p w14:paraId="6DDE2D9F" w14:textId="30E7B8BB" w:rsidR="00C0558F" w:rsidRPr="00F87EE2" w:rsidRDefault="00C0558F" w:rsidP="00C0558F">
            <w:pPr>
              <w:jc w:val="center"/>
              <w:rPr>
                <w:sz w:val="18"/>
                <w:szCs w:val="18"/>
              </w:rPr>
            </w:pPr>
            <w:r w:rsidRPr="00F87EE2">
              <w:rPr>
                <w:sz w:val="18"/>
                <w:szCs w:val="18"/>
                <w:u w:val="single"/>
              </w:rPr>
              <w:t>IRM</w:t>
            </w:r>
            <w:r w:rsidRPr="00F87EE2">
              <w:rPr>
                <w:sz w:val="18"/>
                <w:szCs w:val="18"/>
              </w:rPr>
              <w:t xml:space="preserve">: ZOE cement </w:t>
            </w:r>
            <w:r w:rsidRPr="00F87EE2">
              <w:rPr>
                <w:b/>
                <w:bCs/>
                <w:sz w:val="18"/>
                <w:szCs w:val="18"/>
              </w:rPr>
              <w:t>reinforced with polymethyl methacrylate</w:t>
            </w:r>
            <w:r w:rsidRPr="00F87EE2">
              <w:rPr>
                <w:sz w:val="18"/>
                <w:szCs w:val="18"/>
              </w:rPr>
              <w:t xml:space="preserve">, </w:t>
            </w:r>
            <w:r w:rsidRPr="00F87EE2">
              <w:rPr>
                <w:color w:val="00B050"/>
                <w:sz w:val="18"/>
                <w:szCs w:val="18"/>
              </w:rPr>
              <w:t xml:space="preserve">improving </w:t>
            </w:r>
            <w:r w:rsidRPr="00F87EE2">
              <w:rPr>
                <w:sz w:val="18"/>
                <w:szCs w:val="18"/>
              </w:rPr>
              <w:t xml:space="preserve">its compressive strength, abrasion resistance and hardness. It also exhibits an </w:t>
            </w:r>
            <w:r w:rsidRPr="00F87EE2">
              <w:rPr>
                <w:color w:val="00B050"/>
                <w:sz w:val="18"/>
                <w:szCs w:val="18"/>
              </w:rPr>
              <w:t xml:space="preserve">anti-bacterial activity </w:t>
            </w:r>
            <w:r w:rsidRPr="00F87EE2">
              <w:rPr>
                <w:sz w:val="18"/>
                <w:szCs w:val="18"/>
              </w:rPr>
              <w:t>due to release of eugenol which prevents bacterial colonization. Available as pre-measured capsules for mixing in amalgamator.</w:t>
            </w:r>
          </w:p>
        </w:tc>
        <w:tc>
          <w:tcPr>
            <w:tcW w:w="2225" w:type="dxa"/>
            <w:tcBorders>
              <w:top w:val="single" w:sz="12" w:space="0" w:color="E84C22" w:themeColor="accent1"/>
              <w:bottom w:val="single" w:sz="24" w:space="0" w:color="E84C22" w:themeColor="accent1"/>
            </w:tcBorders>
            <w:shd w:val="clear" w:color="auto" w:fill="FFF1DA" w:themeFill="accent2" w:themeFillTint="33"/>
            <w:vAlign w:val="center"/>
          </w:tcPr>
          <w:p w14:paraId="64BCFB8E" w14:textId="4895ABAC" w:rsidR="00C0558F" w:rsidRPr="00F87EE2" w:rsidRDefault="00C0558F" w:rsidP="00C0558F">
            <w:pPr>
              <w:jc w:val="center"/>
              <w:rPr>
                <w:sz w:val="18"/>
                <w:szCs w:val="18"/>
              </w:rPr>
            </w:pPr>
            <w:r w:rsidRPr="00F87EE2">
              <w:rPr>
                <w:sz w:val="18"/>
                <w:szCs w:val="18"/>
                <w:u w:val="single"/>
              </w:rPr>
              <w:t>Fuji VII</w:t>
            </w:r>
            <w:r w:rsidRPr="00F87EE2">
              <w:rPr>
                <w:sz w:val="18"/>
                <w:szCs w:val="18"/>
              </w:rPr>
              <w:t>: Auto-cure in 4 minutes or with a halogen lamp in 20-40 secs. It has a pink chroma for identification of margins.</w:t>
            </w:r>
          </w:p>
          <w:p w14:paraId="7F891595" w14:textId="77777777" w:rsidR="00C0558F" w:rsidRPr="00F87EE2" w:rsidRDefault="00C0558F" w:rsidP="00C0558F">
            <w:pPr>
              <w:jc w:val="center"/>
              <w:rPr>
                <w:sz w:val="18"/>
                <w:szCs w:val="18"/>
              </w:rPr>
            </w:pPr>
          </w:p>
        </w:tc>
        <w:tc>
          <w:tcPr>
            <w:tcW w:w="2226" w:type="dxa"/>
            <w:tcBorders>
              <w:top w:val="single" w:sz="12" w:space="0" w:color="E84C22" w:themeColor="accent1"/>
              <w:bottom w:val="single" w:sz="24" w:space="0" w:color="E84C22" w:themeColor="accent1"/>
              <w:right w:val="single" w:sz="24" w:space="0" w:color="E84C22" w:themeColor="accent1"/>
            </w:tcBorders>
            <w:shd w:val="clear" w:color="auto" w:fill="FFE6D3" w:themeFill="accent4" w:themeFillTint="33"/>
            <w:vAlign w:val="center"/>
          </w:tcPr>
          <w:p w14:paraId="490DF9D4" w14:textId="77777777" w:rsidR="00C0558F" w:rsidRPr="00F87EE2" w:rsidRDefault="00C0558F" w:rsidP="00C0558F">
            <w:pPr>
              <w:jc w:val="center"/>
              <w:rPr>
                <w:sz w:val="18"/>
                <w:szCs w:val="18"/>
              </w:rPr>
            </w:pPr>
          </w:p>
        </w:tc>
      </w:tr>
    </w:tbl>
    <w:p w14:paraId="6277F01F" w14:textId="552FCA0C" w:rsidR="00932CD3" w:rsidRDefault="00932CD3" w:rsidP="00932CD3">
      <w:pPr>
        <w:pStyle w:val="Heading1"/>
      </w:pPr>
      <w:r>
        <w:lastRenderedPageBreak/>
        <w:t>Temporization of access cavity within a restoration</w:t>
      </w:r>
    </w:p>
    <w:p w14:paraId="5FC90DED" w14:textId="4C8B4AE6" w:rsidR="00DB6A3B" w:rsidRDefault="00DB6A3B" w:rsidP="00DB6A3B">
      <w:pPr>
        <w:pStyle w:val="ListParagraph"/>
        <w:numPr>
          <w:ilvl w:val="0"/>
          <w:numId w:val="2"/>
        </w:numPr>
      </w:pPr>
      <w:r>
        <w:t>Many teeth requiring endodontic therapy have large coronal restoration of acceptable quality.</w:t>
      </w:r>
    </w:p>
    <w:p w14:paraId="2566FF35" w14:textId="16C527EF" w:rsidR="00932CD3" w:rsidRDefault="00DB6A3B" w:rsidP="00DB6A3B">
      <w:pPr>
        <w:pStyle w:val="ListParagraph"/>
        <w:numPr>
          <w:ilvl w:val="0"/>
          <w:numId w:val="2"/>
        </w:numPr>
      </w:pPr>
      <w:r>
        <w:t xml:space="preserve">When doubts arise about the quality and the seal of the primary restoration, then it is better to remove the entire restoration and replace it. </w:t>
      </w:r>
    </w:p>
    <w:p w14:paraId="2499AF27" w14:textId="2C7BAA9D" w:rsidR="00DB6A3B" w:rsidRDefault="00DB6A3B" w:rsidP="00DB6A3B">
      <w:pPr>
        <w:pStyle w:val="ListParagraph"/>
        <w:numPr>
          <w:ilvl w:val="1"/>
          <w:numId w:val="2"/>
        </w:numPr>
      </w:pPr>
      <w:r>
        <w:rPr>
          <w:u w:val="single"/>
        </w:rPr>
        <w:t>CAVIT &amp; IRM</w:t>
      </w:r>
      <w:r>
        <w:t>: seals effectively in most materials</w:t>
      </w:r>
    </w:p>
    <w:p w14:paraId="6CD8316D" w14:textId="325544C8" w:rsidR="00DB6A3B" w:rsidRPr="00DB6A3B" w:rsidRDefault="00DB6A3B" w:rsidP="00DB6A3B">
      <w:pPr>
        <w:pStyle w:val="ListParagraph"/>
        <w:numPr>
          <w:ilvl w:val="1"/>
          <w:numId w:val="2"/>
        </w:numPr>
      </w:pPr>
      <w:r>
        <w:rPr>
          <w:u w:val="single"/>
        </w:rPr>
        <w:t>Amalgam</w:t>
      </w:r>
      <w:r w:rsidRPr="00DB6A3B">
        <w:t>:</w:t>
      </w:r>
      <w:r>
        <w:t xml:space="preserve"> seals adequately in most materials </w:t>
      </w:r>
      <w:r>
        <w:rPr>
          <w:b/>
          <w:bCs/>
        </w:rPr>
        <w:t xml:space="preserve">[Except </w:t>
      </w:r>
      <w:r w:rsidRPr="00DB6A3B">
        <w:rPr>
          <w:b/>
          <w:bCs/>
        </w:rPr>
        <w:t>ZnPO4 &amp; Polycarboxylate</w:t>
      </w:r>
      <w:r>
        <w:rPr>
          <w:b/>
          <w:bCs/>
        </w:rPr>
        <w:t>]</w:t>
      </w:r>
    </w:p>
    <w:p w14:paraId="0C3C86F3" w14:textId="261B3E89" w:rsidR="00DB6A3B" w:rsidRDefault="00DB6A3B" w:rsidP="00DB6A3B">
      <w:pPr>
        <w:pStyle w:val="ListParagraph"/>
        <w:numPr>
          <w:ilvl w:val="1"/>
          <w:numId w:val="2"/>
        </w:numPr>
      </w:pPr>
      <w:r>
        <w:rPr>
          <w:u w:val="single"/>
        </w:rPr>
        <w:t>Composite</w:t>
      </w:r>
      <w:r>
        <w:t xml:space="preserve">: </w:t>
      </w:r>
      <w:proofErr w:type="spellStart"/>
      <w:r>
        <w:t>ZnOE</w:t>
      </w:r>
      <w:proofErr w:type="spellEnd"/>
      <w:r>
        <w:t xml:space="preserve"> and CAVIT could effectively seal access in composite. </w:t>
      </w:r>
    </w:p>
    <w:p w14:paraId="7E3AC8F6" w14:textId="23ECB9D6" w:rsidR="00DB6A3B" w:rsidRDefault="00DB6A3B" w:rsidP="00DB6A3B">
      <w:pPr>
        <w:pStyle w:val="Heading1"/>
      </w:pPr>
      <w:r>
        <w:t>clinical recommendations</w:t>
      </w:r>
    </w:p>
    <w:p w14:paraId="16927329" w14:textId="0C417DF7" w:rsidR="00DB6A3B" w:rsidRDefault="00DB6A3B" w:rsidP="00DB6A3B">
      <w:pPr>
        <w:pStyle w:val="ListParagraph"/>
        <w:numPr>
          <w:ilvl w:val="0"/>
          <w:numId w:val="2"/>
        </w:numPr>
      </w:pPr>
      <w:r>
        <w:t>Use a thin loaf cotton over the canal orifices is controversial:</w:t>
      </w:r>
    </w:p>
    <w:p w14:paraId="478A3004" w14:textId="5D37D1DC" w:rsidR="00DB6A3B" w:rsidRDefault="00DB6A3B" w:rsidP="00DB6A3B">
      <w:pPr>
        <w:pStyle w:val="ListParagraph"/>
        <w:numPr>
          <w:ilvl w:val="1"/>
          <w:numId w:val="2"/>
        </w:numPr>
      </w:pPr>
      <w:r>
        <w:rPr>
          <w:u w:val="single"/>
        </w:rPr>
        <w:t>Advantage</w:t>
      </w:r>
      <w:r>
        <w:t>: ease of removal of temporary without running the risk of unnecessary removal of intact tooth structure or perforating the floor of the pulp. Also, it helps preventing accidental blockage of the canal orifice by small fragments of the temporary material.</w:t>
      </w:r>
    </w:p>
    <w:p w14:paraId="417ABA7D" w14:textId="491FF34B" w:rsidR="00DB6A3B" w:rsidRDefault="00DB6A3B" w:rsidP="00DB6A3B">
      <w:pPr>
        <w:pStyle w:val="ListParagraph"/>
        <w:numPr>
          <w:ilvl w:val="1"/>
          <w:numId w:val="2"/>
        </w:numPr>
      </w:pPr>
      <w:r>
        <w:rPr>
          <w:u w:val="single"/>
        </w:rPr>
        <w:t>Disadvantage</w:t>
      </w:r>
      <w:r w:rsidRPr="00DB6A3B">
        <w:t>:</w:t>
      </w:r>
      <w:r>
        <w:t xml:space="preserve"> it could reduce thickness of the temporary, compromise the stability of the restoration allowing displacement during mastication, compromise the adaption of the temporary during placements which increases the risk of leakage from lateral canals.</w:t>
      </w:r>
    </w:p>
    <w:p w14:paraId="69C56DBE" w14:textId="226CABDC" w:rsidR="00DB6A3B" w:rsidRDefault="00DB6A3B" w:rsidP="00DB6A3B">
      <w:pPr>
        <w:pStyle w:val="Heading1"/>
      </w:pPr>
      <w:r>
        <w:t>Protocols</w:t>
      </w:r>
    </w:p>
    <w:p w14:paraId="3E09D257" w14:textId="6A1B89B8" w:rsidR="00DB6A3B" w:rsidRDefault="00DB6A3B" w:rsidP="00DB6A3B">
      <w:pPr>
        <w:pStyle w:val="ListParagraph"/>
        <w:numPr>
          <w:ilvl w:val="0"/>
          <w:numId w:val="2"/>
        </w:numPr>
      </w:pPr>
      <w:r>
        <w:t xml:space="preserve">Place a small cotton pellet that covers the canal orifice but not the floor of pulp chamber. </w:t>
      </w:r>
    </w:p>
    <w:p w14:paraId="3D7F57F9" w14:textId="016F1C3D" w:rsidR="00DB6A3B" w:rsidRDefault="00DB6A3B" w:rsidP="00DB6A3B">
      <w:pPr>
        <w:pStyle w:val="ListParagraph"/>
        <w:numPr>
          <w:ilvl w:val="0"/>
          <w:numId w:val="2"/>
        </w:numPr>
      </w:pPr>
      <w:r>
        <w:t>Temporary material should have bulk</w:t>
      </w:r>
    </w:p>
    <w:p w14:paraId="1E9B0DAE" w14:textId="6E98A94E" w:rsidR="00DB6A3B" w:rsidRDefault="00DB6A3B" w:rsidP="00DB6A3B">
      <w:pPr>
        <w:pStyle w:val="ListParagraph"/>
        <w:numPr>
          <w:ilvl w:val="1"/>
          <w:numId w:val="2"/>
        </w:numPr>
      </w:pPr>
      <w:r>
        <w:t>Material should be placed in increments and condensed well.</w:t>
      </w:r>
    </w:p>
    <w:p w14:paraId="71A4013B" w14:textId="1D828978" w:rsidR="00DB6A3B" w:rsidRDefault="00DB6A3B" w:rsidP="00DB6A3B">
      <w:pPr>
        <w:pStyle w:val="ListParagraph"/>
        <w:numPr>
          <w:ilvl w:val="0"/>
          <w:numId w:val="2"/>
        </w:numPr>
      </w:pPr>
      <w:r>
        <w:t>Margins should be well finished, and occlusal adjustments must be made.</w:t>
      </w:r>
    </w:p>
    <w:p w14:paraId="6D4B424D" w14:textId="3D1B4E1F" w:rsidR="00DB6A3B" w:rsidRDefault="00DB6A3B" w:rsidP="00DB6A3B">
      <w:pPr>
        <w:pStyle w:val="ListParagraph"/>
        <w:numPr>
          <w:ilvl w:val="0"/>
          <w:numId w:val="2"/>
        </w:numPr>
      </w:pPr>
      <w:r>
        <w:t xml:space="preserve">After obturation, GP should be cutback to the canal orifices. </w:t>
      </w:r>
    </w:p>
    <w:p w14:paraId="5B90CA3C" w14:textId="2604D2E5" w:rsidR="001834E9" w:rsidRDefault="00DB6A3B" w:rsidP="00DB6A3B">
      <w:pPr>
        <w:pStyle w:val="ListParagraph"/>
        <w:numPr>
          <w:ilvl w:val="0"/>
          <w:numId w:val="2"/>
        </w:numPr>
      </w:pPr>
      <w:r>
        <w:t xml:space="preserve">Always restore the endodontically treated tooth with a permanent restoration immediately after obturation. </w:t>
      </w:r>
    </w:p>
    <w:p w14:paraId="221B5B8F" w14:textId="77777777" w:rsidR="001834E9" w:rsidRDefault="001834E9">
      <w:r>
        <w:br w:type="page"/>
      </w:r>
    </w:p>
    <w:p w14:paraId="0C5B353E" w14:textId="0E94318D" w:rsidR="001834E9" w:rsidRDefault="001834E9" w:rsidP="001834E9">
      <w:pPr>
        <w:pStyle w:val="Heading1"/>
      </w:pPr>
      <w:r>
        <w:lastRenderedPageBreak/>
        <w:t xml:space="preserve">Influence of final restoration </w:t>
      </w:r>
    </w:p>
    <w:p w14:paraId="663DB554" w14:textId="089EBD08" w:rsidR="001834E9" w:rsidRDefault="001834E9" w:rsidP="001834E9">
      <w:pPr>
        <w:pStyle w:val="ListParagraph"/>
        <w:numPr>
          <w:ilvl w:val="0"/>
          <w:numId w:val="2"/>
        </w:numPr>
      </w:pPr>
      <w:r>
        <w:t>Residual eugenol has a deleterious effect on composite polymerization and physical properties (hardness, color, stability). Studies have shown reduced bond-strength.</w:t>
      </w:r>
    </w:p>
    <w:p w14:paraId="4CC67E99" w14:textId="1796FA30" w:rsidR="001834E9" w:rsidRDefault="001834E9" w:rsidP="001834E9">
      <w:pPr>
        <w:pStyle w:val="ListParagraph"/>
        <w:numPr>
          <w:ilvl w:val="1"/>
          <w:numId w:val="2"/>
        </w:numPr>
      </w:pPr>
      <w:r>
        <w:t xml:space="preserve">It is recommended not to use ZOE temporary cements in cavities to be restored with composites. </w:t>
      </w:r>
    </w:p>
    <w:p w14:paraId="4D13E46E" w14:textId="6BCE0F75" w:rsidR="001834E9" w:rsidRDefault="001834E9" w:rsidP="001834E9">
      <w:pPr>
        <w:pStyle w:val="ListParagraph"/>
        <w:numPr>
          <w:ilvl w:val="1"/>
          <w:numId w:val="2"/>
        </w:numPr>
      </w:pPr>
      <w:r>
        <w:t>It is recommended to use bonding systems that rely on total etch procedures.</w:t>
      </w:r>
    </w:p>
    <w:p w14:paraId="5B33FD81" w14:textId="794978EE" w:rsidR="001834E9" w:rsidRDefault="001834E9" w:rsidP="001834E9">
      <w:pPr>
        <w:pStyle w:val="ListParagraph"/>
        <w:numPr>
          <w:ilvl w:val="1"/>
          <w:numId w:val="2"/>
        </w:numPr>
      </w:pPr>
      <w:r>
        <w:t xml:space="preserve">The use of 30-35% Phosphoric acid for 15 seconds may result in demineralization of dee to a depth of 10 microns removing any residual cement or contaminated enamel. </w:t>
      </w:r>
    </w:p>
    <w:p w14:paraId="065627EF" w14:textId="12B14D9B" w:rsidR="001834E9" w:rsidRDefault="001834E9" w:rsidP="001834E9">
      <w:pPr>
        <w:pStyle w:val="ListParagraph"/>
        <w:numPr>
          <w:ilvl w:val="0"/>
          <w:numId w:val="2"/>
        </w:numPr>
      </w:pPr>
      <w:r>
        <w:t>Neither IRM nor CAVIT interfered with dentin or enamel bond-strength.</w:t>
      </w:r>
    </w:p>
    <w:p w14:paraId="32E9DCBF" w14:textId="4584FE28" w:rsidR="001834E9" w:rsidRDefault="001834E9" w:rsidP="001834E9">
      <w:pPr>
        <w:pStyle w:val="Heading1"/>
      </w:pPr>
      <w:r>
        <w:t>Temporaries on broken down teeth</w:t>
      </w:r>
    </w:p>
    <w:tbl>
      <w:tblPr>
        <w:tblStyle w:val="TableGrid"/>
        <w:tblW w:w="0" w:type="auto"/>
        <w:tblLook w:val="04A0" w:firstRow="1" w:lastRow="0" w:firstColumn="1" w:lastColumn="0" w:noHBand="0" w:noVBand="1"/>
      </w:tblPr>
      <w:tblGrid>
        <w:gridCol w:w="4675"/>
        <w:gridCol w:w="4675"/>
      </w:tblGrid>
      <w:tr w:rsidR="001834E9" w14:paraId="30175192" w14:textId="77777777" w:rsidTr="00046421">
        <w:tc>
          <w:tcPr>
            <w:tcW w:w="4675" w:type="dxa"/>
            <w:vAlign w:val="center"/>
          </w:tcPr>
          <w:p w14:paraId="33CC4C60" w14:textId="5609FEFA" w:rsidR="001834E9" w:rsidRDefault="001834E9" w:rsidP="00046421">
            <w:pPr>
              <w:jc w:val="center"/>
            </w:pPr>
            <w:r>
              <w:t>Copper bands, Orthodontic bands, Temporary crowns, Pin retained restorations, Grooves and locks, Crown lengthening</w:t>
            </w:r>
          </w:p>
        </w:tc>
        <w:tc>
          <w:tcPr>
            <w:tcW w:w="4675" w:type="dxa"/>
            <w:vAlign w:val="center"/>
          </w:tcPr>
          <w:p w14:paraId="1EC1139D" w14:textId="77777777" w:rsidR="001834E9" w:rsidRDefault="00046421" w:rsidP="00046421">
            <w:pPr>
              <w:jc w:val="center"/>
            </w:pPr>
            <w:r>
              <w:t>Time Consuming</w:t>
            </w:r>
          </w:p>
          <w:p w14:paraId="1F7AB3F6" w14:textId="77777777" w:rsidR="00046421" w:rsidRDefault="00046421" w:rsidP="00046421">
            <w:pPr>
              <w:jc w:val="center"/>
            </w:pPr>
            <w:r>
              <w:t>Difficult to apply</w:t>
            </w:r>
          </w:p>
          <w:p w14:paraId="3F9AC8D4" w14:textId="41217CDD" w:rsidR="00046421" w:rsidRDefault="00046421" w:rsidP="00046421">
            <w:pPr>
              <w:jc w:val="center"/>
            </w:pPr>
            <w:r>
              <w:t>Risk of blocking a canal with cement particles.</w:t>
            </w:r>
          </w:p>
        </w:tc>
      </w:tr>
      <w:tr w:rsidR="001834E9" w14:paraId="781E82DF" w14:textId="77777777" w:rsidTr="00046421">
        <w:tc>
          <w:tcPr>
            <w:tcW w:w="4675" w:type="dxa"/>
            <w:vAlign w:val="center"/>
          </w:tcPr>
          <w:p w14:paraId="09A11EBE" w14:textId="50275FB5" w:rsidR="001834E9" w:rsidRDefault="00046421" w:rsidP="00046421">
            <w:pPr>
              <w:jc w:val="center"/>
            </w:pPr>
            <w:r>
              <w:t>GIC</w:t>
            </w:r>
          </w:p>
        </w:tc>
        <w:tc>
          <w:tcPr>
            <w:tcW w:w="4675" w:type="dxa"/>
          </w:tcPr>
          <w:p w14:paraId="7A2E19B8" w14:textId="77777777" w:rsidR="001834E9" w:rsidRDefault="00046421" w:rsidP="00046421">
            <w:pPr>
              <w:pStyle w:val="ListParagraph"/>
              <w:numPr>
                <w:ilvl w:val="0"/>
                <w:numId w:val="2"/>
              </w:numPr>
            </w:pPr>
            <w:r>
              <w:t>Advantages:</w:t>
            </w:r>
          </w:p>
          <w:p w14:paraId="6423E64B" w14:textId="77777777" w:rsidR="00046421" w:rsidRDefault="00046421" w:rsidP="00046421">
            <w:pPr>
              <w:pStyle w:val="ListParagraph"/>
              <w:numPr>
                <w:ilvl w:val="1"/>
                <w:numId w:val="2"/>
              </w:numPr>
            </w:pPr>
            <w:r>
              <w:t>Adequate seal</w:t>
            </w:r>
          </w:p>
          <w:p w14:paraId="688E77AA" w14:textId="3C91A47A" w:rsidR="00046421" w:rsidRDefault="00046421" w:rsidP="00046421">
            <w:pPr>
              <w:pStyle w:val="ListParagraph"/>
              <w:numPr>
                <w:ilvl w:val="1"/>
                <w:numId w:val="2"/>
              </w:numPr>
            </w:pPr>
            <w:r>
              <w:t>Strength to withstand application of rubber dam</w:t>
            </w:r>
          </w:p>
          <w:p w14:paraId="43ED1D0A" w14:textId="77777777" w:rsidR="00046421" w:rsidRDefault="00046421" w:rsidP="00046421">
            <w:pPr>
              <w:pStyle w:val="ListParagraph"/>
              <w:numPr>
                <w:ilvl w:val="1"/>
                <w:numId w:val="2"/>
              </w:numPr>
            </w:pPr>
            <w:r>
              <w:t>Radiopaque</w:t>
            </w:r>
          </w:p>
          <w:p w14:paraId="7BC2B4E7" w14:textId="77777777" w:rsidR="00046421" w:rsidRDefault="00046421" w:rsidP="00046421">
            <w:pPr>
              <w:pStyle w:val="ListParagraph"/>
              <w:numPr>
                <w:ilvl w:val="1"/>
                <w:numId w:val="2"/>
              </w:numPr>
            </w:pPr>
            <w:r>
              <w:t>Easily inserted</w:t>
            </w:r>
          </w:p>
          <w:p w14:paraId="047B01C4" w14:textId="77777777" w:rsidR="00046421" w:rsidRDefault="00046421" w:rsidP="00046421">
            <w:pPr>
              <w:pStyle w:val="ListParagraph"/>
              <w:numPr>
                <w:ilvl w:val="0"/>
                <w:numId w:val="2"/>
              </w:numPr>
            </w:pPr>
            <w:r>
              <w:t>Disadvantages:</w:t>
            </w:r>
          </w:p>
          <w:p w14:paraId="375AE49C" w14:textId="77777777" w:rsidR="00046421" w:rsidRDefault="00046421" w:rsidP="00046421">
            <w:pPr>
              <w:pStyle w:val="ListParagraph"/>
              <w:numPr>
                <w:ilvl w:val="1"/>
                <w:numId w:val="2"/>
              </w:numPr>
            </w:pPr>
            <w:r>
              <w:t>Cost</w:t>
            </w:r>
          </w:p>
          <w:p w14:paraId="05250431" w14:textId="397AECDF" w:rsidR="00046421" w:rsidRDefault="00046421" w:rsidP="00046421">
            <w:pPr>
              <w:pStyle w:val="ListParagraph"/>
              <w:numPr>
                <w:ilvl w:val="1"/>
                <w:numId w:val="2"/>
              </w:numPr>
            </w:pPr>
            <w:r>
              <w:t>Less aesthetic on anteriors</w:t>
            </w:r>
          </w:p>
        </w:tc>
      </w:tr>
      <w:tr w:rsidR="001834E9" w14:paraId="5C0EF976" w14:textId="77777777" w:rsidTr="00046421">
        <w:tc>
          <w:tcPr>
            <w:tcW w:w="4675" w:type="dxa"/>
            <w:vAlign w:val="center"/>
          </w:tcPr>
          <w:p w14:paraId="458F9242" w14:textId="34771484" w:rsidR="001834E9" w:rsidRDefault="00046421" w:rsidP="00046421">
            <w:pPr>
              <w:jc w:val="center"/>
            </w:pPr>
            <w:r>
              <w:t>Composite</w:t>
            </w:r>
          </w:p>
        </w:tc>
        <w:tc>
          <w:tcPr>
            <w:tcW w:w="4675" w:type="dxa"/>
          </w:tcPr>
          <w:p w14:paraId="56F0DC33" w14:textId="77777777" w:rsidR="001834E9" w:rsidRDefault="00046421" w:rsidP="00046421">
            <w:pPr>
              <w:pStyle w:val="ListParagraph"/>
              <w:numPr>
                <w:ilvl w:val="0"/>
                <w:numId w:val="2"/>
              </w:numPr>
            </w:pPr>
            <w:r>
              <w:t>Advantages:</w:t>
            </w:r>
          </w:p>
          <w:p w14:paraId="4F20DE93" w14:textId="77777777" w:rsidR="00046421" w:rsidRDefault="00046421" w:rsidP="00046421">
            <w:pPr>
              <w:pStyle w:val="ListParagraph"/>
              <w:numPr>
                <w:ilvl w:val="1"/>
                <w:numId w:val="2"/>
              </w:numPr>
            </w:pPr>
            <w:r>
              <w:t>Good Aesthetics</w:t>
            </w:r>
          </w:p>
          <w:p w14:paraId="62281C61" w14:textId="77777777" w:rsidR="00046421" w:rsidRDefault="00046421" w:rsidP="00046421">
            <w:pPr>
              <w:pStyle w:val="ListParagraph"/>
              <w:numPr>
                <w:ilvl w:val="0"/>
                <w:numId w:val="2"/>
              </w:numPr>
            </w:pPr>
            <w:r>
              <w:t>Disadvantages</w:t>
            </w:r>
          </w:p>
          <w:p w14:paraId="2FEAC186" w14:textId="13E32332" w:rsidR="00046421" w:rsidRDefault="00046421" w:rsidP="00046421">
            <w:pPr>
              <w:pStyle w:val="ListParagraph"/>
              <w:numPr>
                <w:ilvl w:val="1"/>
                <w:numId w:val="2"/>
              </w:numPr>
            </w:pPr>
            <w:r>
              <w:t>Very poor moisture and contamination control</w:t>
            </w:r>
          </w:p>
        </w:tc>
      </w:tr>
    </w:tbl>
    <w:p w14:paraId="14248811" w14:textId="6C4BFE02" w:rsidR="001834E9" w:rsidRDefault="00046421" w:rsidP="00046421">
      <w:pPr>
        <w:pStyle w:val="Heading1"/>
      </w:pPr>
      <w:r>
        <w:t>Provisional crowns</w:t>
      </w:r>
      <w:r w:rsidR="0049082C">
        <w:t xml:space="preserve"> </w:t>
      </w:r>
    </w:p>
    <w:p w14:paraId="4B92BAC2" w14:textId="4A0203DE" w:rsidR="00046421" w:rsidRDefault="00046421" w:rsidP="00046421">
      <w:pPr>
        <w:pStyle w:val="ListParagraph"/>
        <w:numPr>
          <w:ilvl w:val="0"/>
          <w:numId w:val="2"/>
        </w:numPr>
      </w:pPr>
      <w:r>
        <w:t>Endo treatment can be done though an access gained in a well-fitting good quality cast restoration</w:t>
      </w:r>
    </w:p>
    <w:p w14:paraId="454F73CD" w14:textId="3A5C8452" w:rsidR="0049082C" w:rsidRDefault="00046421" w:rsidP="0049082C">
      <w:pPr>
        <w:pStyle w:val="ListParagraph"/>
        <w:numPr>
          <w:ilvl w:val="0"/>
          <w:numId w:val="2"/>
        </w:numPr>
      </w:pPr>
      <w:r>
        <w:t>When doubts arise about remaining tooth structure, removal of permanent and placement of temporary crown is mandatory.</w:t>
      </w:r>
    </w:p>
    <w:p w14:paraId="0A4D166F" w14:textId="1DC5AF37" w:rsidR="0049082C" w:rsidRDefault="0049082C" w:rsidP="0049082C">
      <w:pPr>
        <w:pStyle w:val="Heading1"/>
      </w:pPr>
      <w:r>
        <w:t>Temporary Post Crowns</w:t>
      </w:r>
    </w:p>
    <w:p w14:paraId="43DF9158" w14:textId="2513F032" w:rsidR="0049082C" w:rsidRDefault="0049082C" w:rsidP="0049082C">
      <w:pPr>
        <w:pStyle w:val="ListParagraph"/>
        <w:numPr>
          <w:ilvl w:val="0"/>
          <w:numId w:val="2"/>
        </w:numPr>
      </w:pPr>
      <w:r>
        <w:t>Necessary when custom-made post and core is planned.</w:t>
      </w:r>
    </w:p>
    <w:p w14:paraId="08F275E0" w14:textId="117A82DF" w:rsidR="0049082C" w:rsidRDefault="0049082C" w:rsidP="0049082C">
      <w:pPr>
        <w:pStyle w:val="ListParagraph"/>
        <w:numPr>
          <w:ilvl w:val="0"/>
          <w:numId w:val="2"/>
        </w:numPr>
      </w:pPr>
      <w:r>
        <w:t>It has been found that temporary post crowns leaked significantly more than permanent ones.</w:t>
      </w:r>
    </w:p>
    <w:p w14:paraId="23FB720A" w14:textId="30C98663" w:rsidR="0049082C" w:rsidRDefault="0049082C" w:rsidP="0049082C">
      <w:pPr>
        <w:pStyle w:val="ListParagraph"/>
        <w:numPr>
          <w:ilvl w:val="0"/>
          <w:numId w:val="2"/>
        </w:numPr>
      </w:pPr>
      <w:r>
        <w:t>It is recommended to restore the tooth immediately after obturating with a prefabricated post and core system to minimize microleakage and resultant contamination.</w:t>
      </w:r>
    </w:p>
    <w:p w14:paraId="3E355F61" w14:textId="4CB6F41D" w:rsidR="0049082C" w:rsidRDefault="0049082C" w:rsidP="0049082C">
      <w:pPr>
        <w:pStyle w:val="ListParagraph"/>
        <w:numPr>
          <w:ilvl w:val="0"/>
          <w:numId w:val="2"/>
        </w:numPr>
      </w:pPr>
      <w:r>
        <w:t xml:space="preserve">If custom made cast post is planned, the temporary post crown should be left in place for as short </w:t>
      </w:r>
      <w:r w:rsidR="000F614A">
        <w:t>a time as possible.</w:t>
      </w:r>
    </w:p>
    <w:p w14:paraId="21BFD314" w14:textId="2391034E" w:rsidR="000F614A" w:rsidRDefault="000F614A" w:rsidP="000F614A">
      <w:pPr>
        <w:pStyle w:val="Heading1"/>
      </w:pPr>
      <w:r>
        <w:lastRenderedPageBreak/>
        <w:t>Temporary for walking bleach</w:t>
      </w:r>
    </w:p>
    <w:p w14:paraId="4139D104" w14:textId="796300D9" w:rsidR="000F614A" w:rsidRDefault="000F614A" w:rsidP="000F614A">
      <w:pPr>
        <w:pStyle w:val="ListParagraph"/>
        <w:numPr>
          <w:ilvl w:val="0"/>
          <w:numId w:val="2"/>
        </w:numPr>
      </w:pPr>
      <w:r>
        <w:t xml:space="preserve">The gas released inside the chamber may result in the loosening or displacement of the temporary restoration. </w:t>
      </w:r>
    </w:p>
    <w:p w14:paraId="66248F86" w14:textId="122A20CA" w:rsidR="000F614A" w:rsidRDefault="000F614A" w:rsidP="000F614A">
      <w:pPr>
        <w:pStyle w:val="ListParagraph"/>
        <w:numPr>
          <w:ilvl w:val="1"/>
          <w:numId w:val="2"/>
        </w:numPr>
      </w:pPr>
      <w:r>
        <w:sym w:font="Wingdings" w:char="F0E8"/>
      </w:r>
      <w:r>
        <w:t xml:space="preserve"> Atleast 2mm thickness of [</w:t>
      </w:r>
      <w:r>
        <w:rPr>
          <w:b/>
          <w:bCs/>
        </w:rPr>
        <w:t>Polycarboxylate cement, ZnPO4, GIC, IRM, CAVIT</w:t>
      </w:r>
      <w:r w:rsidRPr="000F614A">
        <w:t>]</w:t>
      </w:r>
    </w:p>
    <w:p w14:paraId="753898A1" w14:textId="6235E1F4" w:rsidR="000F614A" w:rsidRDefault="000F614A" w:rsidP="000F614A">
      <w:pPr>
        <w:pStyle w:val="ListParagraph"/>
        <w:numPr>
          <w:ilvl w:val="1"/>
          <w:numId w:val="2"/>
        </w:numPr>
      </w:pPr>
      <w:r>
        <w:sym w:font="Wingdings" w:char="F0E8"/>
      </w:r>
      <w:r>
        <w:t xml:space="preserve"> After placing the bleaching agent, all cavity walls should be cleared of the material and access is temporized with a suitable material.</w:t>
      </w:r>
    </w:p>
    <w:p w14:paraId="482A43A7" w14:textId="30101C1D" w:rsidR="000F614A" w:rsidRDefault="000F614A" w:rsidP="000F614A">
      <w:pPr>
        <w:pStyle w:val="Heading1"/>
      </w:pPr>
      <w:r>
        <w:t>Long term temporization</w:t>
      </w:r>
    </w:p>
    <w:p w14:paraId="4A81D2B1" w14:textId="75134831" w:rsidR="000F614A" w:rsidRDefault="000F614A" w:rsidP="000F614A">
      <w:pPr>
        <w:pStyle w:val="ListParagraph"/>
        <w:numPr>
          <w:ilvl w:val="0"/>
          <w:numId w:val="2"/>
        </w:numPr>
      </w:pPr>
      <w:r>
        <w:t xml:space="preserve">Apexification or root resorption may require long term temporization. </w:t>
      </w:r>
    </w:p>
    <w:p w14:paraId="7FC580D3" w14:textId="14C72A17" w:rsidR="000F614A" w:rsidRPr="000F614A" w:rsidRDefault="000F614A" w:rsidP="000F614A">
      <w:pPr>
        <w:pStyle w:val="ListParagraph"/>
        <w:numPr>
          <w:ilvl w:val="0"/>
          <w:numId w:val="2"/>
        </w:numPr>
      </w:pPr>
      <w:r>
        <w:rPr>
          <w:b/>
          <w:bCs/>
        </w:rPr>
        <w:t>GIC, Composite</w:t>
      </w:r>
      <w:r>
        <w:t xml:space="preserve"> material can be used, but it is better to seal the canal orifice with another temporary material (to allow ease of access and prevent accidental loss of composite material into root canal)</w:t>
      </w:r>
    </w:p>
    <w:sectPr w:rsidR="000F614A" w:rsidRPr="000F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E3DFB"/>
    <w:multiLevelType w:val="hybridMultilevel"/>
    <w:tmpl w:val="3A08C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13182"/>
    <w:multiLevelType w:val="hybridMultilevel"/>
    <w:tmpl w:val="0F22EDD0"/>
    <w:lvl w:ilvl="0" w:tplc="4B4CFA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C681E"/>
    <w:multiLevelType w:val="hybridMultilevel"/>
    <w:tmpl w:val="EA94E248"/>
    <w:lvl w:ilvl="0" w:tplc="23F85D1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C9"/>
    <w:rsid w:val="00046421"/>
    <w:rsid w:val="000F614A"/>
    <w:rsid w:val="001834E9"/>
    <w:rsid w:val="0049082C"/>
    <w:rsid w:val="00567A83"/>
    <w:rsid w:val="007D5FA3"/>
    <w:rsid w:val="00862E06"/>
    <w:rsid w:val="00932CD3"/>
    <w:rsid w:val="00C0558F"/>
    <w:rsid w:val="00D0533A"/>
    <w:rsid w:val="00DB66E6"/>
    <w:rsid w:val="00DB6A3B"/>
    <w:rsid w:val="00EE4C03"/>
    <w:rsid w:val="00F420C9"/>
    <w:rsid w:val="00F87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851B"/>
  <w15:chartTrackingRefBased/>
  <w15:docId w15:val="{165B16D1-EFB0-42D3-9AAE-176DD071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0C9"/>
    <w:rPr>
      <w:sz w:val="22"/>
      <w:szCs w:val="22"/>
    </w:rPr>
  </w:style>
  <w:style w:type="paragraph" w:styleId="Heading1">
    <w:name w:val="heading 1"/>
    <w:basedOn w:val="Normal"/>
    <w:next w:val="Normal"/>
    <w:link w:val="Heading1Char"/>
    <w:uiPriority w:val="9"/>
    <w:qFormat/>
    <w:rsid w:val="00F420C9"/>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F420C9"/>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420C9"/>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F420C9"/>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F420C9"/>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F420C9"/>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F420C9"/>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F420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20C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C9"/>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rsid w:val="00F420C9"/>
    <w:rPr>
      <w:caps/>
      <w:spacing w:val="15"/>
      <w:shd w:val="clear" w:color="auto" w:fill="FADAD2" w:themeFill="accent1" w:themeFillTint="33"/>
    </w:rPr>
  </w:style>
  <w:style w:type="character" w:customStyle="1" w:styleId="Heading3Char">
    <w:name w:val="Heading 3 Char"/>
    <w:basedOn w:val="DefaultParagraphFont"/>
    <w:link w:val="Heading3"/>
    <w:uiPriority w:val="9"/>
    <w:semiHidden/>
    <w:rsid w:val="00F420C9"/>
    <w:rPr>
      <w:caps/>
      <w:color w:val="77230C" w:themeColor="accent1" w:themeShade="7F"/>
      <w:spacing w:val="15"/>
    </w:rPr>
  </w:style>
  <w:style w:type="character" w:customStyle="1" w:styleId="Heading4Char">
    <w:name w:val="Heading 4 Char"/>
    <w:basedOn w:val="DefaultParagraphFont"/>
    <w:link w:val="Heading4"/>
    <w:uiPriority w:val="9"/>
    <w:semiHidden/>
    <w:rsid w:val="00F420C9"/>
    <w:rPr>
      <w:caps/>
      <w:color w:val="B43412" w:themeColor="accent1" w:themeShade="BF"/>
      <w:spacing w:val="10"/>
    </w:rPr>
  </w:style>
  <w:style w:type="character" w:customStyle="1" w:styleId="Heading5Char">
    <w:name w:val="Heading 5 Char"/>
    <w:basedOn w:val="DefaultParagraphFont"/>
    <w:link w:val="Heading5"/>
    <w:uiPriority w:val="9"/>
    <w:semiHidden/>
    <w:rsid w:val="00F420C9"/>
    <w:rPr>
      <w:caps/>
      <w:color w:val="B43412" w:themeColor="accent1" w:themeShade="BF"/>
      <w:spacing w:val="10"/>
    </w:rPr>
  </w:style>
  <w:style w:type="character" w:customStyle="1" w:styleId="Heading6Char">
    <w:name w:val="Heading 6 Char"/>
    <w:basedOn w:val="DefaultParagraphFont"/>
    <w:link w:val="Heading6"/>
    <w:uiPriority w:val="9"/>
    <w:semiHidden/>
    <w:rsid w:val="00F420C9"/>
    <w:rPr>
      <w:caps/>
      <w:color w:val="B43412" w:themeColor="accent1" w:themeShade="BF"/>
      <w:spacing w:val="10"/>
    </w:rPr>
  </w:style>
  <w:style w:type="character" w:customStyle="1" w:styleId="Heading7Char">
    <w:name w:val="Heading 7 Char"/>
    <w:basedOn w:val="DefaultParagraphFont"/>
    <w:link w:val="Heading7"/>
    <w:uiPriority w:val="9"/>
    <w:semiHidden/>
    <w:rsid w:val="00F420C9"/>
    <w:rPr>
      <w:caps/>
      <w:color w:val="B43412" w:themeColor="accent1" w:themeShade="BF"/>
      <w:spacing w:val="10"/>
    </w:rPr>
  </w:style>
  <w:style w:type="character" w:customStyle="1" w:styleId="Heading8Char">
    <w:name w:val="Heading 8 Char"/>
    <w:basedOn w:val="DefaultParagraphFont"/>
    <w:link w:val="Heading8"/>
    <w:uiPriority w:val="9"/>
    <w:semiHidden/>
    <w:rsid w:val="00F420C9"/>
    <w:rPr>
      <w:caps/>
      <w:spacing w:val="10"/>
      <w:sz w:val="18"/>
      <w:szCs w:val="18"/>
    </w:rPr>
  </w:style>
  <w:style w:type="character" w:customStyle="1" w:styleId="Heading9Char">
    <w:name w:val="Heading 9 Char"/>
    <w:basedOn w:val="DefaultParagraphFont"/>
    <w:link w:val="Heading9"/>
    <w:uiPriority w:val="9"/>
    <w:semiHidden/>
    <w:rsid w:val="00F420C9"/>
    <w:rPr>
      <w:i/>
      <w:iCs/>
      <w:caps/>
      <w:spacing w:val="10"/>
      <w:sz w:val="18"/>
      <w:szCs w:val="18"/>
    </w:rPr>
  </w:style>
  <w:style w:type="paragraph" w:styleId="Caption">
    <w:name w:val="caption"/>
    <w:basedOn w:val="Normal"/>
    <w:next w:val="Normal"/>
    <w:uiPriority w:val="35"/>
    <w:semiHidden/>
    <w:unhideWhenUsed/>
    <w:qFormat/>
    <w:rsid w:val="00F420C9"/>
    <w:rPr>
      <w:b/>
      <w:bCs/>
      <w:color w:val="B43412" w:themeColor="accent1" w:themeShade="BF"/>
      <w:sz w:val="16"/>
      <w:szCs w:val="16"/>
    </w:rPr>
  </w:style>
  <w:style w:type="paragraph" w:styleId="Title">
    <w:name w:val="Title"/>
    <w:basedOn w:val="Normal"/>
    <w:next w:val="Normal"/>
    <w:link w:val="TitleChar"/>
    <w:uiPriority w:val="10"/>
    <w:qFormat/>
    <w:rsid w:val="00F420C9"/>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F420C9"/>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F4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420C9"/>
    <w:rPr>
      <w:caps/>
      <w:color w:val="595959" w:themeColor="text1" w:themeTint="A6"/>
      <w:spacing w:val="10"/>
      <w:sz w:val="21"/>
      <w:szCs w:val="21"/>
    </w:rPr>
  </w:style>
  <w:style w:type="character" w:styleId="Strong">
    <w:name w:val="Strong"/>
    <w:uiPriority w:val="22"/>
    <w:qFormat/>
    <w:rsid w:val="00F420C9"/>
    <w:rPr>
      <w:b/>
      <w:bCs/>
    </w:rPr>
  </w:style>
  <w:style w:type="character" w:styleId="Emphasis">
    <w:name w:val="Emphasis"/>
    <w:uiPriority w:val="20"/>
    <w:qFormat/>
    <w:rsid w:val="00F420C9"/>
    <w:rPr>
      <w:caps/>
      <w:color w:val="77230C" w:themeColor="accent1" w:themeShade="7F"/>
      <w:spacing w:val="5"/>
    </w:rPr>
  </w:style>
  <w:style w:type="paragraph" w:styleId="NoSpacing">
    <w:name w:val="No Spacing"/>
    <w:uiPriority w:val="1"/>
    <w:qFormat/>
    <w:rsid w:val="00F420C9"/>
    <w:pPr>
      <w:spacing w:after="0" w:line="240" w:lineRule="auto"/>
    </w:pPr>
  </w:style>
  <w:style w:type="paragraph" w:styleId="Quote">
    <w:name w:val="Quote"/>
    <w:basedOn w:val="Normal"/>
    <w:next w:val="Normal"/>
    <w:link w:val="QuoteChar"/>
    <w:uiPriority w:val="29"/>
    <w:qFormat/>
    <w:rsid w:val="00F420C9"/>
    <w:rPr>
      <w:i/>
      <w:iCs/>
      <w:sz w:val="24"/>
      <w:szCs w:val="24"/>
    </w:rPr>
  </w:style>
  <w:style w:type="character" w:customStyle="1" w:styleId="QuoteChar">
    <w:name w:val="Quote Char"/>
    <w:basedOn w:val="DefaultParagraphFont"/>
    <w:link w:val="Quote"/>
    <w:uiPriority w:val="29"/>
    <w:rsid w:val="00F420C9"/>
    <w:rPr>
      <w:i/>
      <w:iCs/>
      <w:sz w:val="24"/>
      <w:szCs w:val="24"/>
    </w:rPr>
  </w:style>
  <w:style w:type="paragraph" w:styleId="IntenseQuote">
    <w:name w:val="Intense Quote"/>
    <w:basedOn w:val="Normal"/>
    <w:next w:val="Normal"/>
    <w:link w:val="IntenseQuoteChar"/>
    <w:uiPriority w:val="30"/>
    <w:qFormat/>
    <w:rsid w:val="00F420C9"/>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F420C9"/>
    <w:rPr>
      <w:color w:val="E84C22" w:themeColor="accent1"/>
      <w:sz w:val="24"/>
      <w:szCs w:val="24"/>
    </w:rPr>
  </w:style>
  <w:style w:type="character" w:styleId="SubtleEmphasis">
    <w:name w:val="Subtle Emphasis"/>
    <w:uiPriority w:val="19"/>
    <w:qFormat/>
    <w:rsid w:val="00F420C9"/>
    <w:rPr>
      <w:i/>
      <w:iCs/>
      <w:color w:val="77230C" w:themeColor="accent1" w:themeShade="7F"/>
    </w:rPr>
  </w:style>
  <w:style w:type="character" w:styleId="IntenseEmphasis">
    <w:name w:val="Intense Emphasis"/>
    <w:uiPriority w:val="21"/>
    <w:qFormat/>
    <w:rsid w:val="00F420C9"/>
    <w:rPr>
      <w:b/>
      <w:bCs/>
      <w:caps/>
      <w:color w:val="77230C" w:themeColor="accent1" w:themeShade="7F"/>
      <w:spacing w:val="10"/>
    </w:rPr>
  </w:style>
  <w:style w:type="character" w:styleId="SubtleReference">
    <w:name w:val="Subtle Reference"/>
    <w:uiPriority w:val="31"/>
    <w:qFormat/>
    <w:rsid w:val="00F420C9"/>
    <w:rPr>
      <w:b/>
      <w:bCs/>
      <w:color w:val="E84C22" w:themeColor="accent1"/>
    </w:rPr>
  </w:style>
  <w:style w:type="character" w:styleId="IntenseReference">
    <w:name w:val="Intense Reference"/>
    <w:uiPriority w:val="32"/>
    <w:qFormat/>
    <w:rsid w:val="00F420C9"/>
    <w:rPr>
      <w:b/>
      <w:bCs/>
      <w:i/>
      <w:iCs/>
      <w:caps/>
      <w:color w:val="E84C22" w:themeColor="accent1"/>
    </w:rPr>
  </w:style>
  <w:style w:type="character" w:styleId="BookTitle">
    <w:name w:val="Book Title"/>
    <w:uiPriority w:val="33"/>
    <w:qFormat/>
    <w:rsid w:val="00F420C9"/>
    <w:rPr>
      <w:b/>
      <w:bCs/>
      <w:i/>
      <w:iCs/>
      <w:spacing w:val="0"/>
    </w:rPr>
  </w:style>
  <w:style w:type="paragraph" w:styleId="TOCHeading">
    <w:name w:val="TOC Heading"/>
    <w:basedOn w:val="Heading1"/>
    <w:next w:val="Normal"/>
    <w:uiPriority w:val="39"/>
    <w:semiHidden/>
    <w:unhideWhenUsed/>
    <w:qFormat/>
    <w:rsid w:val="00F420C9"/>
    <w:pPr>
      <w:outlineLvl w:val="9"/>
    </w:pPr>
  </w:style>
  <w:style w:type="paragraph" w:styleId="ListParagraph">
    <w:name w:val="List Paragraph"/>
    <w:basedOn w:val="Normal"/>
    <w:uiPriority w:val="34"/>
    <w:qFormat/>
    <w:rsid w:val="00F420C9"/>
    <w:pPr>
      <w:ind w:left="720"/>
      <w:contextualSpacing/>
    </w:pPr>
  </w:style>
  <w:style w:type="table" w:styleId="TableGrid">
    <w:name w:val="Table Grid"/>
    <w:basedOn w:val="TableNormal"/>
    <w:uiPriority w:val="39"/>
    <w:rsid w:val="00DB66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2020-06-09T18:18:00Z</cp:lastPrinted>
  <dcterms:created xsi:type="dcterms:W3CDTF">2020-06-09T11:51:00Z</dcterms:created>
  <dcterms:modified xsi:type="dcterms:W3CDTF">2020-06-09T18:47:00Z</dcterms:modified>
</cp:coreProperties>
</file>