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7D4AB" w14:textId="74A7B641" w:rsidR="00FA4973" w:rsidRDefault="00121C6A" w:rsidP="00121C6A">
      <w:pPr>
        <w:pStyle w:val="Title"/>
        <w:jc w:val="center"/>
        <w:rPr>
          <w:sz w:val="44"/>
          <w:szCs w:val="44"/>
        </w:rPr>
      </w:pPr>
      <w:r w:rsidRPr="00121C6A">
        <w:rPr>
          <w:sz w:val="44"/>
          <w:szCs w:val="44"/>
        </w:rPr>
        <w:t>Mucogingival Surgery and Periodontal Aesthetics</w:t>
      </w:r>
    </w:p>
    <w:p w14:paraId="4EAAD022" w14:textId="09FF8FD5" w:rsidR="00121C6A" w:rsidRDefault="00121C6A" w:rsidP="00121C6A"/>
    <w:p w14:paraId="2C3D8BF0" w14:textId="23D2A432" w:rsidR="00121C6A" w:rsidRDefault="00121C6A" w:rsidP="00121C6A">
      <w:pPr>
        <w:pStyle w:val="Heading2"/>
      </w:pPr>
      <w:r>
        <w:t>Soft Tissue Aesthetics</w:t>
      </w:r>
    </w:p>
    <w:p w14:paraId="62F1CE54" w14:textId="728315B2" w:rsidR="00121C6A" w:rsidRDefault="00121C6A" w:rsidP="00121C6A">
      <w:pPr>
        <w:pStyle w:val="ListParagraph"/>
        <w:numPr>
          <w:ilvl w:val="0"/>
          <w:numId w:val="1"/>
        </w:numPr>
      </w:pPr>
      <w:r>
        <w:t>Recessions</w:t>
      </w:r>
    </w:p>
    <w:p w14:paraId="1550E357" w14:textId="7068F6D3" w:rsidR="00121C6A" w:rsidRDefault="00121C6A" w:rsidP="00121C6A">
      <w:pPr>
        <w:pStyle w:val="ListParagraph"/>
        <w:numPr>
          <w:ilvl w:val="0"/>
          <w:numId w:val="1"/>
        </w:numPr>
      </w:pPr>
      <w:r>
        <w:t>Crown Fractures / Crown Lengthening</w:t>
      </w:r>
    </w:p>
    <w:p w14:paraId="264F9794" w14:textId="45074644" w:rsidR="00121C6A" w:rsidRDefault="00121C6A" w:rsidP="00121C6A">
      <w:pPr>
        <w:pStyle w:val="IntenseQuote"/>
        <w:rPr>
          <w:b/>
          <w:bCs/>
          <w:color w:val="31849B" w:themeColor="accent5" w:themeShade="BF"/>
        </w:rPr>
      </w:pPr>
      <w:r w:rsidRPr="00121C6A">
        <w:rPr>
          <w:b/>
          <w:bCs/>
          <w:color w:val="31849B" w:themeColor="accent5" w:themeShade="BF"/>
        </w:rPr>
        <w:t>Gingival Recessions</w:t>
      </w:r>
    </w:p>
    <w:p w14:paraId="431F6E5A" w14:textId="04041C65" w:rsidR="00121C6A" w:rsidRPr="00121C6A" w:rsidRDefault="00121C6A" w:rsidP="00121C6A">
      <w:pPr>
        <w:pStyle w:val="Heading2"/>
        <w:rPr>
          <w:rStyle w:val="IntenseEmphasis"/>
          <w:i w:val="0"/>
          <w:iCs w:val="0"/>
        </w:rPr>
      </w:pPr>
      <w:r w:rsidRPr="00121C6A">
        <w:rPr>
          <w:rStyle w:val="IntenseEmphasis"/>
          <w:i w:val="0"/>
          <w:iCs w:val="0"/>
        </w:rPr>
        <w:t>Causes</w:t>
      </w:r>
    </w:p>
    <w:p w14:paraId="1003DCE5" w14:textId="7A8F6D5B" w:rsidR="00121C6A" w:rsidRDefault="00121C6A" w:rsidP="00121C6A">
      <w:pPr>
        <w:pStyle w:val="ListParagraph"/>
        <w:numPr>
          <w:ilvl w:val="0"/>
          <w:numId w:val="3"/>
        </w:numPr>
      </w:pPr>
      <w:r>
        <w:t>Anatomic conditions (lack of attached gingiva, inadequate alveolar bone plate thickness, and root prominences)</w:t>
      </w:r>
    </w:p>
    <w:p w14:paraId="6B633C42" w14:textId="41253887" w:rsidR="00744D22" w:rsidRDefault="00744D22" w:rsidP="00121C6A">
      <w:pPr>
        <w:pStyle w:val="ListParagraph"/>
        <w:numPr>
          <w:ilvl w:val="0"/>
          <w:numId w:val="3"/>
        </w:numPr>
      </w:pPr>
      <w:r>
        <w:t>Inflammation (Bacteria, Trauma)</w:t>
      </w:r>
    </w:p>
    <w:p w14:paraId="3B0C9F81" w14:textId="1D03BF24" w:rsidR="00121C6A" w:rsidRDefault="00121C6A" w:rsidP="00121C6A">
      <w:pPr>
        <w:pStyle w:val="ListParagraph"/>
        <w:numPr>
          <w:ilvl w:val="0"/>
          <w:numId w:val="3"/>
        </w:numPr>
      </w:pPr>
      <w:r>
        <w:t>Muscular inserts near the gingival margin</w:t>
      </w:r>
    </w:p>
    <w:p w14:paraId="4B786C16" w14:textId="7677D7AE" w:rsidR="00121C6A" w:rsidRDefault="00121C6A" w:rsidP="00121C6A">
      <w:pPr>
        <w:pStyle w:val="ListParagraph"/>
        <w:numPr>
          <w:ilvl w:val="0"/>
          <w:numId w:val="3"/>
        </w:numPr>
      </w:pPr>
      <w:r>
        <w:t>Poor teeth alignment</w:t>
      </w:r>
    </w:p>
    <w:p w14:paraId="243732BE" w14:textId="30106944" w:rsidR="00121C6A" w:rsidRDefault="00121C6A" w:rsidP="00121C6A">
      <w:pPr>
        <w:pStyle w:val="ListParagraph"/>
        <w:numPr>
          <w:ilvl w:val="0"/>
          <w:numId w:val="3"/>
        </w:numPr>
      </w:pPr>
      <w:r>
        <w:t>Acquired pathological conditions</w:t>
      </w:r>
    </w:p>
    <w:p w14:paraId="00A320A0" w14:textId="5C2B1470" w:rsidR="00121C6A" w:rsidRDefault="00121C6A" w:rsidP="00121C6A">
      <w:pPr>
        <w:pStyle w:val="ListParagraph"/>
        <w:numPr>
          <w:ilvl w:val="0"/>
          <w:numId w:val="3"/>
        </w:numPr>
      </w:pPr>
      <w:r>
        <w:t>Iatrogenic factors (improper restorations invading biological space)</w:t>
      </w:r>
    </w:p>
    <w:p w14:paraId="7BBBFC41" w14:textId="71101568" w:rsidR="00121C6A" w:rsidRDefault="00121C6A" w:rsidP="00121C6A">
      <w:pPr>
        <w:pStyle w:val="ListParagraph"/>
        <w:numPr>
          <w:ilvl w:val="0"/>
          <w:numId w:val="3"/>
        </w:numPr>
      </w:pPr>
      <w:r>
        <w:t>Mechanical trauma (including tooth brushing)</w:t>
      </w:r>
    </w:p>
    <w:p w14:paraId="111230B1" w14:textId="56AF02CF" w:rsidR="00121C6A" w:rsidRDefault="00121C6A" w:rsidP="00121C6A">
      <w:pPr>
        <w:pStyle w:val="Heading2"/>
        <w:rPr>
          <w:b/>
          <w:bCs/>
        </w:rPr>
      </w:pPr>
      <w:r w:rsidRPr="00121C6A">
        <w:rPr>
          <w:b/>
          <w:bCs/>
        </w:rPr>
        <w:t>Types</w:t>
      </w:r>
    </w:p>
    <w:p w14:paraId="2A21E0E8" w14:textId="4F4D45DC" w:rsidR="00121C6A" w:rsidRDefault="00121C6A" w:rsidP="00121C6A">
      <w:pPr>
        <w:pStyle w:val="ListParagraph"/>
        <w:numPr>
          <w:ilvl w:val="0"/>
          <w:numId w:val="4"/>
        </w:numPr>
      </w:pPr>
      <w:r>
        <w:t>Localized</w:t>
      </w:r>
    </w:p>
    <w:p w14:paraId="627DECCD" w14:textId="204CFA8A" w:rsidR="00121C6A" w:rsidRDefault="00121C6A" w:rsidP="00121C6A">
      <w:pPr>
        <w:pStyle w:val="ListParagraph"/>
        <w:numPr>
          <w:ilvl w:val="0"/>
          <w:numId w:val="4"/>
        </w:numPr>
      </w:pPr>
      <w:r>
        <w:t>Generalized</w:t>
      </w:r>
    </w:p>
    <w:p w14:paraId="4434382E" w14:textId="24261C52" w:rsidR="00121C6A" w:rsidRPr="00121C6A" w:rsidRDefault="00121C6A" w:rsidP="00121C6A">
      <w:pPr>
        <w:pStyle w:val="Heading2"/>
        <w:rPr>
          <w:b/>
          <w:bCs/>
        </w:rPr>
      </w:pPr>
      <w:r w:rsidRPr="00121C6A">
        <w:rPr>
          <w:b/>
          <w:bCs/>
        </w:rPr>
        <w:t>Classification</w:t>
      </w:r>
    </w:p>
    <w:tbl>
      <w:tblPr>
        <w:tblStyle w:val="TableGrid"/>
        <w:tblW w:w="0" w:type="auto"/>
        <w:tblBorders>
          <w:top w:val="single" w:sz="12" w:space="0" w:color="8064A2" w:themeColor="accent4"/>
          <w:left w:val="single" w:sz="12" w:space="0" w:color="8064A2" w:themeColor="accent4"/>
          <w:bottom w:val="single" w:sz="12" w:space="0" w:color="8064A2" w:themeColor="accent4"/>
          <w:right w:val="single" w:sz="12" w:space="0" w:color="8064A2" w:themeColor="accent4"/>
        </w:tblBorders>
        <w:tblLook w:val="04A0" w:firstRow="1" w:lastRow="0" w:firstColumn="1" w:lastColumn="0" w:noHBand="0" w:noVBand="1"/>
      </w:tblPr>
      <w:tblGrid>
        <w:gridCol w:w="1865"/>
        <w:gridCol w:w="1866"/>
        <w:gridCol w:w="1866"/>
        <w:gridCol w:w="1866"/>
        <w:gridCol w:w="1867"/>
      </w:tblGrid>
      <w:tr w:rsidR="00121C6A" w14:paraId="093D4B8B" w14:textId="77777777" w:rsidTr="004615D3">
        <w:tc>
          <w:tcPr>
            <w:tcW w:w="1870" w:type="dxa"/>
            <w:vAlign w:val="center"/>
          </w:tcPr>
          <w:p w14:paraId="50784EDF" w14:textId="1A305A23" w:rsidR="00121C6A" w:rsidRPr="004615D3" w:rsidRDefault="00121C6A" w:rsidP="004615D3">
            <w:pPr>
              <w:jc w:val="center"/>
              <w:rPr>
                <w:b/>
                <w:bCs/>
                <w:sz w:val="18"/>
                <w:szCs w:val="18"/>
              </w:rPr>
            </w:pPr>
            <w:r w:rsidRPr="004615D3">
              <w:rPr>
                <w:b/>
                <w:bCs/>
                <w:sz w:val="18"/>
                <w:szCs w:val="18"/>
              </w:rPr>
              <w:t>Miller’s Classification</w:t>
            </w:r>
            <w:r w:rsidR="004615D3" w:rsidRPr="004615D3">
              <w:rPr>
                <w:b/>
                <w:bCs/>
                <w:sz w:val="18"/>
                <w:szCs w:val="18"/>
              </w:rPr>
              <w:t xml:space="preserve"> (1985)</w:t>
            </w:r>
          </w:p>
        </w:tc>
        <w:tc>
          <w:tcPr>
            <w:tcW w:w="1870" w:type="dxa"/>
          </w:tcPr>
          <w:p w14:paraId="0714318A" w14:textId="41E4AF34" w:rsidR="00121C6A" w:rsidRPr="004615D3" w:rsidRDefault="00121C6A" w:rsidP="00121C6A">
            <w:pPr>
              <w:jc w:val="center"/>
              <w:rPr>
                <w:b/>
                <w:bCs/>
                <w:color w:val="31849B" w:themeColor="accent5" w:themeShade="BF"/>
                <w:sz w:val="18"/>
                <w:szCs w:val="18"/>
              </w:rPr>
            </w:pPr>
            <w:r w:rsidRPr="004615D3">
              <w:rPr>
                <w:b/>
                <w:bCs/>
                <w:color w:val="31849B" w:themeColor="accent5" w:themeShade="BF"/>
                <w:sz w:val="18"/>
                <w:szCs w:val="18"/>
              </w:rPr>
              <w:t>Class I</w:t>
            </w:r>
          </w:p>
          <w:p w14:paraId="32769010" w14:textId="51F15912" w:rsidR="00121C6A" w:rsidRPr="004615D3" w:rsidRDefault="00121C6A" w:rsidP="00121C6A">
            <w:pPr>
              <w:rPr>
                <w:sz w:val="18"/>
                <w:szCs w:val="18"/>
              </w:rPr>
            </w:pPr>
            <w:r w:rsidRPr="004615D3">
              <w:rPr>
                <w:sz w:val="18"/>
                <w:szCs w:val="18"/>
              </w:rPr>
              <w:t>Marginal tissue recession does not extend to mucogingival junction. There is no loss of bone or soft tissue in the interdental area. This type of recession can be narrow or wide</w:t>
            </w:r>
          </w:p>
        </w:tc>
        <w:tc>
          <w:tcPr>
            <w:tcW w:w="1870" w:type="dxa"/>
          </w:tcPr>
          <w:p w14:paraId="1EA24D6C" w14:textId="1A4F441B" w:rsidR="00121C6A" w:rsidRPr="004615D3" w:rsidRDefault="00121C6A" w:rsidP="00121C6A">
            <w:pPr>
              <w:jc w:val="center"/>
              <w:rPr>
                <w:b/>
                <w:bCs/>
                <w:color w:val="31849B" w:themeColor="accent5" w:themeShade="BF"/>
                <w:sz w:val="18"/>
                <w:szCs w:val="18"/>
              </w:rPr>
            </w:pPr>
            <w:r w:rsidRPr="004615D3">
              <w:rPr>
                <w:b/>
                <w:bCs/>
                <w:color w:val="31849B" w:themeColor="accent5" w:themeShade="BF"/>
                <w:sz w:val="18"/>
                <w:szCs w:val="18"/>
              </w:rPr>
              <w:t xml:space="preserve">Class </w:t>
            </w:r>
            <w:r w:rsidRPr="004615D3">
              <w:rPr>
                <w:b/>
                <w:bCs/>
                <w:color w:val="31849B" w:themeColor="accent5" w:themeShade="BF"/>
                <w:sz w:val="18"/>
                <w:szCs w:val="18"/>
              </w:rPr>
              <w:t>II</w:t>
            </w:r>
          </w:p>
          <w:p w14:paraId="0981817E" w14:textId="018DCDAE" w:rsidR="00121C6A" w:rsidRPr="004615D3" w:rsidRDefault="00121C6A" w:rsidP="00121C6A">
            <w:pPr>
              <w:rPr>
                <w:sz w:val="18"/>
                <w:szCs w:val="18"/>
              </w:rPr>
            </w:pPr>
            <w:r w:rsidRPr="004615D3">
              <w:rPr>
                <w:sz w:val="18"/>
                <w:szCs w:val="18"/>
              </w:rPr>
              <w:t xml:space="preserve">Marginal tissue recession </w:t>
            </w:r>
            <w:r w:rsidR="004615D3" w:rsidRPr="004615D3">
              <w:rPr>
                <w:sz w:val="18"/>
                <w:szCs w:val="18"/>
              </w:rPr>
              <w:t>extends to or beyond the mucogingival junction. There is no loss of bone of soft tissue in the interdental area. This type of recession can be narrow or wide</w:t>
            </w:r>
          </w:p>
        </w:tc>
        <w:tc>
          <w:tcPr>
            <w:tcW w:w="1870" w:type="dxa"/>
          </w:tcPr>
          <w:p w14:paraId="38184F93" w14:textId="017F8223" w:rsidR="004615D3" w:rsidRPr="004615D3" w:rsidRDefault="004615D3" w:rsidP="004615D3">
            <w:pPr>
              <w:jc w:val="center"/>
              <w:rPr>
                <w:b/>
                <w:bCs/>
                <w:color w:val="31849B" w:themeColor="accent5" w:themeShade="BF"/>
                <w:sz w:val="18"/>
                <w:szCs w:val="18"/>
              </w:rPr>
            </w:pPr>
            <w:r w:rsidRPr="004615D3">
              <w:rPr>
                <w:b/>
                <w:bCs/>
                <w:color w:val="31849B" w:themeColor="accent5" w:themeShade="BF"/>
                <w:sz w:val="18"/>
                <w:szCs w:val="18"/>
              </w:rPr>
              <w:t xml:space="preserve">Class </w:t>
            </w:r>
            <w:r w:rsidRPr="004615D3">
              <w:rPr>
                <w:b/>
                <w:bCs/>
                <w:color w:val="31849B" w:themeColor="accent5" w:themeShade="BF"/>
                <w:sz w:val="18"/>
                <w:szCs w:val="18"/>
              </w:rPr>
              <w:t>III</w:t>
            </w:r>
          </w:p>
          <w:p w14:paraId="485183C8" w14:textId="36358BCF" w:rsidR="00121C6A" w:rsidRPr="004615D3" w:rsidRDefault="004615D3" w:rsidP="004615D3">
            <w:pPr>
              <w:rPr>
                <w:sz w:val="18"/>
                <w:szCs w:val="18"/>
              </w:rPr>
            </w:pPr>
            <w:r w:rsidRPr="004615D3">
              <w:rPr>
                <w:sz w:val="18"/>
                <w:szCs w:val="18"/>
              </w:rPr>
              <w:t xml:space="preserve">Marginal tissue recession </w:t>
            </w:r>
            <w:r w:rsidRPr="004615D3">
              <w:rPr>
                <w:sz w:val="18"/>
                <w:szCs w:val="18"/>
              </w:rPr>
              <w:t>extends to or beyond the mucogingival junction. There is bone and soft tissue loss interdentally or malpositioning of the tooth</w:t>
            </w:r>
          </w:p>
        </w:tc>
        <w:tc>
          <w:tcPr>
            <w:tcW w:w="1870" w:type="dxa"/>
          </w:tcPr>
          <w:p w14:paraId="3F415DF7" w14:textId="4127437E" w:rsidR="004615D3" w:rsidRPr="004615D3" w:rsidRDefault="004615D3" w:rsidP="004615D3">
            <w:pPr>
              <w:jc w:val="center"/>
              <w:rPr>
                <w:b/>
                <w:bCs/>
                <w:color w:val="31849B" w:themeColor="accent5" w:themeShade="BF"/>
                <w:sz w:val="18"/>
                <w:szCs w:val="18"/>
              </w:rPr>
            </w:pPr>
            <w:r w:rsidRPr="004615D3">
              <w:rPr>
                <w:b/>
                <w:bCs/>
                <w:color w:val="31849B" w:themeColor="accent5" w:themeShade="BF"/>
                <w:sz w:val="18"/>
                <w:szCs w:val="18"/>
              </w:rPr>
              <w:t xml:space="preserve">Class </w:t>
            </w:r>
            <w:r w:rsidRPr="004615D3">
              <w:rPr>
                <w:b/>
                <w:bCs/>
                <w:color w:val="31849B" w:themeColor="accent5" w:themeShade="BF"/>
                <w:sz w:val="18"/>
                <w:szCs w:val="18"/>
              </w:rPr>
              <w:t>IV</w:t>
            </w:r>
          </w:p>
          <w:p w14:paraId="7A3974A8" w14:textId="39C58F71" w:rsidR="00121C6A" w:rsidRPr="004615D3" w:rsidRDefault="004615D3" w:rsidP="004615D3">
            <w:pPr>
              <w:rPr>
                <w:sz w:val="18"/>
                <w:szCs w:val="18"/>
              </w:rPr>
            </w:pPr>
            <w:r w:rsidRPr="004615D3">
              <w:rPr>
                <w:sz w:val="18"/>
                <w:szCs w:val="18"/>
              </w:rPr>
              <w:t>Marginal tissue recession extends to or beyond the mucogingival junction. There is severe bone and soft tissue loss interdentally or severe tooth malpositioning.</w:t>
            </w:r>
          </w:p>
        </w:tc>
      </w:tr>
      <w:tr w:rsidR="00121C6A" w14:paraId="2739EE46" w14:textId="77777777" w:rsidTr="004615D3">
        <w:tc>
          <w:tcPr>
            <w:tcW w:w="1870" w:type="dxa"/>
            <w:vAlign w:val="center"/>
          </w:tcPr>
          <w:p w14:paraId="0F87C660" w14:textId="6F07AFD7" w:rsidR="00121C6A" w:rsidRPr="004615D3" w:rsidRDefault="004615D3" w:rsidP="004615D3">
            <w:pPr>
              <w:jc w:val="center"/>
              <w:rPr>
                <w:b/>
                <w:bCs/>
                <w:sz w:val="18"/>
                <w:szCs w:val="18"/>
              </w:rPr>
            </w:pPr>
            <w:r w:rsidRPr="004615D3">
              <w:rPr>
                <w:b/>
                <w:bCs/>
                <w:sz w:val="18"/>
                <w:szCs w:val="18"/>
              </w:rPr>
              <w:t>Cairo Classification</w:t>
            </w:r>
          </w:p>
        </w:tc>
        <w:tc>
          <w:tcPr>
            <w:tcW w:w="1870" w:type="dxa"/>
          </w:tcPr>
          <w:p w14:paraId="14F1C9AA" w14:textId="7E77A05E" w:rsidR="004615D3" w:rsidRPr="004615D3" w:rsidRDefault="004615D3" w:rsidP="004615D3">
            <w:pPr>
              <w:jc w:val="center"/>
              <w:rPr>
                <w:b/>
                <w:bCs/>
                <w:color w:val="31849B" w:themeColor="accent5" w:themeShade="BF"/>
                <w:sz w:val="18"/>
                <w:szCs w:val="18"/>
              </w:rPr>
            </w:pPr>
            <w:r w:rsidRPr="004615D3">
              <w:rPr>
                <w:b/>
                <w:bCs/>
                <w:color w:val="31849B" w:themeColor="accent5" w:themeShade="BF"/>
                <w:sz w:val="18"/>
                <w:szCs w:val="18"/>
              </w:rPr>
              <w:t>Type 1</w:t>
            </w:r>
          </w:p>
          <w:p w14:paraId="66D21129" w14:textId="351C2BF6" w:rsidR="00121C6A" w:rsidRPr="004615D3" w:rsidRDefault="004615D3" w:rsidP="004615D3">
            <w:pPr>
              <w:rPr>
                <w:sz w:val="18"/>
                <w:szCs w:val="18"/>
              </w:rPr>
            </w:pPr>
            <w:r w:rsidRPr="004615D3">
              <w:rPr>
                <w:sz w:val="18"/>
                <w:szCs w:val="18"/>
              </w:rPr>
              <w:t>No loss of interproximal attachment</w:t>
            </w:r>
          </w:p>
        </w:tc>
        <w:tc>
          <w:tcPr>
            <w:tcW w:w="1870" w:type="dxa"/>
          </w:tcPr>
          <w:p w14:paraId="14CF46D9" w14:textId="1F261912" w:rsidR="004615D3" w:rsidRPr="004615D3" w:rsidRDefault="004615D3" w:rsidP="004615D3">
            <w:pPr>
              <w:jc w:val="center"/>
              <w:rPr>
                <w:b/>
                <w:bCs/>
                <w:color w:val="31849B" w:themeColor="accent5" w:themeShade="BF"/>
                <w:sz w:val="18"/>
                <w:szCs w:val="18"/>
              </w:rPr>
            </w:pPr>
            <w:r w:rsidRPr="004615D3">
              <w:rPr>
                <w:b/>
                <w:bCs/>
                <w:color w:val="31849B" w:themeColor="accent5" w:themeShade="BF"/>
                <w:sz w:val="18"/>
                <w:szCs w:val="18"/>
              </w:rPr>
              <w:t xml:space="preserve">Type </w:t>
            </w:r>
            <w:r w:rsidRPr="004615D3">
              <w:rPr>
                <w:b/>
                <w:bCs/>
                <w:color w:val="31849B" w:themeColor="accent5" w:themeShade="BF"/>
                <w:sz w:val="18"/>
                <w:szCs w:val="18"/>
              </w:rPr>
              <w:t>2</w:t>
            </w:r>
          </w:p>
          <w:p w14:paraId="23E94C41" w14:textId="3E9E3572" w:rsidR="00121C6A" w:rsidRPr="004615D3" w:rsidRDefault="004615D3" w:rsidP="004615D3">
            <w:pPr>
              <w:rPr>
                <w:sz w:val="18"/>
                <w:szCs w:val="18"/>
              </w:rPr>
            </w:pPr>
            <w:r w:rsidRPr="004615D3">
              <w:rPr>
                <w:sz w:val="18"/>
                <w:szCs w:val="18"/>
              </w:rPr>
              <w:t>Interproximal attachment loss is less than or equal to buccal attachment loss</w:t>
            </w:r>
          </w:p>
        </w:tc>
        <w:tc>
          <w:tcPr>
            <w:tcW w:w="1870" w:type="dxa"/>
          </w:tcPr>
          <w:p w14:paraId="567535B9" w14:textId="567FD3AC" w:rsidR="004615D3" w:rsidRPr="004615D3" w:rsidRDefault="004615D3" w:rsidP="004615D3">
            <w:pPr>
              <w:jc w:val="center"/>
              <w:rPr>
                <w:b/>
                <w:bCs/>
                <w:color w:val="31849B" w:themeColor="accent5" w:themeShade="BF"/>
                <w:sz w:val="18"/>
                <w:szCs w:val="18"/>
              </w:rPr>
            </w:pPr>
            <w:r w:rsidRPr="004615D3">
              <w:rPr>
                <w:b/>
                <w:bCs/>
                <w:color w:val="31849B" w:themeColor="accent5" w:themeShade="BF"/>
                <w:sz w:val="18"/>
                <w:szCs w:val="18"/>
              </w:rPr>
              <w:t xml:space="preserve">Type </w:t>
            </w:r>
            <w:r w:rsidRPr="004615D3">
              <w:rPr>
                <w:b/>
                <w:bCs/>
                <w:color w:val="31849B" w:themeColor="accent5" w:themeShade="BF"/>
                <w:sz w:val="18"/>
                <w:szCs w:val="18"/>
              </w:rPr>
              <w:t>3</w:t>
            </w:r>
          </w:p>
          <w:p w14:paraId="481F24D7" w14:textId="6755261B" w:rsidR="00121C6A" w:rsidRPr="004615D3" w:rsidRDefault="004615D3" w:rsidP="004615D3">
            <w:pPr>
              <w:rPr>
                <w:sz w:val="18"/>
                <w:szCs w:val="18"/>
              </w:rPr>
            </w:pPr>
            <w:r w:rsidRPr="004615D3">
              <w:rPr>
                <w:sz w:val="18"/>
                <w:szCs w:val="18"/>
              </w:rPr>
              <w:t>Interproximal attachment loss is higher than buccal attachment loss.</w:t>
            </w:r>
          </w:p>
        </w:tc>
        <w:tc>
          <w:tcPr>
            <w:tcW w:w="1870" w:type="dxa"/>
          </w:tcPr>
          <w:p w14:paraId="6DD53407" w14:textId="77777777" w:rsidR="00121C6A" w:rsidRPr="004615D3" w:rsidRDefault="00121C6A" w:rsidP="00121C6A">
            <w:pPr>
              <w:rPr>
                <w:sz w:val="18"/>
                <w:szCs w:val="18"/>
              </w:rPr>
            </w:pPr>
          </w:p>
        </w:tc>
      </w:tr>
    </w:tbl>
    <w:p w14:paraId="696E63BB" w14:textId="6406FBAF" w:rsidR="00121C6A" w:rsidRDefault="004615D3" w:rsidP="004615D3">
      <w:pPr>
        <w:pStyle w:val="Heading2"/>
        <w:rPr>
          <w:b/>
          <w:bCs/>
        </w:rPr>
      </w:pPr>
      <w:r>
        <w:rPr>
          <w:b/>
          <w:bCs/>
        </w:rPr>
        <w:t>Prevalence</w:t>
      </w:r>
    </w:p>
    <w:tbl>
      <w:tblPr>
        <w:tblStyle w:val="TableGrid"/>
        <w:tblW w:w="0" w:type="auto"/>
        <w:tblLook w:val="04A0" w:firstRow="1" w:lastRow="0" w:firstColumn="1" w:lastColumn="0" w:noHBand="0" w:noVBand="1"/>
      </w:tblPr>
      <w:tblGrid>
        <w:gridCol w:w="3116"/>
        <w:gridCol w:w="3117"/>
        <w:gridCol w:w="3117"/>
      </w:tblGrid>
      <w:tr w:rsidR="004615D3" w14:paraId="5862D5D2" w14:textId="77777777" w:rsidTr="004615D3">
        <w:tc>
          <w:tcPr>
            <w:tcW w:w="3116" w:type="dxa"/>
            <w:shd w:val="clear" w:color="auto" w:fill="FABF8F" w:themeFill="accent6" w:themeFillTint="99"/>
            <w:vAlign w:val="center"/>
          </w:tcPr>
          <w:p w14:paraId="6084426F" w14:textId="46E98A36" w:rsidR="004615D3" w:rsidRPr="004615D3" w:rsidRDefault="004615D3" w:rsidP="004615D3">
            <w:pPr>
              <w:jc w:val="center"/>
              <w:rPr>
                <w:b/>
                <w:bCs/>
              </w:rPr>
            </w:pPr>
            <w:r w:rsidRPr="004615D3">
              <w:rPr>
                <w:b/>
                <w:bCs/>
              </w:rPr>
              <w:t>&lt; 18 years old</w:t>
            </w:r>
          </w:p>
        </w:tc>
        <w:tc>
          <w:tcPr>
            <w:tcW w:w="3117" w:type="dxa"/>
            <w:shd w:val="clear" w:color="auto" w:fill="FABF8F" w:themeFill="accent6" w:themeFillTint="99"/>
            <w:vAlign w:val="center"/>
          </w:tcPr>
          <w:p w14:paraId="4CF57E68" w14:textId="7C543C52" w:rsidR="004615D3" w:rsidRPr="004615D3" w:rsidRDefault="004615D3" w:rsidP="004615D3">
            <w:pPr>
              <w:jc w:val="center"/>
              <w:rPr>
                <w:b/>
                <w:bCs/>
              </w:rPr>
            </w:pPr>
            <w:r w:rsidRPr="004615D3">
              <w:rPr>
                <w:b/>
                <w:bCs/>
              </w:rPr>
              <w:t>18—64 years old</w:t>
            </w:r>
          </w:p>
        </w:tc>
        <w:tc>
          <w:tcPr>
            <w:tcW w:w="3117" w:type="dxa"/>
            <w:shd w:val="clear" w:color="auto" w:fill="FABF8F" w:themeFill="accent6" w:themeFillTint="99"/>
            <w:vAlign w:val="center"/>
          </w:tcPr>
          <w:p w14:paraId="00FF2CB5" w14:textId="303B90D0" w:rsidR="004615D3" w:rsidRPr="004615D3" w:rsidRDefault="004615D3" w:rsidP="004615D3">
            <w:pPr>
              <w:jc w:val="center"/>
              <w:rPr>
                <w:b/>
                <w:bCs/>
              </w:rPr>
            </w:pPr>
            <w:r w:rsidRPr="004615D3">
              <w:rPr>
                <w:b/>
                <w:bCs/>
              </w:rPr>
              <w:t>&gt; 65 years old</w:t>
            </w:r>
          </w:p>
        </w:tc>
      </w:tr>
      <w:tr w:rsidR="004615D3" w14:paraId="469F8C9C" w14:textId="77777777" w:rsidTr="004615D3">
        <w:tc>
          <w:tcPr>
            <w:tcW w:w="3116" w:type="dxa"/>
            <w:vAlign w:val="center"/>
          </w:tcPr>
          <w:p w14:paraId="62B1D0B9" w14:textId="7B7D0349" w:rsidR="004615D3" w:rsidRDefault="004615D3" w:rsidP="004615D3">
            <w:pPr>
              <w:jc w:val="center"/>
            </w:pPr>
            <w:r w:rsidRPr="004615D3">
              <w:rPr>
                <w:b/>
                <w:bCs/>
                <w:color w:val="76923C" w:themeColor="accent3" w:themeShade="BF"/>
              </w:rPr>
              <w:t>1-19%</w:t>
            </w:r>
            <w:r w:rsidRPr="004615D3">
              <w:rPr>
                <w:color w:val="76923C" w:themeColor="accent3" w:themeShade="BF"/>
              </w:rPr>
              <w:t xml:space="preserve"> </w:t>
            </w:r>
            <w:r>
              <w:br/>
            </w:r>
            <w:r w:rsidRPr="004615D3">
              <w:rPr>
                <w:sz w:val="20"/>
                <w:szCs w:val="20"/>
              </w:rPr>
              <w:t>have one or more recession lesions</w:t>
            </w:r>
          </w:p>
        </w:tc>
        <w:tc>
          <w:tcPr>
            <w:tcW w:w="3117" w:type="dxa"/>
            <w:vAlign w:val="center"/>
          </w:tcPr>
          <w:p w14:paraId="5AA1430A" w14:textId="7254C3F4" w:rsidR="004615D3" w:rsidRDefault="004615D3" w:rsidP="004615D3">
            <w:pPr>
              <w:jc w:val="center"/>
            </w:pPr>
            <w:r w:rsidRPr="004615D3">
              <w:rPr>
                <w:b/>
                <w:bCs/>
                <w:color w:val="76923C" w:themeColor="accent3" w:themeShade="BF"/>
              </w:rPr>
              <w:t>50%</w:t>
            </w:r>
            <w:r w:rsidRPr="004615D3">
              <w:rPr>
                <w:color w:val="76923C" w:themeColor="accent3" w:themeShade="BF"/>
              </w:rPr>
              <w:t xml:space="preserve"> </w:t>
            </w:r>
            <w:r>
              <w:br/>
            </w:r>
            <w:r w:rsidRPr="004615D3">
              <w:rPr>
                <w:sz w:val="20"/>
                <w:szCs w:val="20"/>
              </w:rPr>
              <w:t>have one or more recession lesions</w:t>
            </w:r>
          </w:p>
        </w:tc>
        <w:tc>
          <w:tcPr>
            <w:tcW w:w="3117" w:type="dxa"/>
            <w:vAlign w:val="center"/>
          </w:tcPr>
          <w:p w14:paraId="7795BDCE" w14:textId="2ED0954E" w:rsidR="004615D3" w:rsidRDefault="004615D3" w:rsidP="004615D3">
            <w:pPr>
              <w:jc w:val="center"/>
            </w:pPr>
            <w:r>
              <w:rPr>
                <w:b/>
                <w:bCs/>
                <w:color w:val="76923C" w:themeColor="accent3" w:themeShade="BF"/>
              </w:rPr>
              <w:t>88</w:t>
            </w:r>
            <w:r w:rsidRPr="004615D3">
              <w:rPr>
                <w:b/>
                <w:bCs/>
                <w:color w:val="76923C" w:themeColor="accent3" w:themeShade="BF"/>
              </w:rPr>
              <w:t>%</w:t>
            </w:r>
            <w:r w:rsidRPr="004615D3">
              <w:rPr>
                <w:color w:val="76923C" w:themeColor="accent3" w:themeShade="BF"/>
              </w:rPr>
              <w:t xml:space="preserve"> </w:t>
            </w:r>
            <w:r>
              <w:br/>
            </w:r>
            <w:r w:rsidRPr="004615D3">
              <w:rPr>
                <w:sz w:val="20"/>
                <w:szCs w:val="20"/>
              </w:rPr>
              <w:t>have one or more recession lesions</w:t>
            </w:r>
          </w:p>
        </w:tc>
      </w:tr>
    </w:tbl>
    <w:p w14:paraId="11825159" w14:textId="12FCA4F6" w:rsidR="004615D3" w:rsidRDefault="004615D3" w:rsidP="004615D3"/>
    <w:p w14:paraId="015119C2" w14:textId="7DB1E211" w:rsidR="004615D3" w:rsidRDefault="00744D22" w:rsidP="00744D22">
      <w:pPr>
        <w:pStyle w:val="Heading2"/>
        <w:rPr>
          <w:b/>
          <w:bCs/>
        </w:rPr>
      </w:pPr>
      <w:r w:rsidRPr="00744D22">
        <w:lastRenderedPageBreak/>
        <w:drawing>
          <wp:anchor distT="0" distB="0" distL="114300" distR="114300" simplePos="0" relativeHeight="251658240" behindDoc="0" locked="0" layoutInCell="1" allowOverlap="1" wp14:anchorId="280967F4" wp14:editId="2C3AAFBF">
            <wp:simplePos x="0" y="0"/>
            <wp:positionH relativeFrom="margin">
              <wp:align>right</wp:align>
            </wp:positionH>
            <wp:positionV relativeFrom="paragraph">
              <wp:posOffset>9525</wp:posOffset>
            </wp:positionV>
            <wp:extent cx="1238885" cy="64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duotone>
                        <a:prstClr val="black"/>
                        <a:schemeClr val="accent4">
                          <a:tint val="45000"/>
                          <a:satMod val="400000"/>
                        </a:schemeClr>
                      </a:duotone>
                      <a:extLst>
                        <a:ext uri="{BEBA8EAE-BF5A-486C-A8C5-ECC9F3942E4B}">
                          <a14:imgProps xmlns:a14="http://schemas.microsoft.com/office/drawing/2010/main">
                            <a14:imgLayer r:embed="rId6">
                              <a14:imgEffect>
                                <a14:backgroundRemoval t="6667" b="96790" l="3097" r="90194">
                                  <a14:foregroundMark x1="8000" y1="67407" x2="8516" y2="82716"/>
                                  <a14:foregroundMark x1="8516" y1="82716" x2="17806" y2="85185"/>
                                  <a14:foregroundMark x1="17806" y1="85185" x2="35226" y2="83457"/>
                                  <a14:foregroundMark x1="35226" y1="83457" x2="43613" y2="85679"/>
                                  <a14:foregroundMark x1="43613" y1="85679" x2="56387" y2="82716"/>
                                  <a14:foregroundMark x1="3097" y1="86420" x2="3097" y2="86420"/>
                                  <a14:foregroundMark x1="82887" y1="74815" x2="83097" y2="45432"/>
                                  <a14:foregroundMark x1="82871" y1="77037" x2="82887" y2="74815"/>
                                  <a14:foregroundMark x1="82869" y1="77284" x2="82871" y2="77037"/>
                                  <a14:foregroundMark x1="82839" y1="81481" x2="82869" y2="77284"/>
                                  <a14:foregroundMark x1="83097" y1="45432" x2="85419" y2="34074"/>
                                  <a14:foregroundMark x1="89935" y1="58272" x2="88516" y2="73827"/>
                                  <a14:foregroundMark x1="88516" y1="73827" x2="79742" y2="83951"/>
                                  <a14:foregroundMark x1="79742" y1="83951" x2="76774" y2="58025"/>
                                  <a14:foregroundMark x1="89419" y1="45926" x2="88516" y2="79753"/>
                                  <a14:foregroundMark x1="88516" y1="79753" x2="81419" y2="87901"/>
                                  <a14:foregroundMark x1="81419" y1="87901" x2="90065" y2="86420"/>
                                  <a14:foregroundMark x1="90065" y1="86420" x2="90194" y2="82716"/>
                                  <a14:foregroundMark x1="85677" y1="6667" x2="85677" y2="6667"/>
                                  <a14:foregroundMark x1="85935" y1="96790" x2="85935" y2="96790"/>
                                  <a14:backgroundMark x1="64000" y1="66173" x2="54323" y2="3951"/>
                                  <a14:backgroundMark x1="80645" y1="57284" x2="80645" y2="57284"/>
                                  <a14:backgroundMark x1="81677" y1="74815" x2="81677" y2="74815"/>
                                  <a14:backgroundMark x1="82968" y1="77284" x2="82968" y2="77284"/>
                                  <a14:backgroundMark x1="82581" y1="77037" x2="82581" y2="77037"/>
                                </a14:backgroundRemoval>
                              </a14:imgEffect>
                            </a14:imgLayer>
                          </a14:imgProps>
                        </a:ext>
                        <a:ext uri="{28A0092B-C50C-407E-A947-70E740481C1C}">
                          <a14:useLocalDpi xmlns:a14="http://schemas.microsoft.com/office/drawing/2010/main" val="0"/>
                        </a:ext>
                      </a:extLst>
                    </a:blip>
                    <a:stretch>
                      <a:fillRect/>
                    </a:stretch>
                  </pic:blipFill>
                  <pic:spPr>
                    <a:xfrm>
                      <a:off x="0" y="0"/>
                      <a:ext cx="1238885" cy="647700"/>
                    </a:xfrm>
                    <a:prstGeom prst="rect">
                      <a:avLst/>
                    </a:prstGeom>
                  </pic:spPr>
                </pic:pic>
              </a:graphicData>
            </a:graphic>
            <wp14:sizeRelH relativeFrom="margin">
              <wp14:pctWidth>0</wp14:pctWidth>
            </wp14:sizeRelH>
            <wp14:sizeRelV relativeFrom="margin">
              <wp14:pctHeight>0</wp14:pctHeight>
            </wp14:sizeRelV>
          </wp:anchor>
        </w:drawing>
      </w:r>
      <w:r>
        <w:rPr>
          <w:b/>
          <w:bCs/>
        </w:rPr>
        <w:t>Periodontal Biotype</w:t>
      </w:r>
    </w:p>
    <w:p w14:paraId="72082B34" w14:textId="5AD5B723" w:rsidR="00744D22" w:rsidRPr="00744D22" w:rsidRDefault="00744D22" w:rsidP="00744D22">
      <w:pPr>
        <w:pStyle w:val="ListParagraph"/>
        <w:numPr>
          <w:ilvl w:val="0"/>
          <w:numId w:val="5"/>
        </w:numPr>
        <w:rPr>
          <w:b/>
          <w:bCs/>
          <w:color w:val="31849B" w:themeColor="accent5" w:themeShade="BF"/>
        </w:rPr>
      </w:pPr>
      <w:r w:rsidRPr="00744D22">
        <w:rPr>
          <w:b/>
          <w:bCs/>
          <w:color w:val="31849B" w:themeColor="accent5" w:themeShade="BF"/>
        </w:rPr>
        <w:t>Periodontal Biotype I</w:t>
      </w:r>
    </w:p>
    <w:p w14:paraId="35CB4EBF" w14:textId="3711FAAD" w:rsidR="00744D22" w:rsidRDefault="00744D22" w:rsidP="00744D22">
      <w:pPr>
        <w:pStyle w:val="ListParagraph"/>
        <w:numPr>
          <w:ilvl w:val="1"/>
          <w:numId w:val="5"/>
        </w:numPr>
      </w:pPr>
      <w:r>
        <w:t>Thick, flat biotype</w:t>
      </w:r>
    </w:p>
    <w:p w14:paraId="4D461970" w14:textId="47CA85CE" w:rsidR="00744D22" w:rsidRDefault="006A5957" w:rsidP="00744D22">
      <w:pPr>
        <w:pStyle w:val="ListParagraph"/>
        <w:numPr>
          <w:ilvl w:val="1"/>
          <w:numId w:val="5"/>
        </w:numPr>
      </w:pPr>
      <w:r w:rsidRPr="00744D22">
        <w:drawing>
          <wp:anchor distT="0" distB="0" distL="114300" distR="114300" simplePos="0" relativeHeight="251659264" behindDoc="0" locked="0" layoutInCell="1" allowOverlap="1" wp14:anchorId="0058B532" wp14:editId="23E9050B">
            <wp:simplePos x="0" y="0"/>
            <wp:positionH relativeFrom="margin">
              <wp:posOffset>4857750</wp:posOffset>
            </wp:positionH>
            <wp:positionV relativeFrom="paragraph">
              <wp:posOffset>13335</wp:posOffset>
            </wp:positionV>
            <wp:extent cx="933450" cy="695325"/>
            <wp:effectExtent l="0" t="0" r="0" b="9525"/>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duotone>
                        <a:prstClr val="black"/>
                        <a:schemeClr val="accent5">
                          <a:tint val="45000"/>
                          <a:satMod val="400000"/>
                        </a:schemeClr>
                      </a:duotone>
                      <a:extLst>
                        <a:ext uri="{BEBA8EAE-BF5A-486C-A8C5-ECC9F3942E4B}">
                          <a14:imgProps xmlns:a14="http://schemas.microsoft.com/office/drawing/2010/main">
                            <a14:imgLayer r:embed="rId8">
                              <a14:imgEffect>
                                <a14:backgroundRemoval t="3632" b="96126" l="3077" r="95385">
                                  <a14:foregroundMark x1="8846" y1="57627" x2="13077" y2="71913"/>
                                  <a14:foregroundMark x1="13077" y1="71913" x2="23654" y2="83051"/>
                                  <a14:foregroundMark x1="23654" y1="83051" x2="35192" y2="83293"/>
                                  <a14:foregroundMark x1="35192" y1="83293" x2="56154" y2="80630"/>
                                  <a14:foregroundMark x1="51346" y1="69976" x2="21538" y2="89104"/>
                                  <a14:foregroundMark x1="21538" y1="89104" x2="11731" y2="90315"/>
                                  <a14:foregroundMark x1="55769" y1="73608" x2="55769" y2="73608"/>
                                  <a14:foregroundMark x1="51346" y1="90799" x2="51346" y2="90799"/>
                                  <a14:foregroundMark x1="61346" y1="69976" x2="61346" y2="69976"/>
                                  <a14:foregroundMark x1="61731" y1="84988" x2="15000" y2="92252"/>
                                  <a14:foregroundMark x1="4231" y1="75545" x2="7692" y2="88136"/>
                                  <a14:foregroundMark x1="7692" y1="88136" x2="14423" y2="96610"/>
                                  <a14:foregroundMark x1="14423" y1="96610" x2="22500" y2="97094"/>
                                  <a14:foregroundMark x1="3077" y1="82082" x2="5192" y2="71671"/>
                                  <a14:foregroundMark x1="91731" y1="22518" x2="86346" y2="72155"/>
                                  <a14:foregroundMark x1="95385" y1="71671" x2="89808" y2="84262"/>
                                  <a14:foregroundMark x1="89808" y1="84262" x2="80192" y2="87409"/>
                                  <a14:foregroundMark x1="80192" y1="87409" x2="78846" y2="77482"/>
                                  <a14:foregroundMark x1="94038" y1="46247" x2="94038" y2="46247"/>
                                  <a14:foregroundMark x1="90192" y1="3632" x2="90192" y2="3632"/>
                                </a14:backgroundRemoval>
                              </a14:imgEffect>
                            </a14:imgLayer>
                          </a14:imgProps>
                        </a:ext>
                        <a:ext uri="{28A0092B-C50C-407E-A947-70E740481C1C}">
                          <a14:useLocalDpi xmlns:a14="http://schemas.microsoft.com/office/drawing/2010/main" val="0"/>
                        </a:ext>
                      </a:extLst>
                    </a:blip>
                    <a:stretch>
                      <a:fillRect/>
                    </a:stretch>
                  </pic:blipFill>
                  <pic:spPr>
                    <a:xfrm>
                      <a:off x="0" y="0"/>
                      <a:ext cx="933450" cy="695325"/>
                    </a:xfrm>
                    <a:prstGeom prst="rect">
                      <a:avLst/>
                    </a:prstGeom>
                  </pic:spPr>
                </pic:pic>
              </a:graphicData>
            </a:graphic>
            <wp14:sizeRelH relativeFrom="margin">
              <wp14:pctWidth>0</wp14:pctWidth>
            </wp14:sizeRelH>
            <wp14:sizeRelV relativeFrom="margin">
              <wp14:pctHeight>0</wp14:pctHeight>
            </wp14:sizeRelV>
          </wp:anchor>
        </w:drawing>
      </w:r>
      <w:r w:rsidR="00744D22">
        <w:t>Thick, scalloped biotype</w:t>
      </w:r>
    </w:p>
    <w:p w14:paraId="49CE5FBD" w14:textId="3F6C4866" w:rsidR="00744D22" w:rsidRPr="00744D22" w:rsidRDefault="00744D22" w:rsidP="00744D22">
      <w:pPr>
        <w:pStyle w:val="ListParagraph"/>
        <w:numPr>
          <w:ilvl w:val="0"/>
          <w:numId w:val="5"/>
        </w:numPr>
        <w:rPr>
          <w:b/>
          <w:bCs/>
          <w:color w:val="31849B" w:themeColor="accent5" w:themeShade="BF"/>
        </w:rPr>
      </w:pPr>
      <w:r w:rsidRPr="00744D22">
        <w:rPr>
          <w:b/>
          <w:bCs/>
          <w:color w:val="31849B" w:themeColor="accent5" w:themeShade="BF"/>
        </w:rPr>
        <w:t>Periodontal Biotype II</w:t>
      </w:r>
    </w:p>
    <w:p w14:paraId="003DA635" w14:textId="54593657" w:rsidR="00744D22" w:rsidRDefault="00744D22" w:rsidP="00744D22">
      <w:pPr>
        <w:pStyle w:val="ListParagraph"/>
        <w:numPr>
          <w:ilvl w:val="1"/>
          <w:numId w:val="5"/>
        </w:numPr>
      </w:pPr>
      <w:r>
        <w:t>Thin, scalloped biotype</w:t>
      </w:r>
    </w:p>
    <w:p w14:paraId="479C4D32" w14:textId="6A59F2D7" w:rsidR="00744D22" w:rsidRDefault="00744D22" w:rsidP="00744D22">
      <w:pPr>
        <w:pStyle w:val="Heading2"/>
        <w:rPr>
          <w:b/>
          <w:bCs/>
        </w:rPr>
      </w:pPr>
      <w:r>
        <w:rPr>
          <w:b/>
          <w:bCs/>
        </w:rPr>
        <w:t>Indications for Surgical Correction</w:t>
      </w:r>
    </w:p>
    <w:p w14:paraId="0F2AA452" w14:textId="48B18583" w:rsidR="00744D22" w:rsidRDefault="00744D22" w:rsidP="00744D22">
      <w:pPr>
        <w:pStyle w:val="ListParagraph"/>
        <w:numPr>
          <w:ilvl w:val="0"/>
          <w:numId w:val="1"/>
        </w:numPr>
      </w:pPr>
      <w:r>
        <w:t>Increase in recession</w:t>
      </w:r>
    </w:p>
    <w:p w14:paraId="53C5B3F3" w14:textId="104B19BE" w:rsidR="00744D22" w:rsidRDefault="00744D22" w:rsidP="00744D22">
      <w:pPr>
        <w:pStyle w:val="ListParagraph"/>
        <w:numPr>
          <w:ilvl w:val="0"/>
          <w:numId w:val="1"/>
        </w:numPr>
      </w:pPr>
      <w:r>
        <w:t>Persistent inflammation</w:t>
      </w:r>
    </w:p>
    <w:p w14:paraId="2D43BD69" w14:textId="63512594" w:rsidR="00744D22" w:rsidRDefault="00744D22" w:rsidP="00744D22">
      <w:pPr>
        <w:pStyle w:val="ListParagraph"/>
        <w:numPr>
          <w:ilvl w:val="0"/>
          <w:numId w:val="1"/>
        </w:numPr>
      </w:pPr>
      <w:r>
        <w:t>Dentinal Hypersensitivity</w:t>
      </w:r>
    </w:p>
    <w:p w14:paraId="20F5D168" w14:textId="2C285050" w:rsidR="00744D22" w:rsidRDefault="00744D22" w:rsidP="00744D22">
      <w:pPr>
        <w:pStyle w:val="ListParagraph"/>
        <w:numPr>
          <w:ilvl w:val="0"/>
          <w:numId w:val="1"/>
        </w:numPr>
      </w:pPr>
      <w:r>
        <w:t>Aesthetic concerns of patient</w:t>
      </w:r>
    </w:p>
    <w:p w14:paraId="38E2DFF1" w14:textId="55FF5EFA" w:rsidR="00744D22" w:rsidRDefault="00744D22" w:rsidP="00744D22">
      <w:pPr>
        <w:pStyle w:val="ListParagraph"/>
        <w:numPr>
          <w:ilvl w:val="0"/>
          <w:numId w:val="1"/>
        </w:numPr>
      </w:pPr>
      <w:r>
        <w:t>Early Caries</w:t>
      </w:r>
    </w:p>
    <w:p w14:paraId="25A1E835" w14:textId="52CFC74D" w:rsidR="00744D22" w:rsidRDefault="00744D22" w:rsidP="00744D22">
      <w:pPr>
        <w:pStyle w:val="ListParagraph"/>
        <w:numPr>
          <w:ilvl w:val="0"/>
          <w:numId w:val="1"/>
        </w:numPr>
      </w:pPr>
      <w:r>
        <w:t>Age</w:t>
      </w:r>
    </w:p>
    <w:p w14:paraId="1160117F" w14:textId="3868893F" w:rsidR="00744D22" w:rsidRDefault="00744D22" w:rsidP="00744D22"/>
    <w:p w14:paraId="1B9F75BE" w14:textId="5FDC6818" w:rsidR="00744D22" w:rsidRPr="00744D22" w:rsidRDefault="00744D22" w:rsidP="00744D22"/>
    <w:sectPr w:rsidR="00744D22" w:rsidRPr="0074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E4E51"/>
    <w:multiLevelType w:val="hybridMultilevel"/>
    <w:tmpl w:val="A7BC87D8"/>
    <w:lvl w:ilvl="0" w:tplc="F35C8FA8">
      <w:start w:val="1"/>
      <w:numFmt w:val="upperRoman"/>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71180"/>
    <w:multiLevelType w:val="hybridMultilevel"/>
    <w:tmpl w:val="8C94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8199E"/>
    <w:multiLevelType w:val="hybridMultilevel"/>
    <w:tmpl w:val="89FE7B6E"/>
    <w:lvl w:ilvl="0" w:tplc="22C64E1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16531"/>
    <w:multiLevelType w:val="hybridMultilevel"/>
    <w:tmpl w:val="DFD0D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768CC"/>
    <w:multiLevelType w:val="hybridMultilevel"/>
    <w:tmpl w:val="9D3C7020"/>
    <w:lvl w:ilvl="0" w:tplc="94D8B24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425D6"/>
    <w:multiLevelType w:val="hybridMultilevel"/>
    <w:tmpl w:val="781C2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6A"/>
    <w:rsid w:val="00121C6A"/>
    <w:rsid w:val="004615D3"/>
    <w:rsid w:val="006A5957"/>
    <w:rsid w:val="00744D22"/>
    <w:rsid w:val="00FA49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AE57"/>
  <w15:chartTrackingRefBased/>
  <w15:docId w15:val="{0C23EB0C-A8FB-4A36-98CC-95456F24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6A"/>
  </w:style>
  <w:style w:type="paragraph" w:styleId="Heading1">
    <w:name w:val="heading 1"/>
    <w:basedOn w:val="Normal"/>
    <w:next w:val="Normal"/>
    <w:link w:val="Heading1Char"/>
    <w:uiPriority w:val="9"/>
    <w:qFormat/>
    <w:rsid w:val="00121C6A"/>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21C6A"/>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121C6A"/>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121C6A"/>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121C6A"/>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121C6A"/>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121C6A"/>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121C6A"/>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121C6A"/>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C6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21C6A"/>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121C6A"/>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121C6A"/>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121C6A"/>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121C6A"/>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121C6A"/>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121C6A"/>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121C6A"/>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121C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1C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21C6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21C6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21C6A"/>
    <w:rPr>
      <w:caps/>
      <w:color w:val="404040" w:themeColor="text1" w:themeTint="BF"/>
      <w:spacing w:val="20"/>
      <w:sz w:val="28"/>
      <w:szCs w:val="28"/>
    </w:rPr>
  </w:style>
  <w:style w:type="character" w:styleId="Strong">
    <w:name w:val="Strong"/>
    <w:basedOn w:val="DefaultParagraphFont"/>
    <w:uiPriority w:val="22"/>
    <w:qFormat/>
    <w:rsid w:val="00121C6A"/>
    <w:rPr>
      <w:b/>
      <w:bCs/>
    </w:rPr>
  </w:style>
  <w:style w:type="character" w:styleId="Emphasis">
    <w:name w:val="Emphasis"/>
    <w:basedOn w:val="DefaultParagraphFont"/>
    <w:uiPriority w:val="20"/>
    <w:qFormat/>
    <w:rsid w:val="00121C6A"/>
    <w:rPr>
      <w:i/>
      <w:iCs/>
      <w:color w:val="000000" w:themeColor="text1"/>
    </w:rPr>
  </w:style>
  <w:style w:type="paragraph" w:styleId="NoSpacing">
    <w:name w:val="No Spacing"/>
    <w:uiPriority w:val="1"/>
    <w:qFormat/>
    <w:rsid w:val="00121C6A"/>
    <w:pPr>
      <w:spacing w:after="0" w:line="240" w:lineRule="auto"/>
    </w:pPr>
  </w:style>
  <w:style w:type="paragraph" w:styleId="Quote">
    <w:name w:val="Quote"/>
    <w:basedOn w:val="Normal"/>
    <w:next w:val="Normal"/>
    <w:link w:val="QuoteChar"/>
    <w:uiPriority w:val="29"/>
    <w:qFormat/>
    <w:rsid w:val="00121C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21C6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21C6A"/>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21C6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21C6A"/>
    <w:rPr>
      <w:i/>
      <w:iCs/>
      <w:color w:val="595959" w:themeColor="text1" w:themeTint="A6"/>
    </w:rPr>
  </w:style>
  <w:style w:type="character" w:styleId="IntenseEmphasis">
    <w:name w:val="Intense Emphasis"/>
    <w:basedOn w:val="DefaultParagraphFont"/>
    <w:uiPriority w:val="21"/>
    <w:qFormat/>
    <w:rsid w:val="00121C6A"/>
    <w:rPr>
      <w:b/>
      <w:bCs/>
      <w:i/>
      <w:iCs/>
      <w:caps w:val="0"/>
      <w:smallCaps w:val="0"/>
      <w:strike w:val="0"/>
      <w:dstrike w:val="0"/>
      <w:color w:val="C0504D" w:themeColor="accent2"/>
    </w:rPr>
  </w:style>
  <w:style w:type="character" w:styleId="SubtleReference">
    <w:name w:val="Subtle Reference"/>
    <w:basedOn w:val="DefaultParagraphFont"/>
    <w:uiPriority w:val="31"/>
    <w:qFormat/>
    <w:rsid w:val="00121C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1C6A"/>
    <w:rPr>
      <w:b/>
      <w:bCs/>
      <w:caps w:val="0"/>
      <w:smallCaps/>
      <w:color w:val="auto"/>
      <w:spacing w:val="0"/>
      <w:u w:val="single"/>
    </w:rPr>
  </w:style>
  <w:style w:type="character" w:styleId="BookTitle">
    <w:name w:val="Book Title"/>
    <w:basedOn w:val="DefaultParagraphFont"/>
    <w:uiPriority w:val="33"/>
    <w:qFormat/>
    <w:rsid w:val="00121C6A"/>
    <w:rPr>
      <w:b/>
      <w:bCs/>
      <w:caps w:val="0"/>
      <w:smallCaps/>
      <w:spacing w:val="0"/>
    </w:rPr>
  </w:style>
  <w:style w:type="paragraph" w:styleId="TOCHeading">
    <w:name w:val="TOC Heading"/>
    <w:basedOn w:val="Heading1"/>
    <w:next w:val="Normal"/>
    <w:uiPriority w:val="39"/>
    <w:semiHidden/>
    <w:unhideWhenUsed/>
    <w:qFormat/>
    <w:rsid w:val="00121C6A"/>
    <w:pPr>
      <w:outlineLvl w:val="9"/>
    </w:pPr>
  </w:style>
  <w:style w:type="paragraph" w:styleId="ListParagraph">
    <w:name w:val="List Paragraph"/>
    <w:basedOn w:val="Normal"/>
    <w:uiPriority w:val="34"/>
    <w:qFormat/>
    <w:rsid w:val="00121C6A"/>
    <w:pPr>
      <w:ind w:left="720"/>
      <w:contextualSpacing/>
    </w:pPr>
  </w:style>
  <w:style w:type="table" w:styleId="TableGrid">
    <w:name w:val="Table Grid"/>
    <w:basedOn w:val="TableNormal"/>
    <w:uiPriority w:val="39"/>
    <w:rsid w:val="0012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2020-06-17T15:27:00Z</dcterms:created>
  <dcterms:modified xsi:type="dcterms:W3CDTF">2020-06-17T16:00:00Z</dcterms:modified>
</cp:coreProperties>
</file>