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2714E" w14:textId="1B95003D" w:rsidR="00135417" w:rsidRDefault="003A58C0" w:rsidP="003A58C0">
      <w:pPr>
        <w:pStyle w:val="Title"/>
        <w:jc w:val="center"/>
        <w:rPr>
          <w:sz w:val="44"/>
          <w:szCs w:val="44"/>
        </w:rPr>
      </w:pPr>
      <w:r w:rsidRPr="003A58C0">
        <w:rPr>
          <w:sz w:val="44"/>
          <w:szCs w:val="44"/>
        </w:rPr>
        <w:t>Mucogingival Surgery and Periodontal Aesthetics</w:t>
      </w:r>
      <w:r>
        <w:rPr>
          <w:sz w:val="44"/>
          <w:szCs w:val="44"/>
        </w:rPr>
        <w:br/>
        <w:t>(Part 2)</w:t>
      </w:r>
    </w:p>
    <w:p w14:paraId="21954396" w14:textId="1B40AB3D" w:rsidR="003A58C0" w:rsidRDefault="003A58C0" w:rsidP="003A58C0">
      <w:pPr>
        <w:pStyle w:val="ListParagraph"/>
        <w:numPr>
          <w:ilvl w:val="0"/>
          <w:numId w:val="1"/>
        </w:numPr>
      </w:pPr>
      <w:r w:rsidRPr="003A58C0">
        <w:rPr>
          <w:b/>
          <w:bCs/>
          <w:highlight w:val="yellow"/>
        </w:rPr>
        <w:t>Mucogingival Surgery</w:t>
      </w:r>
      <w:r>
        <w:t xml:space="preserve">: plastic surgical procedures used to correct defects in the morphology, position and/or amount of gingiva. </w:t>
      </w:r>
    </w:p>
    <w:p w14:paraId="76A7CF80" w14:textId="014198CB" w:rsidR="003A58C0" w:rsidRDefault="003A58C0" w:rsidP="003A58C0">
      <w:pPr>
        <w:pStyle w:val="Heading1"/>
      </w:pPr>
      <w:r>
        <w:t>Techniques to Increase Attached Gingiva</w:t>
      </w:r>
    </w:p>
    <w:p w14:paraId="4C8F4550" w14:textId="489D765D" w:rsidR="003A58C0" w:rsidRDefault="003A58C0" w:rsidP="003A58C0">
      <w:pPr>
        <w:pStyle w:val="ListParagraph"/>
        <w:numPr>
          <w:ilvl w:val="0"/>
          <w:numId w:val="2"/>
        </w:numPr>
      </w:pPr>
      <w:r w:rsidRPr="003A58C0">
        <w:drawing>
          <wp:anchor distT="0" distB="0" distL="114300" distR="114300" simplePos="0" relativeHeight="251658240" behindDoc="0" locked="0" layoutInCell="1" allowOverlap="1" wp14:anchorId="61BBC0C5" wp14:editId="5BD29737">
            <wp:simplePos x="0" y="0"/>
            <wp:positionH relativeFrom="margin">
              <wp:align>right</wp:align>
            </wp:positionH>
            <wp:positionV relativeFrom="paragraph">
              <wp:posOffset>13970</wp:posOffset>
            </wp:positionV>
            <wp:extent cx="732457" cy="1447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clrChange>
                        <a:clrFrom>
                          <a:srgbClr val="2A0206"/>
                        </a:clrFrom>
                        <a:clrTo>
                          <a:srgbClr val="2A0206">
                            <a:alpha val="0"/>
                          </a:srgbClr>
                        </a:clrTo>
                      </a:clrChange>
                      <a:extLst>
                        <a:ext uri="{28A0092B-C50C-407E-A947-70E740481C1C}">
                          <a14:useLocalDpi xmlns:a14="http://schemas.microsoft.com/office/drawing/2010/main" val="0"/>
                        </a:ext>
                      </a:extLst>
                    </a:blip>
                    <a:stretch>
                      <a:fillRect/>
                    </a:stretch>
                  </pic:blipFill>
                  <pic:spPr>
                    <a:xfrm>
                      <a:off x="0" y="0"/>
                      <a:ext cx="732457" cy="1447800"/>
                    </a:xfrm>
                    <a:prstGeom prst="rect">
                      <a:avLst/>
                    </a:prstGeom>
                  </pic:spPr>
                </pic:pic>
              </a:graphicData>
            </a:graphic>
          </wp:anchor>
        </w:drawing>
      </w:r>
      <w:r>
        <w:rPr>
          <w:b/>
          <w:bCs/>
        </w:rPr>
        <w:t>Gingival Augmentation apical to area of recession</w:t>
      </w:r>
      <w:r>
        <w:t>: a graft is placed on a recipient bed apical to the recessed gingival margin (free gingival graft)</w:t>
      </w:r>
    </w:p>
    <w:p w14:paraId="32D31B7C" w14:textId="1B9E8A66" w:rsidR="003A58C0" w:rsidRDefault="003A58C0" w:rsidP="003A58C0">
      <w:pPr>
        <w:pStyle w:val="ListParagraph"/>
        <w:numPr>
          <w:ilvl w:val="0"/>
          <w:numId w:val="2"/>
        </w:numPr>
      </w:pPr>
      <w:r>
        <w:rPr>
          <w:b/>
          <w:bCs/>
        </w:rPr>
        <w:t>Gingival Augmentation coronal to area of recession (root coverage)</w:t>
      </w:r>
      <w:r w:rsidRPr="003A58C0">
        <w:t>:</w:t>
      </w:r>
      <w:r>
        <w:t xml:space="preserve"> a graft (either pedicle or free) is placed covering the denuded root surface.</w:t>
      </w:r>
      <w:r>
        <w:br/>
      </w:r>
    </w:p>
    <w:p w14:paraId="2C303370" w14:textId="202CCAB8" w:rsidR="006D618C" w:rsidRDefault="003A58C0" w:rsidP="003A58C0">
      <w:pPr>
        <w:pStyle w:val="ListParagraph"/>
        <w:numPr>
          <w:ilvl w:val="0"/>
          <w:numId w:val="1"/>
        </w:numPr>
      </w:pPr>
      <w:r>
        <w:t>Both techniques enhance oral hygiene procedures, but only (2) can correct and esthetic problem.</w:t>
      </w:r>
    </w:p>
    <w:p w14:paraId="7169B44E" w14:textId="6DD8AC5C" w:rsidR="006D618C" w:rsidRDefault="00A81F08">
      <w:r>
        <w:br/>
      </w:r>
      <w:r>
        <w:br/>
      </w:r>
      <w:r>
        <w:br/>
      </w:r>
      <w:r>
        <w:br/>
      </w:r>
    </w:p>
    <w:p w14:paraId="38C29A61" w14:textId="28E19FCE" w:rsidR="003A58C0" w:rsidRDefault="003A58C0" w:rsidP="003A58C0">
      <w:pPr>
        <w:pStyle w:val="Heading1"/>
      </w:pPr>
      <w:r>
        <w:t>Grafts</w:t>
      </w:r>
    </w:p>
    <w:p w14:paraId="72BC5CA7" w14:textId="48A5BBDD" w:rsidR="003A58C0" w:rsidRDefault="003A58C0" w:rsidP="003A58C0">
      <w:pPr>
        <w:pStyle w:val="ListParagraph"/>
        <w:numPr>
          <w:ilvl w:val="0"/>
          <w:numId w:val="4"/>
        </w:numPr>
      </w:pPr>
      <w:r>
        <w:rPr>
          <w:b/>
          <w:bCs/>
        </w:rPr>
        <w:t>Free soft tissue grafts</w:t>
      </w:r>
      <w:r>
        <w:t>:</w:t>
      </w:r>
    </w:p>
    <w:p w14:paraId="1924DCDD" w14:textId="69304F02" w:rsidR="003A58C0" w:rsidRPr="0015070D" w:rsidRDefault="003A58C0" w:rsidP="003A58C0">
      <w:pPr>
        <w:pStyle w:val="ListParagraph"/>
        <w:numPr>
          <w:ilvl w:val="1"/>
          <w:numId w:val="4"/>
        </w:numPr>
        <w:rPr>
          <w:b/>
          <w:bCs/>
          <w:color w:val="76923C" w:themeColor="accent3" w:themeShade="BF"/>
        </w:rPr>
      </w:pPr>
      <w:r w:rsidRPr="0015070D">
        <w:rPr>
          <w:b/>
          <w:bCs/>
          <w:color w:val="76923C" w:themeColor="accent3" w:themeShade="BF"/>
        </w:rPr>
        <w:t>Epithelialized graft (free gingival graft)</w:t>
      </w:r>
    </w:p>
    <w:p w14:paraId="559E19C7" w14:textId="6B8B4E85" w:rsidR="003035C2" w:rsidRPr="0015070D" w:rsidRDefault="006D618C" w:rsidP="0015070D">
      <w:pPr>
        <w:pStyle w:val="ListParagraph"/>
        <w:numPr>
          <w:ilvl w:val="3"/>
          <w:numId w:val="4"/>
        </w:numPr>
        <w:pBdr>
          <w:top w:val="single" w:sz="4" w:space="1" w:color="auto"/>
          <w:left w:val="single" w:sz="4" w:space="4" w:color="auto"/>
          <w:bottom w:val="single" w:sz="4" w:space="1" w:color="auto"/>
          <w:right w:val="single" w:sz="4" w:space="4" w:color="auto"/>
        </w:pBdr>
        <w:shd w:val="clear" w:color="auto" w:fill="EAF1DD" w:themeFill="accent3" w:themeFillTint="33"/>
        <w:rPr>
          <w:sz w:val="18"/>
          <w:szCs w:val="18"/>
        </w:rPr>
      </w:pPr>
      <w:r w:rsidRPr="0015070D">
        <w:rPr>
          <w:b/>
          <w:bCs/>
          <w:color w:val="E36C0A" w:themeColor="accent6" w:themeShade="BF"/>
          <w:sz w:val="18"/>
          <w:szCs w:val="18"/>
        </w:rPr>
        <w:t>Step 1</w:t>
      </w:r>
      <w:r w:rsidRPr="0015070D">
        <w:rPr>
          <w:b/>
          <w:bCs/>
          <w:sz w:val="18"/>
          <w:szCs w:val="18"/>
        </w:rPr>
        <w:t xml:space="preserve">: </w:t>
      </w:r>
      <w:r w:rsidR="003035C2" w:rsidRPr="0015070D">
        <w:rPr>
          <w:b/>
          <w:bCs/>
          <w:sz w:val="18"/>
          <w:szCs w:val="18"/>
        </w:rPr>
        <w:t>Prepare Recipient Site</w:t>
      </w:r>
      <w:r w:rsidRPr="0015070D">
        <w:rPr>
          <w:b/>
          <w:bCs/>
          <w:sz w:val="18"/>
          <w:szCs w:val="18"/>
        </w:rPr>
        <w:t>;</w:t>
      </w:r>
      <w:r w:rsidR="003035C2" w:rsidRPr="0015070D">
        <w:rPr>
          <w:b/>
          <w:bCs/>
          <w:sz w:val="18"/>
          <w:szCs w:val="18"/>
        </w:rPr>
        <w:t xml:space="preserve"> </w:t>
      </w:r>
      <w:r w:rsidR="003035C2" w:rsidRPr="0015070D">
        <w:rPr>
          <w:sz w:val="18"/>
          <w:szCs w:val="18"/>
        </w:rPr>
        <w:t xml:space="preserve">prepare a firm connective tissue bed to receive the graft by incising at the existing mucogingival junction with a </w:t>
      </w:r>
      <w:r w:rsidR="003035C2" w:rsidRPr="0015070D">
        <w:rPr>
          <w:b/>
          <w:bCs/>
          <w:sz w:val="18"/>
          <w:szCs w:val="18"/>
        </w:rPr>
        <w:t>#15 blade</w:t>
      </w:r>
      <w:r w:rsidR="003035C2" w:rsidRPr="0015070D">
        <w:rPr>
          <w:sz w:val="18"/>
          <w:szCs w:val="18"/>
        </w:rPr>
        <w:t xml:space="preserve"> to the desired depth, blending the incision on both ends with existing mucogingival line. </w:t>
      </w:r>
      <w:r w:rsidR="0015070D" w:rsidRPr="0015070D">
        <w:rPr>
          <w:sz w:val="18"/>
          <w:szCs w:val="18"/>
        </w:rPr>
        <w:sym w:font="Wingdings" w:char="F0E8"/>
      </w:r>
      <w:r w:rsidR="003035C2" w:rsidRPr="0015070D">
        <w:rPr>
          <w:sz w:val="18"/>
          <w:szCs w:val="18"/>
        </w:rPr>
        <w:t>Suture the flap where the apical portion of free graft will be located</w:t>
      </w:r>
      <w:r w:rsidR="0015070D" w:rsidRPr="0015070D">
        <w:rPr>
          <w:sz w:val="18"/>
          <w:szCs w:val="18"/>
        </w:rPr>
        <w:t xml:space="preserve"> </w:t>
      </w:r>
      <w:r w:rsidR="0015070D" w:rsidRPr="0015070D">
        <w:rPr>
          <w:sz w:val="18"/>
          <w:szCs w:val="18"/>
        </w:rPr>
        <w:sym w:font="Wingdings" w:char="F0E8"/>
      </w:r>
      <w:r w:rsidR="0015070D">
        <w:rPr>
          <w:sz w:val="18"/>
          <w:szCs w:val="18"/>
        </w:rPr>
        <w:t xml:space="preserve"> </w:t>
      </w:r>
      <w:r w:rsidR="003035C2" w:rsidRPr="0015070D">
        <w:rPr>
          <w:sz w:val="18"/>
          <w:szCs w:val="18"/>
        </w:rPr>
        <w:t>Make an aluminum foil template of the recipient site to be used as a pattern for the graft.</w:t>
      </w:r>
    </w:p>
    <w:p w14:paraId="7F962EBB" w14:textId="2708F5FE" w:rsidR="006D618C" w:rsidRPr="006D618C" w:rsidRDefault="006D618C" w:rsidP="0015070D">
      <w:pPr>
        <w:pStyle w:val="ListParagraph"/>
        <w:numPr>
          <w:ilvl w:val="3"/>
          <w:numId w:val="4"/>
        </w:numPr>
        <w:pBdr>
          <w:top w:val="single" w:sz="4" w:space="1" w:color="auto"/>
          <w:left w:val="single" w:sz="4" w:space="4" w:color="auto"/>
          <w:bottom w:val="single" w:sz="4" w:space="1" w:color="auto"/>
          <w:right w:val="single" w:sz="4" w:space="4" w:color="auto"/>
        </w:pBdr>
        <w:shd w:val="clear" w:color="auto" w:fill="EAF1DD" w:themeFill="accent3" w:themeFillTint="33"/>
        <w:rPr>
          <w:sz w:val="18"/>
          <w:szCs w:val="18"/>
        </w:rPr>
      </w:pPr>
      <w:r w:rsidRPr="006D618C">
        <w:rPr>
          <w:b/>
          <w:bCs/>
          <w:color w:val="E36C0A" w:themeColor="accent6" w:themeShade="BF"/>
          <w:sz w:val="18"/>
          <w:szCs w:val="18"/>
        </w:rPr>
        <w:t xml:space="preserve">Step </w:t>
      </w:r>
      <w:r>
        <w:rPr>
          <w:b/>
          <w:bCs/>
          <w:color w:val="E36C0A" w:themeColor="accent6" w:themeShade="BF"/>
          <w:sz w:val="18"/>
          <w:szCs w:val="18"/>
        </w:rPr>
        <w:t>2</w:t>
      </w:r>
      <w:r>
        <w:rPr>
          <w:b/>
          <w:bCs/>
          <w:sz w:val="18"/>
          <w:szCs w:val="18"/>
        </w:rPr>
        <w:t xml:space="preserve">: </w:t>
      </w:r>
      <w:r w:rsidR="003035C2" w:rsidRPr="006D618C">
        <w:rPr>
          <w:b/>
          <w:bCs/>
          <w:sz w:val="18"/>
          <w:szCs w:val="18"/>
        </w:rPr>
        <w:t>Obtain Graft from Donor Site</w:t>
      </w:r>
      <w:r w:rsidR="003035C2" w:rsidRPr="006D618C">
        <w:rPr>
          <w:sz w:val="18"/>
          <w:szCs w:val="18"/>
        </w:rPr>
        <w:t xml:space="preserve">; the palate is usually the site of donor tissue removal. The graft should consist of epithelium + thin layer of connective tissue. Place the template over donor and make a shallow incision with a </w:t>
      </w:r>
      <w:r w:rsidR="003035C2" w:rsidRPr="006D618C">
        <w:rPr>
          <w:b/>
          <w:bCs/>
          <w:sz w:val="18"/>
          <w:szCs w:val="18"/>
        </w:rPr>
        <w:t>#15 blade</w:t>
      </w:r>
      <w:r w:rsidRPr="006D618C">
        <w:rPr>
          <w:sz w:val="18"/>
          <w:szCs w:val="18"/>
        </w:rPr>
        <w:t xml:space="preserve"> </w:t>
      </w:r>
      <w:r w:rsidRPr="006D618C">
        <w:rPr>
          <w:sz w:val="18"/>
          <w:szCs w:val="18"/>
        </w:rPr>
        <w:sym w:font="Wingdings" w:char="F0E8"/>
      </w:r>
      <w:r w:rsidRPr="006D618C">
        <w:rPr>
          <w:sz w:val="18"/>
          <w:szCs w:val="18"/>
        </w:rPr>
        <w:t xml:space="preserve"> lift gently while separating to provide visibility. The ideal thickness of graft is </w:t>
      </w:r>
      <w:r w:rsidRPr="006D618C">
        <w:rPr>
          <w:b/>
          <w:bCs/>
          <w:sz w:val="18"/>
          <w:szCs w:val="18"/>
        </w:rPr>
        <w:t>1.0 – 1.5mm</w:t>
      </w:r>
      <w:r w:rsidRPr="006D618C">
        <w:rPr>
          <w:sz w:val="18"/>
          <w:szCs w:val="18"/>
        </w:rPr>
        <w:t>. Once graft is separated, remove loose tissue tabs from undersurface.</w:t>
      </w:r>
    </w:p>
    <w:p w14:paraId="560DB138" w14:textId="7B1B3E3A" w:rsidR="006D618C" w:rsidRDefault="006D618C" w:rsidP="0015070D">
      <w:pPr>
        <w:pStyle w:val="ListParagraph"/>
        <w:numPr>
          <w:ilvl w:val="3"/>
          <w:numId w:val="4"/>
        </w:numPr>
        <w:pBdr>
          <w:top w:val="single" w:sz="4" w:space="1" w:color="auto"/>
          <w:left w:val="single" w:sz="4" w:space="4" w:color="auto"/>
          <w:bottom w:val="single" w:sz="4" w:space="1" w:color="auto"/>
          <w:right w:val="single" w:sz="4" w:space="4" w:color="auto"/>
        </w:pBdr>
        <w:shd w:val="clear" w:color="auto" w:fill="EAF1DD" w:themeFill="accent3" w:themeFillTint="33"/>
      </w:pPr>
      <w:r w:rsidRPr="006D618C">
        <w:rPr>
          <w:b/>
          <w:bCs/>
          <w:color w:val="E36C0A" w:themeColor="accent6" w:themeShade="BF"/>
          <w:sz w:val="18"/>
          <w:szCs w:val="18"/>
        </w:rPr>
        <w:t xml:space="preserve">Step </w:t>
      </w:r>
      <w:r>
        <w:rPr>
          <w:b/>
          <w:bCs/>
          <w:color w:val="E36C0A" w:themeColor="accent6" w:themeShade="BF"/>
          <w:sz w:val="18"/>
          <w:szCs w:val="18"/>
        </w:rPr>
        <w:t>3</w:t>
      </w:r>
      <w:r>
        <w:rPr>
          <w:b/>
          <w:bCs/>
          <w:sz w:val="18"/>
          <w:szCs w:val="18"/>
        </w:rPr>
        <w:t xml:space="preserve">: </w:t>
      </w:r>
      <w:r w:rsidRPr="006D618C">
        <w:rPr>
          <w:b/>
          <w:bCs/>
          <w:sz w:val="18"/>
          <w:szCs w:val="18"/>
        </w:rPr>
        <w:t>Transfer and Immobilize the Graft</w:t>
      </w:r>
      <w:r w:rsidRPr="006D618C">
        <w:rPr>
          <w:sz w:val="18"/>
          <w:szCs w:val="18"/>
        </w:rPr>
        <w:t xml:space="preserve">; remove the gauze (from recipient site) and reapply it with pressure until bleeding is stopped </w:t>
      </w:r>
      <w:r w:rsidRPr="006D618C">
        <w:rPr>
          <w:sz w:val="18"/>
          <w:szCs w:val="18"/>
        </w:rPr>
        <w:sym w:font="Wingdings" w:char="F0E8"/>
      </w:r>
      <w:r w:rsidRPr="006D618C">
        <w:rPr>
          <w:sz w:val="18"/>
          <w:szCs w:val="18"/>
        </w:rPr>
        <w:t xml:space="preserve"> Remove excess clot as it interferes with vascularization of the graft </w:t>
      </w:r>
      <w:r w:rsidRPr="006D618C">
        <w:rPr>
          <w:sz w:val="18"/>
          <w:szCs w:val="18"/>
        </w:rPr>
        <w:sym w:font="Wingdings" w:char="F0E8"/>
      </w:r>
      <w:r w:rsidRPr="006D618C">
        <w:rPr>
          <w:sz w:val="18"/>
          <w:szCs w:val="18"/>
        </w:rPr>
        <w:t xml:space="preserve"> Position the graft and adapt it firmly to recipient site (any space between them can impair vascularization) </w:t>
      </w:r>
      <w:r w:rsidRPr="006D618C">
        <w:rPr>
          <w:sz w:val="18"/>
          <w:szCs w:val="18"/>
        </w:rPr>
        <w:sym w:font="Wingdings" w:char="F0E8"/>
      </w:r>
      <w:r w:rsidRPr="006D618C">
        <w:rPr>
          <w:sz w:val="18"/>
          <w:szCs w:val="18"/>
        </w:rPr>
        <w:t xml:space="preserve"> Suture graft at lateral borders and to periosteum to secure in position. </w:t>
      </w:r>
      <w:r w:rsidRPr="006D618C">
        <w:rPr>
          <w:sz w:val="18"/>
          <w:szCs w:val="18"/>
        </w:rPr>
        <w:sym w:font="Wingdings" w:char="F0E8"/>
      </w:r>
      <w:r w:rsidRPr="006D618C">
        <w:rPr>
          <w:sz w:val="18"/>
          <w:szCs w:val="18"/>
        </w:rPr>
        <w:t xml:space="preserve"> Cover area with aluminum foil and surgical pack</w:t>
      </w:r>
      <w:r>
        <w:t>.</w:t>
      </w:r>
    </w:p>
    <w:p w14:paraId="7759668E" w14:textId="382F3C80" w:rsidR="006D618C" w:rsidRDefault="006D618C" w:rsidP="0015070D">
      <w:pPr>
        <w:pStyle w:val="ListParagraph"/>
        <w:numPr>
          <w:ilvl w:val="3"/>
          <w:numId w:val="4"/>
        </w:numPr>
        <w:pBdr>
          <w:top w:val="single" w:sz="4" w:space="1" w:color="auto"/>
          <w:left w:val="single" w:sz="4" w:space="4" w:color="auto"/>
          <w:bottom w:val="single" w:sz="4" w:space="1" w:color="auto"/>
          <w:right w:val="single" w:sz="4" w:space="4" w:color="auto"/>
        </w:pBdr>
        <w:shd w:val="clear" w:color="auto" w:fill="EAF1DD" w:themeFill="accent3" w:themeFillTint="33"/>
      </w:pPr>
      <w:r w:rsidRPr="006D618C">
        <w:rPr>
          <w:b/>
          <w:bCs/>
          <w:color w:val="E36C0A" w:themeColor="accent6" w:themeShade="BF"/>
          <w:sz w:val="18"/>
          <w:szCs w:val="18"/>
        </w:rPr>
        <w:t xml:space="preserve">Step </w:t>
      </w:r>
      <w:r>
        <w:rPr>
          <w:b/>
          <w:bCs/>
          <w:color w:val="E36C0A" w:themeColor="accent6" w:themeShade="BF"/>
          <w:sz w:val="18"/>
          <w:szCs w:val="18"/>
        </w:rPr>
        <w:t>4</w:t>
      </w:r>
      <w:r>
        <w:rPr>
          <w:b/>
          <w:bCs/>
          <w:sz w:val="18"/>
          <w:szCs w:val="18"/>
        </w:rPr>
        <w:t xml:space="preserve">: </w:t>
      </w:r>
      <w:r>
        <w:rPr>
          <w:b/>
          <w:bCs/>
          <w:sz w:val="18"/>
          <w:szCs w:val="18"/>
        </w:rPr>
        <w:t xml:space="preserve">Protect donor site; </w:t>
      </w:r>
      <w:r>
        <w:rPr>
          <w:sz w:val="18"/>
          <w:szCs w:val="18"/>
        </w:rPr>
        <w:t>cover donor site with periodontal pack for 1 week, repeat if needed</w:t>
      </w:r>
    </w:p>
    <w:p w14:paraId="1E85E55D" w14:textId="31B4021F" w:rsidR="003A58C0" w:rsidRDefault="003A58C0" w:rsidP="003A58C0">
      <w:pPr>
        <w:pStyle w:val="ListParagraph"/>
        <w:numPr>
          <w:ilvl w:val="1"/>
          <w:numId w:val="4"/>
        </w:numPr>
      </w:pPr>
      <w:r>
        <w:t>Subepithelial connective tissue graft</w:t>
      </w:r>
    </w:p>
    <w:p w14:paraId="61C21D3A" w14:textId="727FB49F" w:rsidR="003A58C0" w:rsidRPr="003A58C0" w:rsidRDefault="003A58C0" w:rsidP="003A58C0">
      <w:pPr>
        <w:pStyle w:val="ListParagraph"/>
        <w:numPr>
          <w:ilvl w:val="0"/>
          <w:numId w:val="4"/>
        </w:numPr>
      </w:pPr>
      <w:r>
        <w:rPr>
          <w:b/>
          <w:bCs/>
        </w:rPr>
        <w:lastRenderedPageBreak/>
        <w:t>Pedicle grafts:</w:t>
      </w:r>
    </w:p>
    <w:p w14:paraId="28412502" w14:textId="5D95331A" w:rsidR="003A58C0" w:rsidRDefault="003A58C0" w:rsidP="003A58C0">
      <w:pPr>
        <w:pStyle w:val="ListParagraph"/>
        <w:numPr>
          <w:ilvl w:val="1"/>
          <w:numId w:val="4"/>
        </w:numPr>
      </w:pPr>
      <w:r>
        <w:t>Rotational flap</w:t>
      </w:r>
    </w:p>
    <w:p w14:paraId="3FD655DF" w14:textId="392D5666" w:rsidR="003A58C0" w:rsidRPr="0015070D" w:rsidRDefault="003A58C0" w:rsidP="003A58C0">
      <w:pPr>
        <w:pStyle w:val="ListParagraph"/>
        <w:numPr>
          <w:ilvl w:val="2"/>
          <w:numId w:val="4"/>
        </w:numPr>
        <w:rPr>
          <w:b/>
          <w:bCs/>
          <w:color w:val="8064A2" w:themeColor="accent4"/>
        </w:rPr>
      </w:pPr>
      <w:r w:rsidRPr="0015070D">
        <w:rPr>
          <w:b/>
          <w:bCs/>
          <w:color w:val="8064A2" w:themeColor="accent4"/>
        </w:rPr>
        <w:t>Lateral Sliding Flap</w:t>
      </w:r>
    </w:p>
    <w:p w14:paraId="1B58683D" w14:textId="1C78097D" w:rsidR="006D618C" w:rsidRPr="0015070D" w:rsidRDefault="0015070D" w:rsidP="0015070D">
      <w:pPr>
        <w:pStyle w:val="ListParagraph"/>
        <w:numPr>
          <w:ilvl w:val="3"/>
          <w:numId w:val="4"/>
        </w:numPr>
        <w:pBdr>
          <w:top w:val="single" w:sz="4" w:space="1" w:color="auto"/>
          <w:left w:val="single" w:sz="4" w:space="4" w:color="auto"/>
          <w:bottom w:val="single" w:sz="4" w:space="1" w:color="auto"/>
          <w:right w:val="single" w:sz="4" w:space="4" w:color="auto"/>
        </w:pBdr>
        <w:shd w:val="clear" w:color="auto" w:fill="E5DFEC" w:themeFill="accent4" w:themeFillTint="33"/>
      </w:pPr>
      <w:r w:rsidRPr="006D618C">
        <w:rPr>
          <w:b/>
          <w:bCs/>
          <w:color w:val="E36C0A" w:themeColor="accent6" w:themeShade="BF"/>
          <w:sz w:val="18"/>
          <w:szCs w:val="18"/>
        </w:rPr>
        <w:t>Step 1</w:t>
      </w:r>
      <w:r>
        <w:rPr>
          <w:b/>
          <w:bCs/>
          <w:sz w:val="18"/>
          <w:szCs w:val="18"/>
        </w:rPr>
        <w:t>:</w:t>
      </w:r>
      <w:r>
        <w:rPr>
          <w:b/>
          <w:bCs/>
          <w:sz w:val="18"/>
          <w:szCs w:val="18"/>
        </w:rPr>
        <w:t xml:space="preserve"> Prepare the Recipient Site</w:t>
      </w:r>
      <w:r>
        <w:rPr>
          <w:sz w:val="18"/>
          <w:szCs w:val="18"/>
        </w:rPr>
        <w:t xml:space="preserve">; Epithelium is removed around the denuded root surface. The exposed connective tissue will be the recipient site. </w:t>
      </w:r>
      <w:r w:rsidRPr="0015070D">
        <w:rPr>
          <w:sz w:val="18"/>
          <w:szCs w:val="18"/>
        </w:rPr>
        <w:sym w:font="Wingdings" w:char="F0E8"/>
      </w:r>
      <w:r>
        <w:rPr>
          <w:sz w:val="18"/>
          <w:szCs w:val="18"/>
        </w:rPr>
        <w:t xml:space="preserve"> Thorough scaling and planning of exposed root surface.</w:t>
      </w:r>
    </w:p>
    <w:p w14:paraId="4410C977" w14:textId="4F591CB1" w:rsidR="0015070D" w:rsidRPr="0015070D" w:rsidRDefault="0015070D" w:rsidP="0015070D">
      <w:pPr>
        <w:pStyle w:val="ListParagraph"/>
        <w:numPr>
          <w:ilvl w:val="3"/>
          <w:numId w:val="4"/>
        </w:numPr>
        <w:pBdr>
          <w:top w:val="single" w:sz="4" w:space="1" w:color="auto"/>
          <w:left w:val="single" w:sz="4" w:space="4" w:color="auto"/>
          <w:bottom w:val="single" w:sz="4" w:space="1" w:color="auto"/>
          <w:right w:val="single" w:sz="4" w:space="4" w:color="auto"/>
        </w:pBdr>
        <w:shd w:val="clear" w:color="auto" w:fill="E5DFEC" w:themeFill="accent4" w:themeFillTint="33"/>
      </w:pPr>
      <w:r w:rsidRPr="006D618C">
        <w:rPr>
          <w:b/>
          <w:bCs/>
          <w:color w:val="E36C0A" w:themeColor="accent6" w:themeShade="BF"/>
          <w:sz w:val="18"/>
          <w:szCs w:val="18"/>
        </w:rPr>
        <w:t xml:space="preserve">Step </w:t>
      </w:r>
      <w:r>
        <w:rPr>
          <w:b/>
          <w:bCs/>
          <w:color w:val="E36C0A" w:themeColor="accent6" w:themeShade="BF"/>
          <w:sz w:val="18"/>
          <w:szCs w:val="18"/>
        </w:rPr>
        <w:t>2</w:t>
      </w:r>
      <w:r>
        <w:rPr>
          <w:b/>
          <w:bCs/>
          <w:sz w:val="18"/>
          <w:szCs w:val="18"/>
        </w:rPr>
        <w:t>:</w:t>
      </w:r>
      <w:r>
        <w:rPr>
          <w:b/>
          <w:bCs/>
          <w:sz w:val="18"/>
          <w:szCs w:val="18"/>
        </w:rPr>
        <w:t xml:space="preserve"> Prepare the Flap</w:t>
      </w:r>
      <w:r>
        <w:rPr>
          <w:sz w:val="18"/>
          <w:szCs w:val="18"/>
        </w:rPr>
        <w:t xml:space="preserve">; Periodontium of donor site should have satisfactory width of attached gingiva. With a </w:t>
      </w:r>
      <w:r>
        <w:rPr>
          <w:b/>
          <w:bCs/>
          <w:sz w:val="18"/>
          <w:szCs w:val="18"/>
        </w:rPr>
        <w:t>#12 Blade</w:t>
      </w:r>
      <w:r>
        <w:rPr>
          <w:sz w:val="18"/>
          <w:szCs w:val="18"/>
        </w:rPr>
        <w:t>, make a vertical incision from the gingival margin to outline a flap adjacent to recipient site. Incise to the periosteum (epithelium + thin layer of connective tissue) and extend incision into the oral mucosa to the level of the base of the recipient site. The flap should be sufficiently wider than recipient site to cover the root. The interdental papilla at the distal end of the flap, or a major portion of it, should be included to secure the flap in the interproximal space between the donor and recipient teeth.</w:t>
      </w:r>
    </w:p>
    <w:p w14:paraId="28AE82DA" w14:textId="268959AD" w:rsidR="0015070D" w:rsidRPr="0015070D" w:rsidRDefault="0015070D" w:rsidP="0015070D">
      <w:pPr>
        <w:pStyle w:val="ListParagraph"/>
        <w:numPr>
          <w:ilvl w:val="3"/>
          <w:numId w:val="4"/>
        </w:numPr>
        <w:pBdr>
          <w:top w:val="single" w:sz="4" w:space="1" w:color="auto"/>
          <w:left w:val="single" w:sz="4" w:space="4" w:color="auto"/>
          <w:bottom w:val="single" w:sz="4" w:space="1" w:color="auto"/>
          <w:right w:val="single" w:sz="4" w:space="4" w:color="auto"/>
        </w:pBdr>
        <w:shd w:val="clear" w:color="auto" w:fill="E5DFEC" w:themeFill="accent4" w:themeFillTint="33"/>
      </w:pPr>
      <w:r w:rsidRPr="006D618C">
        <w:rPr>
          <w:b/>
          <w:bCs/>
          <w:color w:val="E36C0A" w:themeColor="accent6" w:themeShade="BF"/>
          <w:sz w:val="18"/>
          <w:szCs w:val="18"/>
        </w:rPr>
        <w:t xml:space="preserve">Step </w:t>
      </w:r>
      <w:r>
        <w:rPr>
          <w:b/>
          <w:bCs/>
          <w:color w:val="E36C0A" w:themeColor="accent6" w:themeShade="BF"/>
          <w:sz w:val="18"/>
          <w:szCs w:val="18"/>
        </w:rPr>
        <w:t>3</w:t>
      </w:r>
      <w:r>
        <w:rPr>
          <w:b/>
          <w:bCs/>
          <w:sz w:val="18"/>
          <w:szCs w:val="18"/>
        </w:rPr>
        <w:t>:</w:t>
      </w:r>
      <w:r>
        <w:rPr>
          <w:b/>
          <w:bCs/>
          <w:sz w:val="18"/>
          <w:szCs w:val="18"/>
        </w:rPr>
        <w:t xml:space="preserve"> Transfer the Flap</w:t>
      </w:r>
      <w:r>
        <w:rPr>
          <w:sz w:val="18"/>
          <w:szCs w:val="18"/>
        </w:rPr>
        <w:t>; Slide the flap laterally onto the adjacent root, making sure that it lies flat and firm without excess tension on the base. Fix the flap to the adjacent gingiva and alveolar mucosa with interrupted sutures.</w:t>
      </w:r>
    </w:p>
    <w:p w14:paraId="7E421098" w14:textId="6EBB56FB" w:rsidR="0015070D" w:rsidRDefault="0015070D" w:rsidP="0015070D">
      <w:pPr>
        <w:pStyle w:val="ListParagraph"/>
        <w:numPr>
          <w:ilvl w:val="3"/>
          <w:numId w:val="4"/>
        </w:numPr>
        <w:pBdr>
          <w:top w:val="single" w:sz="4" w:space="1" w:color="auto"/>
          <w:left w:val="single" w:sz="4" w:space="4" w:color="auto"/>
          <w:bottom w:val="single" w:sz="4" w:space="1" w:color="auto"/>
          <w:right w:val="single" w:sz="4" w:space="4" w:color="auto"/>
        </w:pBdr>
        <w:shd w:val="clear" w:color="auto" w:fill="E5DFEC" w:themeFill="accent4" w:themeFillTint="33"/>
      </w:pPr>
      <w:r w:rsidRPr="006D618C">
        <w:rPr>
          <w:b/>
          <w:bCs/>
          <w:color w:val="E36C0A" w:themeColor="accent6" w:themeShade="BF"/>
          <w:sz w:val="18"/>
          <w:szCs w:val="18"/>
        </w:rPr>
        <w:t xml:space="preserve">Step </w:t>
      </w:r>
      <w:r>
        <w:rPr>
          <w:b/>
          <w:bCs/>
          <w:color w:val="E36C0A" w:themeColor="accent6" w:themeShade="BF"/>
          <w:sz w:val="18"/>
          <w:szCs w:val="18"/>
        </w:rPr>
        <w:t>4</w:t>
      </w:r>
      <w:r>
        <w:rPr>
          <w:b/>
          <w:bCs/>
          <w:sz w:val="18"/>
          <w:szCs w:val="18"/>
        </w:rPr>
        <w:t>:</w:t>
      </w:r>
      <w:r>
        <w:rPr>
          <w:b/>
          <w:bCs/>
          <w:sz w:val="18"/>
          <w:szCs w:val="18"/>
        </w:rPr>
        <w:t xml:space="preserve"> Protect Flap and donor site</w:t>
      </w:r>
      <w:r>
        <w:rPr>
          <w:sz w:val="18"/>
          <w:szCs w:val="18"/>
        </w:rPr>
        <w:t>; cover the operative field with aluminum foil and soft periodontal pack, extending it interdentally and onto the lingual surface to secure it. Remove the pack and sutures after 1 week.</w:t>
      </w:r>
    </w:p>
    <w:p w14:paraId="5AC125E5" w14:textId="32ADCDA0" w:rsidR="003A58C0" w:rsidRDefault="003A58C0" w:rsidP="003A58C0">
      <w:pPr>
        <w:pStyle w:val="ListParagraph"/>
        <w:numPr>
          <w:ilvl w:val="2"/>
          <w:numId w:val="4"/>
        </w:numPr>
      </w:pPr>
      <w:r>
        <w:t>Double Papilla Flap</w:t>
      </w:r>
    </w:p>
    <w:p w14:paraId="50B63BA8" w14:textId="283CDB10" w:rsidR="003A58C0" w:rsidRDefault="003A58C0" w:rsidP="003A58C0">
      <w:pPr>
        <w:pStyle w:val="ListParagraph"/>
        <w:numPr>
          <w:ilvl w:val="2"/>
          <w:numId w:val="4"/>
        </w:numPr>
      </w:pPr>
      <w:r>
        <w:t>Oblique Rotated Flap</w:t>
      </w:r>
    </w:p>
    <w:p w14:paraId="41ACCBF4" w14:textId="331ED3D5" w:rsidR="003A58C0" w:rsidRDefault="003A58C0" w:rsidP="003A58C0">
      <w:pPr>
        <w:pStyle w:val="ListParagraph"/>
        <w:numPr>
          <w:ilvl w:val="1"/>
          <w:numId w:val="4"/>
        </w:numPr>
      </w:pPr>
      <w:r>
        <w:t>Advanced flap</w:t>
      </w:r>
    </w:p>
    <w:p w14:paraId="40B15032" w14:textId="6B5537E9" w:rsidR="003A58C0" w:rsidRDefault="003A58C0" w:rsidP="003A58C0">
      <w:pPr>
        <w:pStyle w:val="ListParagraph"/>
        <w:numPr>
          <w:ilvl w:val="2"/>
          <w:numId w:val="4"/>
        </w:numPr>
      </w:pPr>
      <w:r>
        <w:t>Coronally repositioned flap</w:t>
      </w:r>
    </w:p>
    <w:p w14:paraId="10716CF6" w14:textId="5BA66123" w:rsidR="006D618C" w:rsidRPr="00A81F08" w:rsidRDefault="003A58C0" w:rsidP="006D618C">
      <w:pPr>
        <w:pStyle w:val="ListParagraph"/>
        <w:numPr>
          <w:ilvl w:val="2"/>
          <w:numId w:val="4"/>
        </w:numPr>
        <w:rPr>
          <w:b/>
          <w:bCs/>
          <w:color w:val="4BACC6" w:themeColor="accent5"/>
        </w:rPr>
      </w:pPr>
      <w:r w:rsidRPr="00A81F08">
        <w:rPr>
          <w:b/>
          <w:bCs/>
          <w:color w:val="4BACC6" w:themeColor="accent5"/>
        </w:rPr>
        <w:t>Semilunar coronally repositioned flap</w:t>
      </w:r>
    </w:p>
    <w:tbl>
      <w:tblPr>
        <w:tblStyle w:val="TableGrid"/>
        <w:tblW w:w="0" w:type="auto"/>
        <w:tblInd w:w="2425" w:type="dxa"/>
        <w:tblLook w:val="04A0" w:firstRow="1" w:lastRow="0" w:firstColumn="1" w:lastColumn="0" w:noHBand="0" w:noVBand="1"/>
      </w:tblPr>
      <w:tblGrid>
        <w:gridCol w:w="1301"/>
        <w:gridCol w:w="5624"/>
      </w:tblGrid>
      <w:tr w:rsidR="006D618C" w14:paraId="6CD40350" w14:textId="77777777" w:rsidTr="00A81F08">
        <w:tc>
          <w:tcPr>
            <w:tcW w:w="1036" w:type="dxa"/>
            <w:tcBorders>
              <w:right w:val="nil"/>
            </w:tcBorders>
            <w:shd w:val="clear" w:color="auto" w:fill="DAEEF3" w:themeFill="accent5" w:themeFillTint="33"/>
            <w:vAlign w:val="center"/>
          </w:tcPr>
          <w:p w14:paraId="7BA1F11C" w14:textId="56EF6CBF" w:rsidR="006D618C" w:rsidRPr="00A81F08" w:rsidRDefault="006D618C" w:rsidP="006D618C">
            <w:pPr>
              <w:pStyle w:val="ListParagraph"/>
              <w:ind w:left="0"/>
              <w:jc w:val="center"/>
              <w:rPr>
                <w:b/>
                <w:bCs/>
                <w:color w:val="E36C0A" w:themeColor="accent6" w:themeShade="BF"/>
                <w:sz w:val="18"/>
                <w:szCs w:val="18"/>
              </w:rPr>
            </w:pPr>
            <w:r w:rsidRPr="00A81F08">
              <w:rPr>
                <w:b/>
                <w:bCs/>
                <w:color w:val="E36C0A" w:themeColor="accent6" w:themeShade="BF"/>
                <w:sz w:val="18"/>
                <w:szCs w:val="18"/>
              </w:rPr>
              <w:t>Indication</w:t>
            </w:r>
          </w:p>
        </w:tc>
        <w:tc>
          <w:tcPr>
            <w:tcW w:w="5889" w:type="dxa"/>
            <w:tcBorders>
              <w:left w:val="nil"/>
            </w:tcBorders>
            <w:shd w:val="clear" w:color="auto" w:fill="DAEEF3" w:themeFill="accent5" w:themeFillTint="33"/>
          </w:tcPr>
          <w:p w14:paraId="0EABB88F" w14:textId="12E2541C" w:rsidR="006D618C" w:rsidRPr="006D618C" w:rsidRDefault="006D618C" w:rsidP="006D618C">
            <w:pPr>
              <w:pStyle w:val="ListParagraph"/>
              <w:ind w:left="0"/>
              <w:rPr>
                <w:sz w:val="18"/>
                <w:szCs w:val="18"/>
              </w:rPr>
            </w:pPr>
            <w:r w:rsidRPr="006D618C">
              <w:rPr>
                <w:sz w:val="18"/>
                <w:szCs w:val="18"/>
              </w:rPr>
              <w:t xml:space="preserve">Areas in which gingival recession is only 2—3 mm </w:t>
            </w:r>
          </w:p>
        </w:tc>
      </w:tr>
      <w:tr w:rsidR="006D618C" w14:paraId="37A6AA3D" w14:textId="77777777" w:rsidTr="00A81F08">
        <w:tc>
          <w:tcPr>
            <w:tcW w:w="1036" w:type="dxa"/>
            <w:tcBorders>
              <w:right w:val="nil"/>
            </w:tcBorders>
            <w:shd w:val="clear" w:color="auto" w:fill="DAEEF3" w:themeFill="accent5" w:themeFillTint="33"/>
            <w:vAlign w:val="center"/>
          </w:tcPr>
          <w:p w14:paraId="10A92B52" w14:textId="1FEB5F55" w:rsidR="006D618C" w:rsidRPr="00A81F08" w:rsidRDefault="006D618C" w:rsidP="006D618C">
            <w:pPr>
              <w:pStyle w:val="ListParagraph"/>
              <w:ind w:left="0"/>
              <w:jc w:val="center"/>
              <w:rPr>
                <w:b/>
                <w:bCs/>
                <w:color w:val="E36C0A" w:themeColor="accent6" w:themeShade="BF"/>
                <w:sz w:val="18"/>
                <w:szCs w:val="18"/>
              </w:rPr>
            </w:pPr>
            <w:r w:rsidRPr="00A81F08">
              <w:rPr>
                <w:b/>
                <w:bCs/>
                <w:color w:val="E36C0A" w:themeColor="accent6" w:themeShade="BF"/>
                <w:sz w:val="18"/>
                <w:szCs w:val="18"/>
              </w:rPr>
              <w:t>Advantages</w:t>
            </w:r>
          </w:p>
        </w:tc>
        <w:tc>
          <w:tcPr>
            <w:tcW w:w="5889" w:type="dxa"/>
            <w:tcBorders>
              <w:left w:val="nil"/>
            </w:tcBorders>
            <w:shd w:val="clear" w:color="auto" w:fill="DAEEF3" w:themeFill="accent5" w:themeFillTint="33"/>
          </w:tcPr>
          <w:p w14:paraId="44EF9EAA" w14:textId="3CC43339" w:rsidR="006D618C" w:rsidRPr="006D618C" w:rsidRDefault="006D618C" w:rsidP="006D618C">
            <w:pPr>
              <w:pStyle w:val="ListParagraph"/>
              <w:ind w:left="0"/>
              <w:rPr>
                <w:sz w:val="18"/>
                <w:szCs w:val="18"/>
              </w:rPr>
            </w:pPr>
            <w:r w:rsidRPr="006D618C">
              <w:rPr>
                <w:sz w:val="18"/>
                <w:szCs w:val="18"/>
              </w:rPr>
              <w:t>1. No vestibular shortening (as coronally positioned flap)</w:t>
            </w:r>
            <w:r w:rsidRPr="006D618C">
              <w:rPr>
                <w:sz w:val="18"/>
                <w:szCs w:val="18"/>
              </w:rPr>
              <w:br/>
              <w:t>2. No esthetic compromise on interproximal papilla</w:t>
            </w:r>
            <w:r w:rsidRPr="006D618C">
              <w:rPr>
                <w:sz w:val="18"/>
                <w:szCs w:val="18"/>
              </w:rPr>
              <w:br/>
              <w:t>3. No need for sutures</w:t>
            </w:r>
          </w:p>
        </w:tc>
      </w:tr>
      <w:tr w:rsidR="006D618C" w14:paraId="07774BB7" w14:textId="77777777" w:rsidTr="00A81F08">
        <w:tc>
          <w:tcPr>
            <w:tcW w:w="1036" w:type="dxa"/>
            <w:tcBorders>
              <w:right w:val="nil"/>
            </w:tcBorders>
            <w:shd w:val="clear" w:color="auto" w:fill="DAEEF3" w:themeFill="accent5" w:themeFillTint="33"/>
            <w:vAlign w:val="center"/>
          </w:tcPr>
          <w:p w14:paraId="39EAB08C" w14:textId="11B08552" w:rsidR="006D618C" w:rsidRPr="00A81F08" w:rsidRDefault="006D618C" w:rsidP="006D618C">
            <w:pPr>
              <w:pStyle w:val="ListParagraph"/>
              <w:ind w:left="0"/>
              <w:jc w:val="center"/>
              <w:rPr>
                <w:b/>
                <w:bCs/>
                <w:color w:val="E36C0A" w:themeColor="accent6" w:themeShade="BF"/>
                <w:sz w:val="18"/>
                <w:szCs w:val="18"/>
              </w:rPr>
            </w:pPr>
            <w:r w:rsidRPr="00A81F08">
              <w:rPr>
                <w:b/>
                <w:bCs/>
                <w:color w:val="E36C0A" w:themeColor="accent6" w:themeShade="BF"/>
                <w:sz w:val="18"/>
                <w:szCs w:val="18"/>
              </w:rPr>
              <w:t>Disadvantages</w:t>
            </w:r>
          </w:p>
        </w:tc>
        <w:tc>
          <w:tcPr>
            <w:tcW w:w="5889" w:type="dxa"/>
            <w:tcBorders>
              <w:left w:val="nil"/>
            </w:tcBorders>
            <w:shd w:val="clear" w:color="auto" w:fill="DAEEF3" w:themeFill="accent5" w:themeFillTint="33"/>
          </w:tcPr>
          <w:p w14:paraId="7B83B9AE" w14:textId="249B4F78" w:rsidR="006D618C" w:rsidRPr="006D618C" w:rsidRDefault="006D618C" w:rsidP="00A81F08">
            <w:pPr>
              <w:pStyle w:val="ListParagraph"/>
              <w:ind w:left="0"/>
              <w:rPr>
                <w:sz w:val="18"/>
                <w:szCs w:val="18"/>
              </w:rPr>
            </w:pPr>
            <w:r w:rsidRPr="006D618C">
              <w:rPr>
                <w:sz w:val="18"/>
                <w:szCs w:val="18"/>
              </w:rPr>
              <w:t>1. Inability to treat large areas of gingival recession</w:t>
            </w:r>
            <w:r w:rsidRPr="006D618C">
              <w:rPr>
                <w:sz w:val="18"/>
                <w:szCs w:val="18"/>
              </w:rPr>
              <w:br/>
              <w:t>2. Need for an FGG if there is an underlying dehiscence or fenestration</w:t>
            </w:r>
          </w:p>
        </w:tc>
      </w:tr>
      <w:tr w:rsidR="006D618C" w14:paraId="55D18672" w14:textId="77777777" w:rsidTr="00A81F08">
        <w:tc>
          <w:tcPr>
            <w:tcW w:w="1036" w:type="dxa"/>
            <w:tcBorders>
              <w:right w:val="nil"/>
            </w:tcBorders>
            <w:shd w:val="clear" w:color="auto" w:fill="DAEEF3" w:themeFill="accent5" w:themeFillTint="33"/>
            <w:vAlign w:val="center"/>
          </w:tcPr>
          <w:p w14:paraId="13063AFE" w14:textId="3A93BE5F" w:rsidR="006D618C" w:rsidRPr="00A81F08" w:rsidRDefault="006D618C" w:rsidP="006D618C">
            <w:pPr>
              <w:pStyle w:val="ListParagraph"/>
              <w:ind w:left="0"/>
              <w:jc w:val="center"/>
              <w:rPr>
                <w:b/>
                <w:bCs/>
                <w:color w:val="E36C0A" w:themeColor="accent6" w:themeShade="BF"/>
                <w:sz w:val="18"/>
                <w:szCs w:val="18"/>
              </w:rPr>
            </w:pPr>
            <w:r w:rsidRPr="00A81F08">
              <w:rPr>
                <w:b/>
                <w:bCs/>
                <w:color w:val="E36C0A" w:themeColor="accent6" w:themeShade="BF"/>
                <w:sz w:val="18"/>
                <w:szCs w:val="18"/>
              </w:rPr>
              <w:t>Requirements</w:t>
            </w:r>
          </w:p>
        </w:tc>
        <w:tc>
          <w:tcPr>
            <w:tcW w:w="5889" w:type="dxa"/>
            <w:tcBorders>
              <w:left w:val="nil"/>
            </w:tcBorders>
            <w:shd w:val="clear" w:color="auto" w:fill="DAEEF3" w:themeFill="accent5" w:themeFillTint="33"/>
          </w:tcPr>
          <w:p w14:paraId="7111E029" w14:textId="3976A8C9" w:rsidR="006D618C" w:rsidRPr="006D618C" w:rsidRDefault="006D618C" w:rsidP="006D618C">
            <w:pPr>
              <w:pStyle w:val="ListParagraph"/>
              <w:ind w:left="0"/>
              <w:rPr>
                <w:sz w:val="18"/>
                <w:szCs w:val="18"/>
              </w:rPr>
            </w:pPr>
            <w:r w:rsidRPr="006D618C">
              <w:rPr>
                <w:sz w:val="18"/>
                <w:szCs w:val="18"/>
              </w:rPr>
              <w:t>1. Lack of tissue inflammation</w:t>
            </w:r>
            <w:r w:rsidRPr="006D618C">
              <w:rPr>
                <w:sz w:val="18"/>
                <w:szCs w:val="18"/>
              </w:rPr>
              <w:br/>
              <w:t>2. Minimal pocket depth labially</w:t>
            </w:r>
          </w:p>
        </w:tc>
      </w:tr>
    </w:tbl>
    <w:p w14:paraId="18E9539C" w14:textId="77777777" w:rsidR="006D618C" w:rsidRDefault="006D618C" w:rsidP="006D618C">
      <w:pPr>
        <w:pStyle w:val="ListParagraph"/>
        <w:ind w:left="2160"/>
      </w:pPr>
    </w:p>
    <w:p w14:paraId="543DD2DB" w14:textId="2189CD3D" w:rsidR="003035C2" w:rsidRPr="003035C2" w:rsidRDefault="003035C2" w:rsidP="003035C2">
      <w:pPr>
        <w:pStyle w:val="ListParagraph"/>
        <w:numPr>
          <w:ilvl w:val="0"/>
          <w:numId w:val="4"/>
        </w:numPr>
      </w:pPr>
      <w:r>
        <w:rPr>
          <w:b/>
          <w:bCs/>
        </w:rPr>
        <w:t>Connective tissue graft in conjunction with coronally advanced flap</w:t>
      </w:r>
    </w:p>
    <w:p w14:paraId="3E93688A" w14:textId="3D2901A1" w:rsidR="003035C2" w:rsidRPr="003A58C0" w:rsidRDefault="003035C2" w:rsidP="003035C2">
      <w:pPr>
        <w:pStyle w:val="ListParagraph"/>
        <w:numPr>
          <w:ilvl w:val="0"/>
          <w:numId w:val="4"/>
        </w:numPr>
      </w:pPr>
      <w:r>
        <w:rPr>
          <w:b/>
          <w:bCs/>
        </w:rPr>
        <w:t>Acellular Dermal Matrix (ADM)</w:t>
      </w:r>
      <w:r>
        <w:t xml:space="preserve">: acellular connective tissue allograft derived from skin of organ donors. </w:t>
      </w:r>
    </w:p>
    <w:sectPr w:rsidR="003035C2" w:rsidRPr="003A5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403DA"/>
    <w:multiLevelType w:val="hybridMultilevel"/>
    <w:tmpl w:val="A8880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E6A80"/>
    <w:multiLevelType w:val="hybridMultilevel"/>
    <w:tmpl w:val="C06EEE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734397"/>
    <w:multiLevelType w:val="hybridMultilevel"/>
    <w:tmpl w:val="B0AC58C4"/>
    <w:lvl w:ilvl="0" w:tplc="BF56DA4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B3D01"/>
    <w:multiLevelType w:val="hybridMultilevel"/>
    <w:tmpl w:val="00EA77E8"/>
    <w:lvl w:ilvl="0" w:tplc="04090015">
      <w:start w:val="1"/>
      <w:numFmt w:val="upperLetter"/>
      <w:lvlText w:val="%1."/>
      <w:lvlJc w:val="left"/>
      <w:pPr>
        <w:ind w:left="720" w:hanging="360"/>
      </w:pPr>
      <w:rPr>
        <w:rFonts w:hint="default"/>
      </w:rPr>
    </w:lvl>
    <w:lvl w:ilvl="1" w:tplc="D5DE3C22">
      <w:start w:val="1"/>
      <w:numFmt w:val="lowerLetter"/>
      <w:lvlText w:val="%2."/>
      <w:lvlJc w:val="left"/>
      <w:pPr>
        <w:ind w:left="1440" w:hanging="360"/>
      </w:pPr>
      <w:rPr>
        <w:b w:val="0"/>
        <w:bCs w:val="0"/>
        <w:color w:val="000000" w:themeColor="text1"/>
      </w:rPr>
    </w:lvl>
    <w:lvl w:ilvl="2" w:tplc="A5EC029C">
      <w:start w:val="1"/>
      <w:numFmt w:val="lowerRoman"/>
      <w:lvlText w:val="%3."/>
      <w:lvlJc w:val="right"/>
      <w:pPr>
        <w:ind w:left="2160" w:hanging="180"/>
      </w:pPr>
      <w:rPr>
        <w:b w:val="0"/>
        <w:bCs w:val="0"/>
        <w:color w:val="auto"/>
      </w:rPr>
    </w:lvl>
    <w:lvl w:ilvl="3" w:tplc="04090003">
      <w:start w:val="1"/>
      <w:numFmt w:val="bullet"/>
      <w:lvlText w:val="o"/>
      <w:lvlJc w:val="left"/>
      <w:pPr>
        <w:ind w:left="2880" w:hanging="360"/>
      </w:pPr>
      <w:rPr>
        <w:rFonts w:ascii="Courier New" w:hAnsi="Courier New" w:cs="Courier New" w:hint="default"/>
        <w:b w:val="0"/>
        <w:bCs w:val="0"/>
        <w:sz w:val="18"/>
        <w:szCs w:val="1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C0"/>
    <w:rsid w:val="00135417"/>
    <w:rsid w:val="0015070D"/>
    <w:rsid w:val="003035C2"/>
    <w:rsid w:val="003A58C0"/>
    <w:rsid w:val="006D618C"/>
    <w:rsid w:val="00A81F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EEC92"/>
  <w15:chartTrackingRefBased/>
  <w15:docId w15:val="{A685A3BE-1ECB-4A8F-B117-97A01188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8C0"/>
  </w:style>
  <w:style w:type="paragraph" w:styleId="Heading1">
    <w:name w:val="heading 1"/>
    <w:basedOn w:val="Normal"/>
    <w:next w:val="Normal"/>
    <w:link w:val="Heading1Char"/>
    <w:uiPriority w:val="9"/>
    <w:qFormat/>
    <w:rsid w:val="003A58C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3A58C0"/>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semiHidden/>
    <w:unhideWhenUsed/>
    <w:qFormat/>
    <w:rsid w:val="003A58C0"/>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3A58C0"/>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3A58C0"/>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3A58C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3A58C0"/>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3A58C0"/>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3A58C0"/>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8C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3A58C0"/>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semiHidden/>
    <w:rsid w:val="003A58C0"/>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3A58C0"/>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3A58C0"/>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3A58C0"/>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3A58C0"/>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3A58C0"/>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3A58C0"/>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3A58C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A58C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A58C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A58C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A58C0"/>
    <w:rPr>
      <w:caps/>
      <w:color w:val="404040" w:themeColor="text1" w:themeTint="BF"/>
      <w:spacing w:val="20"/>
      <w:sz w:val="28"/>
      <w:szCs w:val="28"/>
    </w:rPr>
  </w:style>
  <w:style w:type="character" w:styleId="Strong">
    <w:name w:val="Strong"/>
    <w:basedOn w:val="DefaultParagraphFont"/>
    <w:uiPriority w:val="22"/>
    <w:qFormat/>
    <w:rsid w:val="003A58C0"/>
    <w:rPr>
      <w:b/>
      <w:bCs/>
    </w:rPr>
  </w:style>
  <w:style w:type="character" w:styleId="Emphasis">
    <w:name w:val="Emphasis"/>
    <w:basedOn w:val="DefaultParagraphFont"/>
    <w:uiPriority w:val="20"/>
    <w:qFormat/>
    <w:rsid w:val="003A58C0"/>
    <w:rPr>
      <w:i/>
      <w:iCs/>
      <w:color w:val="000000" w:themeColor="text1"/>
    </w:rPr>
  </w:style>
  <w:style w:type="paragraph" w:styleId="NoSpacing">
    <w:name w:val="No Spacing"/>
    <w:uiPriority w:val="1"/>
    <w:qFormat/>
    <w:rsid w:val="003A58C0"/>
    <w:pPr>
      <w:spacing w:after="0" w:line="240" w:lineRule="auto"/>
    </w:pPr>
  </w:style>
  <w:style w:type="paragraph" w:styleId="Quote">
    <w:name w:val="Quote"/>
    <w:basedOn w:val="Normal"/>
    <w:next w:val="Normal"/>
    <w:link w:val="QuoteChar"/>
    <w:uiPriority w:val="29"/>
    <w:qFormat/>
    <w:rsid w:val="003A58C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A58C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A58C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A58C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A58C0"/>
    <w:rPr>
      <w:i/>
      <w:iCs/>
      <w:color w:val="595959" w:themeColor="text1" w:themeTint="A6"/>
    </w:rPr>
  </w:style>
  <w:style w:type="character" w:styleId="IntenseEmphasis">
    <w:name w:val="Intense Emphasis"/>
    <w:basedOn w:val="DefaultParagraphFont"/>
    <w:uiPriority w:val="21"/>
    <w:qFormat/>
    <w:rsid w:val="003A58C0"/>
    <w:rPr>
      <w:b/>
      <w:bCs/>
      <w:i/>
      <w:iCs/>
      <w:caps w:val="0"/>
      <w:smallCaps w:val="0"/>
      <w:strike w:val="0"/>
      <w:dstrike w:val="0"/>
      <w:color w:val="C0504D" w:themeColor="accent2"/>
    </w:rPr>
  </w:style>
  <w:style w:type="character" w:styleId="SubtleReference">
    <w:name w:val="Subtle Reference"/>
    <w:basedOn w:val="DefaultParagraphFont"/>
    <w:uiPriority w:val="31"/>
    <w:qFormat/>
    <w:rsid w:val="003A58C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A58C0"/>
    <w:rPr>
      <w:b/>
      <w:bCs/>
      <w:caps w:val="0"/>
      <w:smallCaps/>
      <w:color w:val="auto"/>
      <w:spacing w:val="0"/>
      <w:u w:val="single"/>
    </w:rPr>
  </w:style>
  <w:style w:type="character" w:styleId="BookTitle">
    <w:name w:val="Book Title"/>
    <w:basedOn w:val="DefaultParagraphFont"/>
    <w:uiPriority w:val="33"/>
    <w:qFormat/>
    <w:rsid w:val="003A58C0"/>
    <w:rPr>
      <w:b/>
      <w:bCs/>
      <w:caps w:val="0"/>
      <w:smallCaps/>
      <w:spacing w:val="0"/>
    </w:rPr>
  </w:style>
  <w:style w:type="paragraph" w:styleId="TOCHeading">
    <w:name w:val="TOC Heading"/>
    <w:basedOn w:val="Heading1"/>
    <w:next w:val="Normal"/>
    <w:uiPriority w:val="39"/>
    <w:semiHidden/>
    <w:unhideWhenUsed/>
    <w:qFormat/>
    <w:rsid w:val="003A58C0"/>
    <w:pPr>
      <w:outlineLvl w:val="9"/>
    </w:pPr>
  </w:style>
  <w:style w:type="paragraph" w:styleId="ListParagraph">
    <w:name w:val="List Paragraph"/>
    <w:basedOn w:val="Normal"/>
    <w:uiPriority w:val="34"/>
    <w:qFormat/>
    <w:rsid w:val="003A58C0"/>
    <w:pPr>
      <w:ind w:left="720"/>
      <w:contextualSpacing/>
    </w:pPr>
  </w:style>
  <w:style w:type="table" w:styleId="TableGrid">
    <w:name w:val="Table Grid"/>
    <w:basedOn w:val="TableNormal"/>
    <w:uiPriority w:val="39"/>
    <w:rsid w:val="006D6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2020-06-17T16:03:00Z</dcterms:created>
  <dcterms:modified xsi:type="dcterms:W3CDTF">2020-06-17T16:46:00Z</dcterms:modified>
</cp:coreProperties>
</file>