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F0F7C" w14:textId="4B7F0874" w:rsidR="00843773" w:rsidRDefault="00564028" w:rsidP="0075529E">
      <w:pPr>
        <w:pStyle w:val="Title"/>
        <w:jc w:val="center"/>
      </w:pPr>
      <w:r>
        <w:t>Anchorage</w:t>
      </w:r>
    </w:p>
    <w:p w14:paraId="75A97013" w14:textId="07A60B24" w:rsidR="00077719" w:rsidRDefault="00564028" w:rsidP="00077719">
      <w:r>
        <w:t xml:space="preserve">Inadequate anchorage change be most limiting factor and might cause unwanted side effects. In relation to treatment of adult patients. In young and growing individuals, tooth movement depends on interaction between ongoing growth and changes produced by the orthodontic appliance. In the case of adult patient, there is no growth to interfere with the effect of forces generated by the appliance and the tooth movement reflects the applied force system. However, soft tissue balance and muscle function still modify the effect of orthodontic treatment that aims to change arch form or facial height. </w:t>
      </w:r>
    </w:p>
    <w:p w14:paraId="08060C2B" w14:textId="1D4FDEA9" w:rsidR="00564028" w:rsidRDefault="00564028" w:rsidP="00564028">
      <w:r w:rsidRPr="00564028">
        <w:rPr>
          <w:b/>
          <w:bCs/>
          <w:highlight w:val="lightGray"/>
        </w:rPr>
        <w:t>Anchorage</w:t>
      </w:r>
      <w:r>
        <w:t xml:space="preserve">: resistance to reaction forces usually provided by other teeth or sometimes by the palate, head and neck, or implants in bone. The anchorage unit can </w:t>
      </w:r>
      <w:r w:rsidR="00FA50F9">
        <w:t>move;</w:t>
      </w:r>
      <w:r>
        <w:t xml:space="preserve"> </w:t>
      </w:r>
      <w:r w:rsidR="00FA50F9">
        <w:t>however,</w:t>
      </w:r>
      <w:r>
        <w:t xml:space="preserve"> its role is to provide resistance. </w:t>
      </w:r>
    </w:p>
    <w:p w14:paraId="6B7ED4A3" w14:textId="331ED4BC" w:rsidR="00564028" w:rsidRDefault="00564028" w:rsidP="00564028">
      <w:pPr>
        <w:pStyle w:val="Heading1"/>
      </w:pPr>
      <w:r>
        <w:t>Classification of Anchorage</w:t>
      </w:r>
    </w:p>
    <w:p w14:paraId="5FC7821D" w14:textId="6D0CDDCE" w:rsidR="00564028" w:rsidRDefault="00564028" w:rsidP="00564028">
      <w:pPr>
        <w:pStyle w:val="Heading2"/>
        <w:numPr>
          <w:ilvl w:val="0"/>
          <w:numId w:val="12"/>
        </w:numPr>
      </w:pPr>
      <w:r>
        <w:t>According to Site</w:t>
      </w:r>
    </w:p>
    <w:p w14:paraId="2DCCFE27" w14:textId="49A29947" w:rsidR="00564028" w:rsidRDefault="00564028" w:rsidP="00564028">
      <w:pPr>
        <w:pStyle w:val="ListParagraph"/>
        <w:numPr>
          <w:ilvl w:val="0"/>
          <w:numId w:val="13"/>
        </w:numPr>
      </w:pPr>
      <w:r w:rsidRPr="00564028">
        <w:rPr>
          <w:b/>
          <w:bCs/>
        </w:rPr>
        <w:t>Intraoral</w:t>
      </w:r>
      <w:r>
        <w:t>: utilizing teeth, mucosa, and other structures</w:t>
      </w:r>
    </w:p>
    <w:p w14:paraId="2A7104FB" w14:textId="7DDF0331" w:rsidR="00564028" w:rsidRDefault="00564028" w:rsidP="00564028">
      <w:pPr>
        <w:pStyle w:val="ListParagraph"/>
        <w:numPr>
          <w:ilvl w:val="0"/>
          <w:numId w:val="13"/>
        </w:numPr>
      </w:pPr>
      <w:r>
        <w:rPr>
          <w:b/>
          <w:bCs/>
        </w:rPr>
        <w:t>Extraoral</w:t>
      </w:r>
      <w:r w:rsidRPr="00564028">
        <w:t>:</w:t>
      </w:r>
      <w:r>
        <w:t xml:space="preserve"> anchorage establish outside of the oral cavity (cervical, occipital, cranial, facial)</w:t>
      </w:r>
    </w:p>
    <w:p w14:paraId="7E7F954C" w14:textId="317E9AB5" w:rsidR="00564028" w:rsidRDefault="00564028" w:rsidP="00564028">
      <w:pPr>
        <w:pStyle w:val="Heading2"/>
        <w:numPr>
          <w:ilvl w:val="0"/>
          <w:numId w:val="12"/>
        </w:numPr>
      </w:pPr>
      <w:r>
        <w:t xml:space="preserve">According to </w:t>
      </w:r>
      <w:r>
        <w:t>Jaws Involved</w:t>
      </w:r>
    </w:p>
    <w:p w14:paraId="7F8F6DBB" w14:textId="710CC947" w:rsidR="00564028" w:rsidRDefault="00564028" w:rsidP="00564028">
      <w:pPr>
        <w:pStyle w:val="ListParagraph"/>
        <w:numPr>
          <w:ilvl w:val="0"/>
          <w:numId w:val="13"/>
        </w:numPr>
      </w:pPr>
      <w:r w:rsidRPr="00564028">
        <w:rPr>
          <w:b/>
          <w:bCs/>
        </w:rPr>
        <w:t>Intra</w:t>
      </w:r>
      <w:r>
        <w:rPr>
          <w:b/>
          <w:bCs/>
        </w:rPr>
        <w:t>-maxillary</w:t>
      </w:r>
      <w:r>
        <w:t xml:space="preserve">: </w:t>
      </w:r>
      <w:r>
        <w:t>anchorage established in same jaw as active element.</w:t>
      </w:r>
    </w:p>
    <w:p w14:paraId="3C719924" w14:textId="05C4BA1C" w:rsidR="00564028" w:rsidRDefault="00564028" w:rsidP="00564028">
      <w:pPr>
        <w:pStyle w:val="ListParagraph"/>
        <w:numPr>
          <w:ilvl w:val="0"/>
          <w:numId w:val="13"/>
        </w:numPr>
      </w:pPr>
      <w:r>
        <w:rPr>
          <w:b/>
          <w:bCs/>
        </w:rPr>
        <w:t>Inter-maxillary</w:t>
      </w:r>
      <w:r w:rsidRPr="00564028">
        <w:t>:</w:t>
      </w:r>
      <w:r>
        <w:t xml:space="preserve"> anchorage establish </w:t>
      </w:r>
      <w:r>
        <w:t>in opposite jaw of the active element.</w:t>
      </w:r>
    </w:p>
    <w:p w14:paraId="7C039900" w14:textId="3C39C641" w:rsidR="00564028" w:rsidRDefault="00564028" w:rsidP="00564028">
      <w:pPr>
        <w:pStyle w:val="Heading2"/>
        <w:numPr>
          <w:ilvl w:val="0"/>
          <w:numId w:val="12"/>
        </w:numPr>
      </w:pPr>
      <w:r>
        <w:t xml:space="preserve">According to </w:t>
      </w:r>
      <w:proofErr w:type="spellStart"/>
      <w:r>
        <w:t>Burstone</w:t>
      </w:r>
      <w:proofErr w:type="spellEnd"/>
    </w:p>
    <w:p w14:paraId="73CF4CC5" w14:textId="0115C179" w:rsidR="00564028" w:rsidRPr="00564028" w:rsidRDefault="00564028" w:rsidP="00564028">
      <w:pPr>
        <w:pStyle w:val="ListParagraph"/>
        <w:ind w:left="1080"/>
      </w:pPr>
      <w:r>
        <w:t>It should be determined which teeth will be moved (belong to active unit) and which will be considered anchorage (belong to reactive unit)</w:t>
      </w:r>
    </w:p>
    <w:p w14:paraId="31119461" w14:textId="4FF8E80A" w:rsidR="00564028" w:rsidRDefault="00564028" w:rsidP="00564028">
      <w:pPr>
        <w:pStyle w:val="ListParagraph"/>
        <w:numPr>
          <w:ilvl w:val="0"/>
          <w:numId w:val="13"/>
        </w:numPr>
      </w:pPr>
      <w:r>
        <w:rPr>
          <w:b/>
          <w:bCs/>
        </w:rPr>
        <w:t>Type A</w:t>
      </w:r>
      <w:r>
        <w:t xml:space="preserve">: </w:t>
      </w:r>
      <w:r>
        <w:t xml:space="preserve">when space is closed primarily by retraction of </w:t>
      </w:r>
      <w:r w:rsidRPr="00564028">
        <w:rPr>
          <w:u w:val="single" w:color="AC3EC1" w:themeColor="accent1"/>
        </w:rPr>
        <w:t>anterior teeth</w:t>
      </w:r>
      <w:r>
        <w:t>.</w:t>
      </w:r>
    </w:p>
    <w:p w14:paraId="0A761EFD" w14:textId="33B6432E" w:rsidR="00564028" w:rsidRDefault="00564028" w:rsidP="00564028">
      <w:pPr>
        <w:pStyle w:val="ListParagraph"/>
        <w:numPr>
          <w:ilvl w:val="0"/>
          <w:numId w:val="13"/>
        </w:numPr>
      </w:pPr>
      <w:r>
        <w:rPr>
          <w:b/>
          <w:bCs/>
        </w:rPr>
        <w:t>Type B</w:t>
      </w:r>
      <w:r w:rsidRPr="00564028">
        <w:t>:</w:t>
      </w:r>
      <w:r>
        <w:t xml:space="preserve"> </w:t>
      </w:r>
      <w:r>
        <w:t xml:space="preserve">when there is </w:t>
      </w:r>
      <w:r w:rsidRPr="00564028">
        <w:rPr>
          <w:u w:val="single" w:color="AC3EC1" w:themeColor="accent1"/>
        </w:rPr>
        <w:t>equal contribution</w:t>
      </w:r>
      <w:r>
        <w:t xml:space="preserve"> of the anterior and posterior units to closure of space.</w:t>
      </w:r>
    </w:p>
    <w:p w14:paraId="723C0896" w14:textId="1AD8F1C4" w:rsidR="00564028" w:rsidRDefault="00564028" w:rsidP="00564028">
      <w:pPr>
        <w:pStyle w:val="ListParagraph"/>
        <w:numPr>
          <w:ilvl w:val="0"/>
          <w:numId w:val="13"/>
        </w:numPr>
      </w:pPr>
      <w:r>
        <w:rPr>
          <w:b/>
          <w:bCs/>
        </w:rPr>
        <w:t>Type C</w:t>
      </w:r>
      <w:r w:rsidRPr="00564028">
        <w:t>:</w:t>
      </w:r>
      <w:r>
        <w:t xml:space="preserve"> when space is closed primarily by protraction of </w:t>
      </w:r>
      <w:r w:rsidRPr="00564028">
        <w:rPr>
          <w:u w:val="single" w:color="AC3EC1" w:themeColor="accent1"/>
        </w:rPr>
        <w:t>posterior teeth</w:t>
      </w:r>
      <w:r>
        <w:t>.</w:t>
      </w:r>
    </w:p>
    <w:p w14:paraId="49DB7427" w14:textId="6CBA14DD" w:rsidR="00564028" w:rsidRDefault="00564028" w:rsidP="00564028">
      <w:pPr>
        <w:pStyle w:val="Heading2"/>
        <w:numPr>
          <w:ilvl w:val="0"/>
          <w:numId w:val="12"/>
        </w:numPr>
      </w:pPr>
      <w:r>
        <w:t>According to S</w:t>
      </w:r>
      <w:r>
        <w:t>pace Avai</w:t>
      </w:r>
      <w:r w:rsidR="00FA50F9">
        <w:t>l</w:t>
      </w:r>
      <w:r>
        <w:t>ability</w:t>
      </w:r>
    </w:p>
    <w:p w14:paraId="45529B1B" w14:textId="54CF479F" w:rsidR="00564028" w:rsidRPr="00564028" w:rsidRDefault="00564028" w:rsidP="00564028">
      <w:pPr>
        <w:pStyle w:val="ListParagraph"/>
        <w:numPr>
          <w:ilvl w:val="0"/>
          <w:numId w:val="13"/>
        </w:numPr>
      </w:pPr>
      <w:r>
        <w:rPr>
          <w:b/>
          <w:bCs/>
        </w:rPr>
        <w:t>Minimum Anchorage</w:t>
      </w:r>
      <w:r>
        <w:t>: 2/3</w:t>
      </w:r>
      <w:r w:rsidRPr="00564028">
        <w:rPr>
          <w:vertAlign w:val="superscript"/>
        </w:rPr>
        <w:t>rd</w:t>
      </w:r>
      <w:r>
        <w:t xml:space="preserve"> of space is utilized by the movement of the anchor unit</w:t>
      </w:r>
    </w:p>
    <w:p w14:paraId="076E8AF4" w14:textId="38100FD1" w:rsidR="00564028" w:rsidRPr="00564028" w:rsidRDefault="00564028" w:rsidP="00564028">
      <w:pPr>
        <w:pStyle w:val="ListParagraph"/>
        <w:numPr>
          <w:ilvl w:val="0"/>
          <w:numId w:val="13"/>
        </w:numPr>
      </w:pPr>
      <w:r>
        <w:rPr>
          <w:b/>
          <w:bCs/>
        </w:rPr>
        <w:t>Moderate Anchorage</w:t>
      </w:r>
      <w:r>
        <w:t xml:space="preserve">: 1/2 </w:t>
      </w:r>
      <w:r w:rsidR="00FA50F9">
        <w:t>space utilized by movement of anchor unit &amp; remaining 1/2 by movement of active unit</w:t>
      </w:r>
    </w:p>
    <w:p w14:paraId="1BC98A4A" w14:textId="617C8CCE" w:rsidR="00564028" w:rsidRPr="00564028" w:rsidRDefault="00564028" w:rsidP="00564028">
      <w:pPr>
        <w:pStyle w:val="ListParagraph"/>
        <w:numPr>
          <w:ilvl w:val="0"/>
          <w:numId w:val="13"/>
        </w:numPr>
      </w:pPr>
      <w:r>
        <w:rPr>
          <w:b/>
          <w:bCs/>
        </w:rPr>
        <w:t>Maximum Anchorage</w:t>
      </w:r>
      <w:r w:rsidR="00FA50F9">
        <w:t>: Anchorage demand Is very high – not more than 1/4 of extraction space should be lost by forward movement of anchor teeth</w:t>
      </w:r>
    </w:p>
    <w:p w14:paraId="6F8A7D29" w14:textId="51EC8E00" w:rsidR="00564028" w:rsidRDefault="00564028" w:rsidP="00FA50F9">
      <w:pPr>
        <w:pStyle w:val="ListParagraph"/>
        <w:numPr>
          <w:ilvl w:val="0"/>
          <w:numId w:val="13"/>
        </w:numPr>
      </w:pPr>
      <w:r>
        <w:rPr>
          <w:b/>
          <w:bCs/>
        </w:rPr>
        <w:t>Absolute Anchorage</w:t>
      </w:r>
      <w:r w:rsidR="00FA50F9">
        <w:t>: No movement at all of anchor unit is allowed (implants)</w:t>
      </w:r>
    </w:p>
    <w:p w14:paraId="2F16F53E" w14:textId="55EFD48D" w:rsidR="00FA50F9" w:rsidRDefault="00FA50F9" w:rsidP="00FA50F9">
      <w:pPr>
        <w:pStyle w:val="Heading2"/>
        <w:numPr>
          <w:ilvl w:val="0"/>
          <w:numId w:val="12"/>
        </w:numPr>
      </w:pPr>
      <w:r>
        <w:t xml:space="preserve">According to </w:t>
      </w:r>
      <w:r>
        <w:t>Manner of Force Application</w:t>
      </w:r>
    </w:p>
    <w:p w14:paraId="7B106E7D" w14:textId="41CA549D" w:rsidR="00FA50F9" w:rsidRDefault="00FA50F9" w:rsidP="00FA50F9">
      <w:pPr>
        <w:pStyle w:val="ListParagraph"/>
        <w:numPr>
          <w:ilvl w:val="0"/>
          <w:numId w:val="13"/>
        </w:numPr>
      </w:pPr>
      <w:r>
        <w:rPr>
          <w:b/>
          <w:bCs/>
        </w:rPr>
        <w:t>Simple Anchorage</w:t>
      </w:r>
      <w:r>
        <w:t xml:space="preserve">: </w:t>
      </w:r>
      <w:r w:rsidRPr="00FA50F9">
        <w:rPr>
          <w:u w:val="single" w:color="AC3EC1" w:themeColor="accent1"/>
        </w:rPr>
        <w:t>Tipping</w:t>
      </w:r>
      <w:r>
        <w:t xml:space="preserve"> of the anchorage unit – the anchorage tooth is “free” to tip during movement</w:t>
      </w:r>
    </w:p>
    <w:p w14:paraId="0A1CD91D" w14:textId="660F8C9E" w:rsidR="00FA50F9" w:rsidRDefault="00FA50F9" w:rsidP="00FA50F9">
      <w:pPr>
        <w:pStyle w:val="ListParagraph"/>
        <w:numPr>
          <w:ilvl w:val="0"/>
          <w:numId w:val="13"/>
        </w:numPr>
      </w:pPr>
      <w:r>
        <w:rPr>
          <w:b/>
          <w:bCs/>
        </w:rPr>
        <w:t>Stationary Anchorage</w:t>
      </w:r>
      <w:r w:rsidRPr="00FA50F9">
        <w:t>:</w:t>
      </w:r>
      <w:r>
        <w:t xml:space="preserve"> </w:t>
      </w:r>
      <w:r w:rsidRPr="00FA50F9">
        <w:rPr>
          <w:u w:val="single" w:color="AC3EC1" w:themeColor="accent1"/>
        </w:rPr>
        <w:t>Bodily</w:t>
      </w:r>
      <w:r>
        <w:t xml:space="preserve"> movement of anchorage unit – the anchorage tooth is permitted to translate only</w:t>
      </w:r>
    </w:p>
    <w:p w14:paraId="7D928806" w14:textId="1C1DBC4F" w:rsidR="00FA50F9" w:rsidRDefault="00FA50F9" w:rsidP="00FA50F9">
      <w:pPr>
        <w:pStyle w:val="ListParagraph"/>
        <w:numPr>
          <w:ilvl w:val="0"/>
          <w:numId w:val="13"/>
        </w:numPr>
      </w:pPr>
      <w:r>
        <w:rPr>
          <w:b/>
          <w:bCs/>
        </w:rPr>
        <w:t>Reciprocal Anchorage</w:t>
      </w:r>
      <w:r w:rsidRPr="00FA50F9">
        <w:t>:</w:t>
      </w:r>
      <w:r>
        <w:t xml:space="preserve"> When two teeth or two sets of teeth </w:t>
      </w:r>
      <w:r w:rsidRPr="00FA50F9">
        <w:rPr>
          <w:u w:val="single" w:color="AC3EC1" w:themeColor="accent1"/>
        </w:rPr>
        <w:t>move equally in an opposite direction</w:t>
      </w:r>
      <w:r>
        <w:t>. Root surface area of anchorage unit is equal to that of teeth to be moved. Both bodies which are mal-positioned act as a resistance and active elements.</w:t>
      </w:r>
    </w:p>
    <w:p w14:paraId="3BCDDE0B" w14:textId="5861F46C" w:rsidR="00FA50F9" w:rsidRDefault="00FA50F9" w:rsidP="00FA50F9">
      <w:pPr>
        <w:pStyle w:val="Heading1"/>
      </w:pPr>
      <w:r>
        <w:lastRenderedPageBreak/>
        <w:t>Methods of Reinforcing Anchorage</w:t>
      </w:r>
    </w:p>
    <w:p w14:paraId="40EAA9ED" w14:textId="0672ACBC" w:rsidR="00FA50F9" w:rsidRDefault="00FA50F9" w:rsidP="00FA50F9"/>
    <w:p w14:paraId="787D1861" w14:textId="5F74C4D4" w:rsidR="00FA50F9" w:rsidRDefault="00FA50F9" w:rsidP="00FA50F9">
      <w:pPr>
        <w:pStyle w:val="Heading2"/>
        <w:numPr>
          <w:ilvl w:val="0"/>
          <w:numId w:val="14"/>
        </w:numPr>
      </w:pPr>
      <w:r w:rsidRPr="00FA50F9">
        <w:drawing>
          <wp:anchor distT="0" distB="0" distL="114300" distR="114300" simplePos="0" relativeHeight="251658240" behindDoc="0" locked="0" layoutInCell="1" allowOverlap="1" wp14:anchorId="11F501E9" wp14:editId="76DB7F33">
            <wp:simplePos x="0" y="0"/>
            <wp:positionH relativeFrom="margin">
              <wp:posOffset>5293217</wp:posOffset>
            </wp:positionH>
            <wp:positionV relativeFrom="page">
              <wp:posOffset>1590541</wp:posOffset>
            </wp:positionV>
            <wp:extent cx="642620" cy="46164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2620" cy="461645"/>
                    </a:xfrm>
                    <a:prstGeom prst="rect">
                      <a:avLst/>
                    </a:prstGeom>
                  </pic:spPr>
                </pic:pic>
              </a:graphicData>
            </a:graphic>
          </wp:anchor>
        </w:drawing>
      </w:r>
      <w:r>
        <w:t>Use of many teeth against fewer teeth</w:t>
      </w:r>
    </w:p>
    <w:p w14:paraId="219A2DA5" w14:textId="2BBB1376" w:rsidR="00FA50F9" w:rsidRDefault="00FA50F9" w:rsidP="00FA50F9">
      <w:pPr>
        <w:pStyle w:val="ListParagraph"/>
        <w:numPr>
          <w:ilvl w:val="0"/>
          <w:numId w:val="13"/>
        </w:numPr>
      </w:pPr>
      <w:r>
        <w:t xml:space="preserve">Distalization of canines against six posterior teeth. Despite the larger number of teeth in the anchorage unit this set-up frequently leads to </w:t>
      </w:r>
      <w:r w:rsidRPr="00FA50F9">
        <w:rPr>
          <w:u w:val="single" w:color="E25247" w:themeColor="accent6"/>
        </w:rPr>
        <w:t>anchorage loss</w:t>
      </w:r>
      <w:r>
        <w:t>.</w:t>
      </w:r>
      <w:r w:rsidRPr="00FA50F9">
        <w:rPr>
          <w:noProof/>
        </w:rPr>
        <w:t xml:space="preserve"> </w:t>
      </w:r>
    </w:p>
    <w:p w14:paraId="0BCE8FE9" w14:textId="6DA72827" w:rsidR="00FA50F9" w:rsidRDefault="00FA50F9" w:rsidP="00FA50F9">
      <w:pPr>
        <w:pStyle w:val="Heading2"/>
        <w:numPr>
          <w:ilvl w:val="0"/>
          <w:numId w:val="14"/>
        </w:numPr>
      </w:pPr>
      <w:r w:rsidRPr="00FA50F9">
        <w:drawing>
          <wp:anchor distT="0" distB="0" distL="114300" distR="114300" simplePos="0" relativeHeight="251660288" behindDoc="0" locked="0" layoutInCell="1" allowOverlap="1" wp14:anchorId="00DE3798" wp14:editId="11D05C0B">
            <wp:simplePos x="0" y="0"/>
            <wp:positionH relativeFrom="margin">
              <wp:posOffset>5293217</wp:posOffset>
            </wp:positionH>
            <wp:positionV relativeFrom="page">
              <wp:posOffset>1590541</wp:posOffset>
            </wp:positionV>
            <wp:extent cx="642620" cy="46164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2620" cy="461645"/>
                    </a:xfrm>
                    <a:prstGeom prst="rect">
                      <a:avLst/>
                    </a:prstGeom>
                  </pic:spPr>
                </pic:pic>
              </a:graphicData>
            </a:graphic>
          </wp:anchor>
        </w:drawing>
      </w:r>
      <w:r>
        <w:t xml:space="preserve">Use of </w:t>
      </w:r>
      <w:r>
        <w:t>Rigid Wires</w:t>
      </w:r>
    </w:p>
    <w:p w14:paraId="274D7E36" w14:textId="694E3BEE" w:rsidR="00FA50F9" w:rsidRDefault="00FA50F9" w:rsidP="00FA50F9">
      <w:pPr>
        <w:pStyle w:val="ListParagraph"/>
        <w:numPr>
          <w:ilvl w:val="0"/>
          <w:numId w:val="13"/>
        </w:numPr>
      </w:pPr>
      <w:r>
        <w:t>Transpalatal arches</w:t>
      </w:r>
    </w:p>
    <w:p w14:paraId="36AD5535" w14:textId="2C6C392A" w:rsidR="00FA50F9" w:rsidRDefault="00FA50F9" w:rsidP="00FA50F9">
      <w:pPr>
        <w:pStyle w:val="ListParagraph"/>
        <w:numPr>
          <w:ilvl w:val="0"/>
          <w:numId w:val="13"/>
        </w:numPr>
      </w:pPr>
      <w:r>
        <w:t>Lower lingual arches</w:t>
      </w:r>
    </w:p>
    <w:p w14:paraId="5F82668E" w14:textId="7FCFFDF7" w:rsidR="00FA50F9" w:rsidRDefault="00FA50F9" w:rsidP="00FA50F9">
      <w:pPr>
        <w:pStyle w:val="ListParagraph"/>
        <w:numPr>
          <w:ilvl w:val="0"/>
          <w:numId w:val="13"/>
        </w:numPr>
      </w:pPr>
      <w:r>
        <w:t>Cast structures</w:t>
      </w:r>
    </w:p>
    <w:p w14:paraId="3AD7A095" w14:textId="627E3E2B" w:rsidR="00FA50F9" w:rsidRDefault="00FA50F9" w:rsidP="00FA50F9">
      <w:pPr>
        <w:pStyle w:val="ListParagraph"/>
        <w:numPr>
          <w:ilvl w:val="0"/>
          <w:numId w:val="13"/>
        </w:numPr>
      </w:pPr>
      <w:r>
        <w:t>Stiff stainless-steel wires – to keep the teeth of the anchorage unit together</w:t>
      </w:r>
    </w:p>
    <w:p w14:paraId="7F7AF213" w14:textId="126B6BD5" w:rsidR="00FA50F9" w:rsidRDefault="00BB5735" w:rsidP="00FA50F9">
      <w:pPr>
        <w:pStyle w:val="Heading2"/>
        <w:numPr>
          <w:ilvl w:val="0"/>
          <w:numId w:val="14"/>
        </w:numPr>
      </w:pPr>
      <w:r w:rsidRPr="00BB5735">
        <w:drawing>
          <wp:anchor distT="0" distB="0" distL="114300" distR="114300" simplePos="0" relativeHeight="251664384" behindDoc="0" locked="0" layoutInCell="1" allowOverlap="1" wp14:anchorId="3042D88C" wp14:editId="0B5500A0">
            <wp:simplePos x="0" y="0"/>
            <wp:positionH relativeFrom="margin">
              <wp:posOffset>4623084</wp:posOffset>
            </wp:positionH>
            <wp:positionV relativeFrom="page">
              <wp:posOffset>3310230</wp:posOffset>
            </wp:positionV>
            <wp:extent cx="638810" cy="435610"/>
            <wp:effectExtent l="0" t="0" r="889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810" cy="435610"/>
                    </a:xfrm>
                    <a:prstGeom prst="rect">
                      <a:avLst/>
                    </a:prstGeom>
                  </pic:spPr>
                </pic:pic>
              </a:graphicData>
            </a:graphic>
            <wp14:sizeRelH relativeFrom="margin">
              <wp14:pctWidth>0</wp14:pctWidth>
            </wp14:sizeRelH>
            <wp14:sizeRelV relativeFrom="margin">
              <wp14:pctHeight>0</wp14:pctHeight>
            </wp14:sizeRelV>
          </wp:anchor>
        </w:drawing>
      </w:r>
      <w:r w:rsidRPr="00BB5735">
        <w:drawing>
          <wp:anchor distT="0" distB="0" distL="114300" distR="114300" simplePos="0" relativeHeight="251663360" behindDoc="0" locked="0" layoutInCell="1" allowOverlap="1" wp14:anchorId="14E76538" wp14:editId="541A997F">
            <wp:simplePos x="0" y="0"/>
            <wp:positionH relativeFrom="margin">
              <wp:posOffset>5312715</wp:posOffset>
            </wp:positionH>
            <wp:positionV relativeFrom="page">
              <wp:posOffset>3310230</wp:posOffset>
            </wp:positionV>
            <wp:extent cx="619125" cy="435610"/>
            <wp:effectExtent l="0" t="0" r="952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125" cy="435610"/>
                    </a:xfrm>
                    <a:prstGeom prst="rect">
                      <a:avLst/>
                    </a:prstGeom>
                  </pic:spPr>
                </pic:pic>
              </a:graphicData>
            </a:graphic>
            <wp14:sizeRelH relativeFrom="margin">
              <wp14:pctWidth>0</wp14:pctWidth>
            </wp14:sizeRelH>
            <wp14:sizeRelV relativeFrom="margin">
              <wp14:pctHeight>0</wp14:pctHeight>
            </wp14:sizeRelV>
          </wp:anchor>
        </w:drawing>
      </w:r>
      <w:r w:rsidR="00FA50F9" w:rsidRPr="00FA50F9">
        <w:drawing>
          <wp:anchor distT="0" distB="0" distL="114300" distR="114300" simplePos="0" relativeHeight="251662336" behindDoc="0" locked="0" layoutInCell="1" allowOverlap="1" wp14:anchorId="33DE66C0" wp14:editId="777B9178">
            <wp:simplePos x="0" y="0"/>
            <wp:positionH relativeFrom="margin">
              <wp:posOffset>5293217</wp:posOffset>
            </wp:positionH>
            <wp:positionV relativeFrom="page">
              <wp:posOffset>1590541</wp:posOffset>
            </wp:positionV>
            <wp:extent cx="642620" cy="46164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2620" cy="461645"/>
                    </a:xfrm>
                    <a:prstGeom prst="rect">
                      <a:avLst/>
                    </a:prstGeom>
                  </pic:spPr>
                </pic:pic>
              </a:graphicData>
            </a:graphic>
          </wp:anchor>
        </w:drawing>
      </w:r>
      <w:r w:rsidR="00FA50F9">
        <w:t xml:space="preserve">Use of </w:t>
      </w:r>
      <w:r w:rsidR="00FA50F9">
        <w:t>Metallic Implants</w:t>
      </w:r>
    </w:p>
    <w:p w14:paraId="75EB332E" w14:textId="3C397CB2" w:rsidR="00FA50F9" w:rsidRDefault="00FA50F9" w:rsidP="00FA50F9">
      <w:pPr>
        <w:pStyle w:val="ListParagraph"/>
        <w:numPr>
          <w:ilvl w:val="0"/>
          <w:numId w:val="13"/>
        </w:numPr>
      </w:pPr>
      <w:r>
        <w:t>Palatal Implants</w:t>
      </w:r>
    </w:p>
    <w:p w14:paraId="5281C675" w14:textId="459A53C4" w:rsidR="00FA50F9" w:rsidRDefault="00FA50F9" w:rsidP="00FA50F9">
      <w:pPr>
        <w:pStyle w:val="ListParagraph"/>
        <w:numPr>
          <w:ilvl w:val="0"/>
          <w:numId w:val="13"/>
        </w:numPr>
      </w:pPr>
      <w:r>
        <w:t xml:space="preserve">Temporary Anchorage Devices (TADs) / </w:t>
      </w:r>
      <w:proofErr w:type="gramStart"/>
      <w:r>
        <w:t>Mini-screws</w:t>
      </w:r>
      <w:proofErr w:type="gramEnd"/>
    </w:p>
    <w:p w14:paraId="64065896" w14:textId="5E1AAF34" w:rsidR="00BB5735" w:rsidRDefault="00BB5735" w:rsidP="00BB5735">
      <w:pPr>
        <w:pStyle w:val="Heading2"/>
        <w:numPr>
          <w:ilvl w:val="0"/>
          <w:numId w:val="14"/>
        </w:numPr>
      </w:pPr>
      <w:r w:rsidRPr="00FA50F9">
        <w:drawing>
          <wp:anchor distT="0" distB="0" distL="114300" distR="114300" simplePos="0" relativeHeight="251666432" behindDoc="0" locked="0" layoutInCell="1" allowOverlap="1" wp14:anchorId="17E53D39" wp14:editId="2D4E62C2">
            <wp:simplePos x="0" y="0"/>
            <wp:positionH relativeFrom="margin">
              <wp:posOffset>5293217</wp:posOffset>
            </wp:positionH>
            <wp:positionV relativeFrom="page">
              <wp:posOffset>1590541</wp:posOffset>
            </wp:positionV>
            <wp:extent cx="642620" cy="461645"/>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2620" cy="461645"/>
                    </a:xfrm>
                    <a:prstGeom prst="rect">
                      <a:avLst/>
                    </a:prstGeom>
                  </pic:spPr>
                </pic:pic>
              </a:graphicData>
            </a:graphic>
          </wp:anchor>
        </w:drawing>
      </w:r>
      <w:r>
        <w:t>Anchorage Preparation</w:t>
      </w:r>
    </w:p>
    <w:p w14:paraId="1C303982" w14:textId="3B2E88A2" w:rsidR="00BB5735" w:rsidRDefault="00BB5735" w:rsidP="00BB5735">
      <w:pPr>
        <w:pStyle w:val="ListParagraph"/>
        <w:numPr>
          <w:ilvl w:val="0"/>
          <w:numId w:val="13"/>
        </w:numPr>
      </w:pPr>
      <w:r w:rsidRPr="00BB5735">
        <w:drawing>
          <wp:anchor distT="0" distB="0" distL="114300" distR="114300" simplePos="0" relativeHeight="251668480" behindDoc="0" locked="0" layoutInCell="1" allowOverlap="1" wp14:anchorId="2F202487" wp14:editId="4440A0E1">
            <wp:simplePos x="0" y="0"/>
            <wp:positionH relativeFrom="margin">
              <wp:posOffset>5311775</wp:posOffset>
            </wp:positionH>
            <wp:positionV relativeFrom="paragraph">
              <wp:posOffset>95857</wp:posOffset>
            </wp:positionV>
            <wp:extent cx="631825" cy="4133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825" cy="413385"/>
                    </a:xfrm>
                    <a:prstGeom prst="rect">
                      <a:avLst/>
                    </a:prstGeom>
                  </pic:spPr>
                </pic:pic>
              </a:graphicData>
            </a:graphic>
            <wp14:sizeRelH relativeFrom="margin">
              <wp14:pctWidth>0</wp14:pctWidth>
            </wp14:sizeRelH>
            <wp14:sizeRelV relativeFrom="margin">
              <wp14:pctHeight>0</wp14:pctHeight>
            </wp14:sizeRelV>
          </wp:anchor>
        </w:drawing>
      </w:r>
      <w:r w:rsidRPr="00BB5735">
        <w:drawing>
          <wp:anchor distT="0" distB="0" distL="114300" distR="114300" simplePos="0" relativeHeight="251667456" behindDoc="0" locked="0" layoutInCell="1" allowOverlap="1" wp14:anchorId="096ACE97" wp14:editId="1DAA2C31">
            <wp:simplePos x="0" y="0"/>
            <wp:positionH relativeFrom="column">
              <wp:posOffset>4628192</wp:posOffset>
            </wp:positionH>
            <wp:positionV relativeFrom="page">
              <wp:posOffset>4219522</wp:posOffset>
            </wp:positionV>
            <wp:extent cx="635635" cy="419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635" cy="419100"/>
                    </a:xfrm>
                    <a:prstGeom prst="rect">
                      <a:avLst/>
                    </a:prstGeom>
                  </pic:spPr>
                </pic:pic>
              </a:graphicData>
            </a:graphic>
            <wp14:sizeRelH relativeFrom="margin">
              <wp14:pctWidth>0</wp14:pctWidth>
            </wp14:sizeRelH>
            <wp14:sizeRelV relativeFrom="margin">
              <wp14:pctHeight>0</wp14:pctHeight>
            </wp14:sizeRelV>
          </wp:anchor>
        </w:drawing>
      </w:r>
      <w:r>
        <w:t xml:space="preserve">Anchorage preparation by </w:t>
      </w:r>
      <w:r>
        <w:rPr>
          <w:b/>
          <w:bCs/>
        </w:rPr>
        <w:t>distal tipping of molars</w:t>
      </w:r>
      <w:r>
        <w:t xml:space="preserve"> so the force will be more perpendicular to the roots when Class II traction is used. The force systems are generated during anchorage preparation which will result in tooth movement. </w:t>
      </w:r>
    </w:p>
    <w:p w14:paraId="5A852AED" w14:textId="6C75499B" w:rsidR="00BB5735" w:rsidRDefault="00BB5735" w:rsidP="00BB5735">
      <w:pPr>
        <w:pStyle w:val="Heading2"/>
        <w:numPr>
          <w:ilvl w:val="0"/>
          <w:numId w:val="14"/>
        </w:numPr>
      </w:pPr>
      <w:r w:rsidRPr="00FA50F9">
        <w:drawing>
          <wp:anchor distT="0" distB="0" distL="114300" distR="114300" simplePos="0" relativeHeight="251670528" behindDoc="0" locked="0" layoutInCell="1" allowOverlap="1" wp14:anchorId="66CC560F" wp14:editId="0707E667">
            <wp:simplePos x="0" y="0"/>
            <wp:positionH relativeFrom="margin">
              <wp:posOffset>5293217</wp:posOffset>
            </wp:positionH>
            <wp:positionV relativeFrom="page">
              <wp:posOffset>1590541</wp:posOffset>
            </wp:positionV>
            <wp:extent cx="642620" cy="461645"/>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2620" cy="461645"/>
                    </a:xfrm>
                    <a:prstGeom prst="rect">
                      <a:avLst/>
                    </a:prstGeom>
                  </pic:spPr>
                </pic:pic>
              </a:graphicData>
            </a:graphic>
          </wp:anchor>
        </w:drawing>
      </w:r>
      <w:r>
        <w:t>Cortical Anchorage</w:t>
      </w:r>
      <w:r w:rsidR="001A5DAF">
        <w:t xml:space="preserve"> (Ricketts)</w:t>
      </w:r>
    </w:p>
    <w:p w14:paraId="1F496F69" w14:textId="21C9A9F5" w:rsidR="00BB5735" w:rsidRDefault="00BB5735" w:rsidP="00BB5735">
      <w:pPr>
        <w:pStyle w:val="ListParagraph"/>
        <w:numPr>
          <w:ilvl w:val="0"/>
          <w:numId w:val="13"/>
        </w:numPr>
      </w:pPr>
      <w:r>
        <w:t xml:space="preserve">The difference in bone turnover between </w:t>
      </w:r>
      <w:r>
        <w:rPr>
          <w:b/>
          <w:bCs/>
        </w:rPr>
        <w:t xml:space="preserve">cortical </w:t>
      </w:r>
      <w:r>
        <w:t xml:space="preserve">and </w:t>
      </w:r>
      <w:r>
        <w:rPr>
          <w:b/>
          <w:bCs/>
        </w:rPr>
        <w:t>trabecular bone</w:t>
      </w:r>
      <w:r>
        <w:t>.</w:t>
      </w:r>
    </w:p>
    <w:p w14:paraId="2B90A9F2" w14:textId="14F00D7E" w:rsidR="00BB5735" w:rsidRDefault="00BB5735" w:rsidP="00BB5735">
      <w:pPr>
        <w:pStyle w:val="ListParagraph"/>
        <w:numPr>
          <w:ilvl w:val="0"/>
          <w:numId w:val="13"/>
        </w:numPr>
      </w:pPr>
      <w:r>
        <w:t>The theory is based on the observation that when roots of molars are moved against or into buccal</w:t>
      </w:r>
      <w:r w:rsidR="00FB4CAA">
        <w:t xml:space="preserve"> cortex before serving as anchorage, their anchorage potential increases due to the greater resistance of cortical bone. </w:t>
      </w:r>
    </w:p>
    <w:p w14:paraId="1A8CDC8B" w14:textId="1E5BF860" w:rsidR="00FB4CAA" w:rsidRDefault="00FB4CAA" w:rsidP="00BB5735">
      <w:pPr>
        <w:pStyle w:val="ListParagraph"/>
        <w:numPr>
          <w:ilvl w:val="0"/>
          <w:numId w:val="13"/>
        </w:numPr>
      </w:pPr>
      <w:r>
        <w:t xml:space="preserve">However, there is </w:t>
      </w:r>
      <w:r>
        <w:rPr>
          <w:b/>
          <w:bCs/>
        </w:rPr>
        <w:t>no evidence that root cannot move through cortical bone</w:t>
      </w:r>
      <w:r>
        <w:t xml:space="preserve"> as alveolar bone dehiscence and fenestrations with root surface exposures have clearly demonstrates the opposite in an animal model.</w:t>
      </w:r>
    </w:p>
    <w:p w14:paraId="4E02644E" w14:textId="684CCAAB" w:rsidR="001A5DAF" w:rsidRDefault="001A5DAF" w:rsidP="001A5DAF">
      <w:pPr>
        <w:pStyle w:val="Heading2"/>
        <w:numPr>
          <w:ilvl w:val="0"/>
          <w:numId w:val="14"/>
        </w:numPr>
      </w:pPr>
      <w:r w:rsidRPr="00FA50F9">
        <w:drawing>
          <wp:anchor distT="0" distB="0" distL="114300" distR="114300" simplePos="0" relativeHeight="251672576" behindDoc="0" locked="0" layoutInCell="1" allowOverlap="1" wp14:anchorId="39FCD5B0" wp14:editId="7C965B1E">
            <wp:simplePos x="0" y="0"/>
            <wp:positionH relativeFrom="margin">
              <wp:posOffset>5293217</wp:posOffset>
            </wp:positionH>
            <wp:positionV relativeFrom="page">
              <wp:posOffset>1590541</wp:posOffset>
            </wp:positionV>
            <wp:extent cx="642620" cy="461645"/>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2620" cy="461645"/>
                    </a:xfrm>
                    <a:prstGeom prst="rect">
                      <a:avLst/>
                    </a:prstGeom>
                  </pic:spPr>
                </pic:pic>
              </a:graphicData>
            </a:graphic>
          </wp:anchor>
        </w:drawing>
      </w:r>
      <w:r>
        <w:t>Differential Anchorage (</w:t>
      </w:r>
      <w:proofErr w:type="spellStart"/>
      <w:r>
        <w:t>Burstone</w:t>
      </w:r>
      <w:proofErr w:type="spellEnd"/>
      <w:r>
        <w:t>)</w:t>
      </w:r>
    </w:p>
    <w:p w14:paraId="64587C46" w14:textId="38E9A688" w:rsidR="001A5DAF" w:rsidRDefault="00CC16FA" w:rsidP="001A5DAF">
      <w:pPr>
        <w:pStyle w:val="ListParagraph"/>
        <w:numPr>
          <w:ilvl w:val="0"/>
          <w:numId w:val="13"/>
        </w:numPr>
      </w:pPr>
      <w:r w:rsidRPr="00CC16FA">
        <w:drawing>
          <wp:anchor distT="0" distB="0" distL="114300" distR="114300" simplePos="0" relativeHeight="251673600" behindDoc="0" locked="0" layoutInCell="1" allowOverlap="1" wp14:anchorId="3AB40F6D" wp14:editId="6C888AE7">
            <wp:simplePos x="0" y="0"/>
            <wp:positionH relativeFrom="margin">
              <wp:align>right</wp:align>
            </wp:positionH>
            <wp:positionV relativeFrom="paragraph">
              <wp:posOffset>5715</wp:posOffset>
            </wp:positionV>
            <wp:extent cx="990600" cy="4387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0600" cy="438785"/>
                    </a:xfrm>
                    <a:prstGeom prst="rect">
                      <a:avLst/>
                    </a:prstGeom>
                  </pic:spPr>
                </pic:pic>
              </a:graphicData>
            </a:graphic>
            <wp14:sizeRelH relativeFrom="margin">
              <wp14:pctWidth>0</wp14:pctWidth>
            </wp14:sizeRelH>
            <wp14:sizeRelV relativeFrom="margin">
              <wp14:pctHeight>0</wp14:pctHeight>
            </wp14:sizeRelV>
          </wp:anchor>
        </w:drawing>
      </w:r>
      <w:proofErr w:type="gramStart"/>
      <w:r>
        <w:t>B</w:t>
      </w:r>
      <w:r w:rsidR="001A5DAF">
        <w:t>ased on the fact that</w:t>
      </w:r>
      <w:proofErr w:type="gramEnd"/>
      <w:r w:rsidR="001A5DAF">
        <w:t xml:space="preserve"> </w:t>
      </w:r>
      <w:r w:rsidR="001A5DAF">
        <w:rPr>
          <w:b/>
          <w:bCs/>
        </w:rPr>
        <w:t xml:space="preserve">tipping is an easier tooth movement to achieve than translation </w:t>
      </w:r>
      <w:r w:rsidR="001A5DAF">
        <w:t xml:space="preserve">(bodily movement) and that the </w:t>
      </w:r>
      <w:r w:rsidR="001A5DAF">
        <w:rPr>
          <w:b/>
          <w:bCs/>
        </w:rPr>
        <w:t>moment</w:t>
      </w:r>
      <w:r w:rsidR="002B34E0">
        <w:rPr>
          <w:b/>
          <w:bCs/>
        </w:rPr>
        <w:t xml:space="preserve">-to-force ratio </w:t>
      </w:r>
      <w:r w:rsidR="002B34E0">
        <w:t xml:space="preserve">delivered to the bracket </w:t>
      </w:r>
      <w:r>
        <w:t>determined the type of tooth movement.</w:t>
      </w:r>
    </w:p>
    <w:p w14:paraId="1D563232" w14:textId="76A6906F" w:rsidR="00CC16FA" w:rsidRDefault="00CC16FA" w:rsidP="00CC16FA">
      <w:pPr>
        <w:pStyle w:val="ListParagraph"/>
        <w:numPr>
          <w:ilvl w:val="1"/>
          <w:numId w:val="13"/>
        </w:numPr>
      </w:pPr>
      <w:r w:rsidRPr="00CC16FA">
        <w:drawing>
          <wp:anchor distT="0" distB="0" distL="114300" distR="114300" simplePos="0" relativeHeight="251674624" behindDoc="0" locked="0" layoutInCell="1" allowOverlap="1" wp14:anchorId="19E12B51" wp14:editId="6EFFFB24">
            <wp:simplePos x="0" y="0"/>
            <wp:positionH relativeFrom="margin">
              <wp:align>right</wp:align>
            </wp:positionH>
            <wp:positionV relativeFrom="paragraph">
              <wp:posOffset>173990</wp:posOffset>
            </wp:positionV>
            <wp:extent cx="1025525" cy="438785"/>
            <wp:effectExtent l="0" t="0" r="317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25525" cy="438785"/>
                    </a:xfrm>
                    <a:prstGeom prst="rect">
                      <a:avLst/>
                    </a:prstGeom>
                  </pic:spPr>
                </pic:pic>
              </a:graphicData>
            </a:graphic>
            <wp14:sizeRelH relativeFrom="margin">
              <wp14:pctWidth>0</wp14:pctWidth>
            </wp14:sizeRelH>
            <wp14:sizeRelV relativeFrom="margin">
              <wp14:pctHeight>0</wp14:pctHeight>
            </wp14:sizeRelV>
          </wp:anchor>
        </w:drawing>
      </w:r>
      <w:r>
        <w:rPr>
          <w:b/>
          <w:bCs/>
        </w:rPr>
        <w:t>Type A Anchorage</w:t>
      </w:r>
      <w:r>
        <w:t>: space closure will start with controlled tipping, intrusion of anterior unit and translation and extrusion of posterior anchorage unit.</w:t>
      </w:r>
    </w:p>
    <w:p w14:paraId="5E464F74" w14:textId="6FC65926" w:rsidR="00CC16FA" w:rsidRDefault="00CC16FA" w:rsidP="00CC16FA">
      <w:pPr>
        <w:pStyle w:val="ListParagraph"/>
        <w:numPr>
          <w:ilvl w:val="1"/>
          <w:numId w:val="13"/>
        </w:numPr>
      </w:pPr>
      <w:r>
        <w:rPr>
          <w:b/>
          <w:bCs/>
        </w:rPr>
        <w:t>Type C Anchorage</w:t>
      </w:r>
      <w:r w:rsidRPr="00CC16FA">
        <w:t>:</w:t>
      </w:r>
      <w:r>
        <w:t xml:space="preserve"> line of action of force will generate translation, extrusion of the anterior until and tipping and intrusion of posterior unit.</w:t>
      </w:r>
    </w:p>
    <w:p w14:paraId="7CFA99D0" w14:textId="1C0C57A4" w:rsidR="00CC16FA" w:rsidRDefault="00CC16FA" w:rsidP="00CC16FA">
      <w:pPr>
        <w:pStyle w:val="ListParagraph"/>
        <w:numPr>
          <w:ilvl w:val="0"/>
          <w:numId w:val="13"/>
        </w:numPr>
      </w:pPr>
      <w:r>
        <w:rPr>
          <w:u w:val="single"/>
        </w:rPr>
        <w:t>Side effect of differential anchorage</w:t>
      </w:r>
      <w:r>
        <w:t xml:space="preserve">: distal tipping of the posterior unit and thus </w:t>
      </w:r>
      <w:r>
        <w:rPr>
          <w:b/>
          <w:bCs/>
        </w:rPr>
        <w:t>two occlusal planes</w:t>
      </w:r>
      <w:r>
        <w:t xml:space="preserve"> which can be avoided by keeping moment to anchorage unit below the level where posterior tipping moments are generated.</w:t>
      </w:r>
    </w:p>
    <w:p w14:paraId="208AEFD8" w14:textId="19611426" w:rsidR="00CC16FA" w:rsidRDefault="00CC16FA" w:rsidP="00CC16FA"/>
    <w:p w14:paraId="3C4EBDD0" w14:textId="77777777" w:rsidR="00CC16FA" w:rsidRDefault="00CC16FA" w:rsidP="00CC16FA"/>
    <w:p w14:paraId="6D0F9E0C" w14:textId="752A0BF5" w:rsidR="00CC16FA" w:rsidRDefault="00CC16FA" w:rsidP="00CC16FA">
      <w:pPr>
        <w:pStyle w:val="Heading2"/>
        <w:numPr>
          <w:ilvl w:val="0"/>
          <w:numId w:val="14"/>
        </w:numPr>
      </w:pPr>
      <w:r>
        <w:t>Free Anchorage</w:t>
      </w:r>
    </w:p>
    <w:p w14:paraId="63867068" w14:textId="4D74F932" w:rsidR="00CC16FA" w:rsidRPr="007B2879" w:rsidRDefault="007B2879" w:rsidP="007B2879">
      <w:pPr>
        <w:pStyle w:val="ListParagraph"/>
        <w:numPr>
          <w:ilvl w:val="0"/>
          <w:numId w:val="13"/>
        </w:numPr>
      </w:pPr>
      <w:r>
        <w:t xml:space="preserve">Indicates that no “price” must be paid in terms of undesirable force on teeth belonging to anchorage unit. The principle is that </w:t>
      </w:r>
      <w:r>
        <w:rPr>
          <w:b/>
          <w:bCs/>
        </w:rPr>
        <w:t xml:space="preserve">reactive forces are transferred to teeth which are </w:t>
      </w:r>
      <w:r>
        <w:rPr>
          <w:b/>
          <w:bCs/>
          <w:u w:val="single"/>
        </w:rPr>
        <w:t>to be extracted</w:t>
      </w:r>
      <w:r>
        <w:rPr>
          <w:b/>
          <w:bCs/>
        </w:rPr>
        <w:t xml:space="preserve">. </w:t>
      </w:r>
    </w:p>
    <w:p w14:paraId="1B88C942" w14:textId="50D32524" w:rsidR="007B2879" w:rsidRDefault="007B2879" w:rsidP="007B2879">
      <w:pPr>
        <w:pStyle w:val="ListParagraph"/>
        <w:numPr>
          <w:ilvl w:val="0"/>
          <w:numId w:val="13"/>
        </w:numPr>
      </w:pPr>
      <w:r>
        <w:t>Ankylosed teeth and 3</w:t>
      </w:r>
      <w:r w:rsidRPr="007B2879">
        <w:rPr>
          <w:vertAlign w:val="superscript"/>
        </w:rPr>
        <w:t>rd</w:t>
      </w:r>
      <w:r>
        <w:t xml:space="preserve"> Molars can also be used to provide free anchorage</w:t>
      </w:r>
    </w:p>
    <w:p w14:paraId="4F44C353" w14:textId="678C8E32" w:rsidR="009B57BE" w:rsidRDefault="009B57BE" w:rsidP="009B57BE"/>
    <w:p w14:paraId="163813C5" w14:textId="7C928AE0" w:rsidR="009B57BE" w:rsidRDefault="009B57BE" w:rsidP="009B57BE">
      <w:pPr>
        <w:pStyle w:val="Heading1"/>
      </w:pPr>
      <w:r>
        <w:t>Methods of Anchorage</w:t>
      </w:r>
    </w:p>
    <w:p w14:paraId="1CE6BFF1" w14:textId="76B2588A" w:rsidR="009B57BE" w:rsidRDefault="009B57BE" w:rsidP="009B57BE"/>
    <w:p w14:paraId="32FB970D" w14:textId="1246F9CE" w:rsidR="009B57BE" w:rsidRPr="009B57BE" w:rsidRDefault="009B57BE" w:rsidP="009B57BE">
      <w:pPr>
        <w:pStyle w:val="Heading2"/>
        <w:numPr>
          <w:ilvl w:val="0"/>
          <w:numId w:val="15"/>
        </w:numPr>
      </w:pPr>
      <w:r>
        <w:t>Intermaxillary Anchorage</w:t>
      </w:r>
    </w:p>
    <w:p w14:paraId="544D3154" w14:textId="64BE2834" w:rsidR="009B57BE" w:rsidRDefault="009B57BE" w:rsidP="009B57BE">
      <w:pPr>
        <w:pStyle w:val="ListParagraph"/>
        <w:numPr>
          <w:ilvl w:val="0"/>
          <w:numId w:val="13"/>
        </w:numPr>
      </w:pPr>
      <w:r>
        <w:t>Class II elastics</w:t>
      </w:r>
    </w:p>
    <w:p w14:paraId="6E1944A1" w14:textId="5EB3CF4F" w:rsidR="009B57BE" w:rsidRDefault="009B57BE" w:rsidP="009B57BE">
      <w:pPr>
        <w:pStyle w:val="ListParagraph"/>
        <w:numPr>
          <w:ilvl w:val="0"/>
          <w:numId w:val="13"/>
        </w:numPr>
      </w:pPr>
      <w:r>
        <w:t>Class III elastics</w:t>
      </w:r>
    </w:p>
    <w:p w14:paraId="33250170" w14:textId="5743CE7D" w:rsidR="009B57BE" w:rsidRDefault="009B57BE" w:rsidP="009B57BE">
      <w:pPr>
        <w:pStyle w:val="ListParagraph"/>
        <w:numPr>
          <w:ilvl w:val="0"/>
          <w:numId w:val="13"/>
        </w:numPr>
      </w:pPr>
      <w:r>
        <w:t>Different types of bite-jumping appliances (Herbst Appliance, Bite correctors – transfer forces from one arch to the other)</w:t>
      </w:r>
    </w:p>
    <w:p w14:paraId="5F5571EB" w14:textId="3D07FE4E" w:rsidR="009B57BE" w:rsidRDefault="009B57BE" w:rsidP="009B57BE">
      <w:pPr>
        <w:pStyle w:val="ListParagraph"/>
        <w:numPr>
          <w:ilvl w:val="0"/>
          <w:numId w:val="13"/>
        </w:numPr>
      </w:pPr>
      <w:r>
        <w:t>Occlusion itself is also a type of intermaxillary anchorage</w:t>
      </w:r>
    </w:p>
    <w:p w14:paraId="4E5361E9" w14:textId="77777777" w:rsidR="009B57BE" w:rsidRDefault="009B57BE" w:rsidP="009B57BE">
      <w:pPr>
        <w:pStyle w:val="ListParagraph"/>
        <w:numPr>
          <w:ilvl w:val="0"/>
          <w:numId w:val="13"/>
        </w:numPr>
      </w:pPr>
      <w:r>
        <w:rPr>
          <w:u w:val="single"/>
        </w:rPr>
        <w:t>Side Effects</w:t>
      </w:r>
      <w:r>
        <w:t xml:space="preserve">: </w:t>
      </w:r>
    </w:p>
    <w:p w14:paraId="44F2E0F7" w14:textId="77777777" w:rsidR="009B57BE" w:rsidRDefault="009B57BE" w:rsidP="009B57BE">
      <w:pPr>
        <w:pStyle w:val="ListParagraph"/>
        <w:numPr>
          <w:ilvl w:val="1"/>
          <w:numId w:val="13"/>
        </w:numPr>
      </w:pPr>
      <w:r>
        <w:t>Extrusion and changes to the inclination of the occlusal plane</w:t>
      </w:r>
    </w:p>
    <w:p w14:paraId="76B3C5FB" w14:textId="6AD5376E" w:rsidR="009B57BE" w:rsidRDefault="009B57BE" w:rsidP="009B57BE">
      <w:pPr>
        <w:pStyle w:val="ListParagraph"/>
        <w:numPr>
          <w:ilvl w:val="1"/>
          <w:numId w:val="13"/>
        </w:numPr>
      </w:pPr>
      <w:r>
        <w:t>Intermittent nature of the forces</w:t>
      </w:r>
    </w:p>
    <w:p w14:paraId="10BC6389" w14:textId="421B7974" w:rsidR="009B57BE" w:rsidRDefault="009B57BE" w:rsidP="009B57BE">
      <w:pPr>
        <w:pStyle w:val="ListParagraph"/>
        <w:numPr>
          <w:ilvl w:val="1"/>
          <w:numId w:val="13"/>
        </w:numPr>
      </w:pPr>
      <w:r>
        <w:t>Dependence on patient’s compliance</w:t>
      </w:r>
    </w:p>
    <w:p w14:paraId="330F3268" w14:textId="0E46D383" w:rsidR="009B57BE" w:rsidRDefault="009B57BE" w:rsidP="009B57BE">
      <w:pPr>
        <w:pStyle w:val="ListParagraph"/>
        <w:numPr>
          <w:ilvl w:val="1"/>
          <w:numId w:val="13"/>
        </w:numPr>
      </w:pPr>
      <w:r>
        <w:t>Unavoidable changes in the inclination of the incisors.</w:t>
      </w:r>
    </w:p>
    <w:p w14:paraId="6FF98B20" w14:textId="61C4061C" w:rsidR="009B57BE" w:rsidRDefault="009B57BE" w:rsidP="009B57BE">
      <w:pPr>
        <w:pStyle w:val="Heading2"/>
        <w:numPr>
          <w:ilvl w:val="0"/>
          <w:numId w:val="15"/>
        </w:numPr>
      </w:pPr>
      <w:r>
        <w:t>Extraoral Anchorage</w:t>
      </w:r>
    </w:p>
    <w:p w14:paraId="260C92D1" w14:textId="4E2CFF10" w:rsidR="009B57BE" w:rsidRDefault="009B57BE" w:rsidP="009B57BE">
      <w:pPr>
        <w:pStyle w:val="ListParagraph"/>
        <w:numPr>
          <w:ilvl w:val="0"/>
          <w:numId w:val="13"/>
        </w:numPr>
      </w:pPr>
      <w:r>
        <w:t xml:space="preserve">Reactive forces transferred to the head, </w:t>
      </w:r>
      <w:proofErr w:type="gramStart"/>
      <w:r>
        <w:t>neck</w:t>
      </w:r>
      <w:proofErr w:type="gramEnd"/>
      <w:r>
        <w:t xml:space="preserve"> or both at the same time or to the chin.</w:t>
      </w:r>
    </w:p>
    <w:p w14:paraId="0C708B08" w14:textId="325091E9" w:rsidR="009B57BE" w:rsidRDefault="009B57BE" w:rsidP="009B57BE">
      <w:pPr>
        <w:pStyle w:val="Heading1"/>
      </w:pPr>
      <w:r>
        <w:t>Factors Affecting Anchorage</w:t>
      </w:r>
    </w:p>
    <w:p w14:paraId="57FA59BB" w14:textId="7F7652BC" w:rsidR="009B57BE" w:rsidRDefault="009B57BE" w:rsidP="009B57BE">
      <w:pPr>
        <w:pStyle w:val="ListParagraph"/>
        <w:numPr>
          <w:ilvl w:val="0"/>
          <w:numId w:val="13"/>
        </w:numPr>
      </w:pPr>
      <w:r>
        <w:t>Teeth</w:t>
      </w:r>
    </w:p>
    <w:p w14:paraId="7950E4AA" w14:textId="67B61B0D" w:rsidR="009B57BE" w:rsidRDefault="009B57BE" w:rsidP="009B57BE">
      <w:pPr>
        <w:pStyle w:val="ListParagraph"/>
        <w:numPr>
          <w:ilvl w:val="1"/>
          <w:numId w:val="13"/>
        </w:numPr>
      </w:pPr>
      <w:r>
        <w:t>Root form</w:t>
      </w:r>
    </w:p>
    <w:p w14:paraId="5038BFFA" w14:textId="3BCC1216" w:rsidR="009B57BE" w:rsidRDefault="009B57BE" w:rsidP="009B57BE">
      <w:pPr>
        <w:pStyle w:val="ListParagraph"/>
        <w:numPr>
          <w:ilvl w:val="1"/>
          <w:numId w:val="13"/>
        </w:numPr>
      </w:pPr>
      <w:r>
        <w:t>Root size</w:t>
      </w:r>
    </w:p>
    <w:p w14:paraId="1EDEB6BA" w14:textId="1964BF77" w:rsidR="009B57BE" w:rsidRDefault="009B57BE" w:rsidP="009B57BE">
      <w:pPr>
        <w:pStyle w:val="ListParagraph"/>
        <w:numPr>
          <w:ilvl w:val="1"/>
          <w:numId w:val="13"/>
        </w:numPr>
      </w:pPr>
      <w:r>
        <w:t>Number of roots</w:t>
      </w:r>
    </w:p>
    <w:p w14:paraId="4911FB5E" w14:textId="2FC26A28" w:rsidR="009B57BE" w:rsidRDefault="009B57BE" w:rsidP="009B57BE">
      <w:pPr>
        <w:pStyle w:val="ListParagraph"/>
        <w:numPr>
          <w:ilvl w:val="1"/>
          <w:numId w:val="13"/>
        </w:numPr>
      </w:pPr>
      <w:r>
        <w:t>Root length</w:t>
      </w:r>
    </w:p>
    <w:p w14:paraId="506F3B33" w14:textId="011B4D89" w:rsidR="009B57BE" w:rsidRDefault="009B57BE" w:rsidP="009B57BE">
      <w:pPr>
        <w:pStyle w:val="ListParagraph"/>
        <w:numPr>
          <w:ilvl w:val="1"/>
          <w:numId w:val="13"/>
        </w:numPr>
      </w:pPr>
      <w:r>
        <w:t>Root inclination</w:t>
      </w:r>
    </w:p>
    <w:p w14:paraId="31CF0557" w14:textId="1F4F8EBE" w:rsidR="009B57BE" w:rsidRDefault="009B57BE" w:rsidP="009B57BE">
      <w:pPr>
        <w:pStyle w:val="ListParagraph"/>
        <w:numPr>
          <w:ilvl w:val="0"/>
          <w:numId w:val="13"/>
        </w:numPr>
      </w:pPr>
      <w:r>
        <w:t>Alveolar Bone – Alveolar bone resist tooth movement up to its limit, beyond that it allows tooth movement by remodeling. Healthy alveolar bone = more anchorage.</w:t>
      </w:r>
    </w:p>
    <w:p w14:paraId="4A23C5DF" w14:textId="152FF6FB" w:rsidR="009B57BE" w:rsidRDefault="009B57BE" w:rsidP="009B57BE">
      <w:pPr>
        <w:pStyle w:val="ListParagraph"/>
        <w:numPr>
          <w:ilvl w:val="0"/>
          <w:numId w:val="13"/>
        </w:numPr>
      </w:pPr>
      <w:r>
        <w:t>Basal Bone – Certain areas act as resistance areas and provide good anchorage like:</w:t>
      </w:r>
    </w:p>
    <w:p w14:paraId="6C22AD9C" w14:textId="3BFCD4A2" w:rsidR="009B57BE" w:rsidRDefault="009B57BE" w:rsidP="009B57BE">
      <w:pPr>
        <w:pStyle w:val="ListParagraph"/>
        <w:numPr>
          <w:ilvl w:val="1"/>
          <w:numId w:val="13"/>
        </w:numPr>
      </w:pPr>
      <w:r>
        <w:t>Hard palate</w:t>
      </w:r>
    </w:p>
    <w:p w14:paraId="6D7631A7" w14:textId="726FADD9" w:rsidR="009B57BE" w:rsidRDefault="009B57BE" w:rsidP="009B57BE">
      <w:pPr>
        <w:pStyle w:val="ListParagraph"/>
        <w:numPr>
          <w:ilvl w:val="1"/>
          <w:numId w:val="13"/>
        </w:numPr>
      </w:pPr>
      <w:r>
        <w:t>Lingual Surface of Mandible</w:t>
      </w:r>
    </w:p>
    <w:p w14:paraId="38AA258F" w14:textId="27300D48" w:rsidR="009B57BE" w:rsidRDefault="009B57BE" w:rsidP="009B57BE">
      <w:r>
        <w:br w:type="page"/>
      </w:r>
    </w:p>
    <w:p w14:paraId="3F7AFF0F" w14:textId="797A3CD9" w:rsidR="009B57BE" w:rsidRDefault="009B57BE" w:rsidP="009B57BE">
      <w:pPr>
        <w:pStyle w:val="Heading1"/>
      </w:pPr>
      <w:r>
        <w:lastRenderedPageBreak/>
        <w:t>Planning Anchorage</w:t>
      </w:r>
    </w:p>
    <w:p w14:paraId="617D4BCA" w14:textId="1DE5ADD0" w:rsidR="009B57BE" w:rsidRDefault="009B57BE" w:rsidP="009B57BE">
      <w:pPr>
        <w:pStyle w:val="ListParagraph"/>
        <w:numPr>
          <w:ilvl w:val="0"/>
          <w:numId w:val="13"/>
        </w:numPr>
      </w:pPr>
      <w:r>
        <w:t>Number of teeth to be moved</w:t>
      </w:r>
    </w:p>
    <w:p w14:paraId="5E40BED2" w14:textId="2CA10385" w:rsidR="009B57BE" w:rsidRDefault="009B57BE" w:rsidP="009B57BE">
      <w:pPr>
        <w:pStyle w:val="ListParagraph"/>
        <w:numPr>
          <w:ilvl w:val="0"/>
          <w:numId w:val="13"/>
        </w:numPr>
      </w:pPr>
      <w:r>
        <w:t xml:space="preserve">Type of teeth to be moved </w:t>
      </w:r>
    </w:p>
    <w:p w14:paraId="3810DE68" w14:textId="76D2C5FD" w:rsidR="009B57BE" w:rsidRDefault="009B57BE" w:rsidP="009B57BE">
      <w:pPr>
        <w:pStyle w:val="ListParagraph"/>
        <w:numPr>
          <w:ilvl w:val="0"/>
          <w:numId w:val="13"/>
        </w:numPr>
      </w:pPr>
      <w:r>
        <w:t>Type of tooth movement required</w:t>
      </w:r>
    </w:p>
    <w:p w14:paraId="0F025F3E" w14:textId="37B2BF28" w:rsidR="009B57BE" w:rsidRDefault="009B57BE" w:rsidP="009B57BE">
      <w:pPr>
        <w:pStyle w:val="ListParagraph"/>
        <w:numPr>
          <w:ilvl w:val="0"/>
          <w:numId w:val="13"/>
        </w:numPr>
      </w:pPr>
      <w:r>
        <w:t>Periodontal condition</w:t>
      </w:r>
    </w:p>
    <w:p w14:paraId="5F5C3201" w14:textId="446FC731" w:rsidR="009B57BE" w:rsidRDefault="009B57BE" w:rsidP="009B57BE">
      <w:pPr>
        <w:pStyle w:val="ListParagraph"/>
        <w:numPr>
          <w:ilvl w:val="0"/>
          <w:numId w:val="13"/>
        </w:numPr>
      </w:pPr>
      <w:r>
        <w:t>Duration of tooth movement</w:t>
      </w:r>
    </w:p>
    <w:p w14:paraId="0F397081" w14:textId="6BC7DB3D" w:rsidR="009B57BE" w:rsidRDefault="009B57BE" w:rsidP="009B57BE"/>
    <w:p w14:paraId="6D329550" w14:textId="77CE3195" w:rsidR="009B57BE" w:rsidRDefault="009B57BE" w:rsidP="009B57BE">
      <w:pPr>
        <w:pStyle w:val="Heading1"/>
      </w:pPr>
      <w:r>
        <w:t>Summary – Methods of Reinforce Anchorage</w:t>
      </w:r>
    </w:p>
    <w:p w14:paraId="3C51132C" w14:textId="57A2DF9D" w:rsidR="009B57BE" w:rsidRDefault="009B57BE" w:rsidP="009B57BE">
      <w:pPr>
        <w:pStyle w:val="ListParagraph"/>
        <w:numPr>
          <w:ilvl w:val="0"/>
          <w:numId w:val="13"/>
        </w:numPr>
      </w:pPr>
      <w:r>
        <w:t>Incorporate as many teeth as possible in the anchor unit</w:t>
      </w:r>
    </w:p>
    <w:p w14:paraId="1E697256" w14:textId="70216026" w:rsidR="009B57BE" w:rsidRDefault="009B57BE" w:rsidP="009B57BE">
      <w:pPr>
        <w:pStyle w:val="ListParagraph"/>
        <w:numPr>
          <w:ilvl w:val="0"/>
          <w:numId w:val="13"/>
        </w:numPr>
      </w:pPr>
      <w:r>
        <w:t>Reduce number of teeth in moving unit</w:t>
      </w:r>
    </w:p>
    <w:p w14:paraId="4B72845F" w14:textId="290262DD" w:rsidR="009B57BE" w:rsidRDefault="009B57BE" w:rsidP="009B57BE">
      <w:pPr>
        <w:pStyle w:val="ListParagraph"/>
        <w:numPr>
          <w:ilvl w:val="0"/>
          <w:numId w:val="13"/>
        </w:numPr>
      </w:pPr>
      <w:r>
        <w:t xml:space="preserve">Use of anchorage bends in the </w:t>
      </w:r>
      <w:proofErr w:type="spellStart"/>
      <w:r>
        <w:t>archwire</w:t>
      </w:r>
      <w:proofErr w:type="spellEnd"/>
    </w:p>
    <w:p w14:paraId="5B9775F3" w14:textId="1E3AA2F8" w:rsidR="009B57BE" w:rsidRDefault="009B57BE" w:rsidP="009B57BE">
      <w:pPr>
        <w:pStyle w:val="ListParagraph"/>
        <w:numPr>
          <w:ilvl w:val="0"/>
          <w:numId w:val="13"/>
        </w:numPr>
      </w:pPr>
      <w:r>
        <w:t>Use an optimal force to produce the required tooth movement</w:t>
      </w:r>
    </w:p>
    <w:p w14:paraId="4A8AD5C4" w14:textId="28204318" w:rsidR="009B57BE" w:rsidRDefault="009B57BE" w:rsidP="009B57BE">
      <w:pPr>
        <w:pStyle w:val="ListParagraph"/>
        <w:numPr>
          <w:ilvl w:val="0"/>
          <w:numId w:val="13"/>
        </w:numPr>
      </w:pPr>
      <w:r>
        <w:t>Use of palatal or lingual arch</w:t>
      </w:r>
    </w:p>
    <w:p w14:paraId="78BAAF1B" w14:textId="39D9B0E6" w:rsidR="009B57BE" w:rsidRDefault="009B57BE" w:rsidP="009B57BE">
      <w:pPr>
        <w:pStyle w:val="ListParagraph"/>
        <w:numPr>
          <w:ilvl w:val="0"/>
          <w:numId w:val="13"/>
        </w:numPr>
      </w:pPr>
      <w:r>
        <w:t>Use of intra/inter maxillary elastics</w:t>
      </w:r>
    </w:p>
    <w:p w14:paraId="6F644669" w14:textId="498DFE92" w:rsidR="009B57BE" w:rsidRDefault="009B57BE" w:rsidP="009B57BE">
      <w:pPr>
        <w:pStyle w:val="ListParagraph"/>
        <w:numPr>
          <w:ilvl w:val="0"/>
          <w:numId w:val="13"/>
        </w:numPr>
      </w:pPr>
      <w:r>
        <w:t>Use of lip bumper – anchorage from musculature</w:t>
      </w:r>
    </w:p>
    <w:p w14:paraId="676BFF14" w14:textId="230AC1A7" w:rsidR="009B57BE" w:rsidRDefault="009B57BE" w:rsidP="009B57BE">
      <w:pPr>
        <w:pStyle w:val="ListParagraph"/>
        <w:numPr>
          <w:ilvl w:val="0"/>
          <w:numId w:val="13"/>
        </w:numPr>
      </w:pPr>
      <w:r>
        <w:t>Use of cortical anchorage</w:t>
      </w:r>
    </w:p>
    <w:p w14:paraId="6EB3D8CA" w14:textId="7CBE2C2B" w:rsidR="009B57BE" w:rsidRPr="009B57BE" w:rsidRDefault="009B57BE" w:rsidP="009B57BE">
      <w:pPr>
        <w:pStyle w:val="ListParagraph"/>
        <w:numPr>
          <w:ilvl w:val="0"/>
          <w:numId w:val="13"/>
        </w:numPr>
      </w:pPr>
      <w:r>
        <w:t>Use of mini-screw implants.</w:t>
      </w:r>
    </w:p>
    <w:p w14:paraId="5590B7FD" w14:textId="77777777" w:rsidR="009B57BE" w:rsidRPr="009B57BE" w:rsidRDefault="009B57BE" w:rsidP="009B57BE"/>
    <w:sectPr w:rsidR="009B57BE" w:rsidRPr="009B5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A6F01"/>
    <w:multiLevelType w:val="hybridMultilevel"/>
    <w:tmpl w:val="09A8B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7813"/>
    <w:multiLevelType w:val="hybridMultilevel"/>
    <w:tmpl w:val="815892C2"/>
    <w:lvl w:ilvl="0" w:tplc="93943B7C">
      <w:start w:val="2"/>
      <w:numFmt w:val="bullet"/>
      <w:lvlText w:val="-"/>
      <w:lvlJc w:val="left"/>
      <w:pPr>
        <w:ind w:left="990" w:hanging="360"/>
      </w:pPr>
      <w:rPr>
        <w:rFonts w:ascii="Calibri" w:eastAsiaTheme="minorEastAsia"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6A0206F"/>
    <w:multiLevelType w:val="hybridMultilevel"/>
    <w:tmpl w:val="3708803C"/>
    <w:lvl w:ilvl="0" w:tplc="86F8594C">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BD12A0"/>
    <w:multiLevelType w:val="hybridMultilevel"/>
    <w:tmpl w:val="CBBC7AE4"/>
    <w:lvl w:ilvl="0" w:tplc="6C02172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03B07"/>
    <w:multiLevelType w:val="hybridMultilevel"/>
    <w:tmpl w:val="52027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63135"/>
    <w:multiLevelType w:val="hybridMultilevel"/>
    <w:tmpl w:val="B128F5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931AA3"/>
    <w:multiLevelType w:val="hybridMultilevel"/>
    <w:tmpl w:val="67606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B2A82"/>
    <w:multiLevelType w:val="hybridMultilevel"/>
    <w:tmpl w:val="877C0086"/>
    <w:lvl w:ilvl="0" w:tplc="9006A81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00057D"/>
    <w:multiLevelType w:val="hybridMultilevel"/>
    <w:tmpl w:val="BBB8011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927406"/>
    <w:multiLevelType w:val="hybridMultilevel"/>
    <w:tmpl w:val="30349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23B22"/>
    <w:multiLevelType w:val="hybridMultilevel"/>
    <w:tmpl w:val="6DC0BC6E"/>
    <w:lvl w:ilvl="0" w:tplc="2598A9D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F8151C"/>
    <w:multiLevelType w:val="hybridMultilevel"/>
    <w:tmpl w:val="2F229A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CC197D"/>
    <w:multiLevelType w:val="hybridMultilevel"/>
    <w:tmpl w:val="D24E9F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BE7D26"/>
    <w:multiLevelType w:val="hybridMultilevel"/>
    <w:tmpl w:val="9F3C5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404DA7"/>
    <w:multiLevelType w:val="hybridMultilevel"/>
    <w:tmpl w:val="75F0EEB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6"/>
  </w:num>
  <w:num w:numId="2">
    <w:abstractNumId w:val="5"/>
  </w:num>
  <w:num w:numId="3">
    <w:abstractNumId w:val="8"/>
  </w:num>
  <w:num w:numId="4">
    <w:abstractNumId w:val="12"/>
  </w:num>
  <w:num w:numId="5">
    <w:abstractNumId w:val="0"/>
  </w:num>
  <w:num w:numId="6">
    <w:abstractNumId w:val="7"/>
  </w:num>
  <w:num w:numId="7">
    <w:abstractNumId w:val="1"/>
  </w:num>
  <w:num w:numId="8">
    <w:abstractNumId w:val="4"/>
  </w:num>
  <w:num w:numId="9">
    <w:abstractNumId w:val="3"/>
  </w:num>
  <w:num w:numId="10">
    <w:abstractNumId w:val="2"/>
  </w:num>
  <w:num w:numId="11">
    <w:abstractNumId w:val="14"/>
  </w:num>
  <w:num w:numId="12">
    <w:abstractNumId w:val="11"/>
  </w:num>
  <w:num w:numId="13">
    <w:abstractNumId w:val="10"/>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9E"/>
    <w:rsid w:val="00077719"/>
    <w:rsid w:val="001A5DAF"/>
    <w:rsid w:val="00200DA3"/>
    <w:rsid w:val="002B34E0"/>
    <w:rsid w:val="00564028"/>
    <w:rsid w:val="006B7CA5"/>
    <w:rsid w:val="0075529E"/>
    <w:rsid w:val="007B2879"/>
    <w:rsid w:val="008D62DC"/>
    <w:rsid w:val="009B57BE"/>
    <w:rsid w:val="00B04EFC"/>
    <w:rsid w:val="00BB5735"/>
    <w:rsid w:val="00C86324"/>
    <w:rsid w:val="00CC16FA"/>
    <w:rsid w:val="00CD0616"/>
    <w:rsid w:val="00D6495A"/>
    <w:rsid w:val="00FA50F9"/>
    <w:rsid w:val="00FB4C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E817"/>
  <w15:chartTrackingRefBased/>
  <w15:docId w15:val="{F6B2B4A6-9299-4A6C-A389-FCB4F0DE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29E"/>
  </w:style>
  <w:style w:type="paragraph" w:styleId="Heading1">
    <w:name w:val="heading 1"/>
    <w:basedOn w:val="Normal"/>
    <w:next w:val="Normal"/>
    <w:link w:val="Heading1Char"/>
    <w:uiPriority w:val="9"/>
    <w:qFormat/>
    <w:rsid w:val="00B04EFC"/>
    <w:pPr>
      <w:keepNext/>
      <w:keepLines/>
      <w:pBdr>
        <w:bottom w:val="single" w:sz="4" w:space="1" w:color="AC3EC1" w:themeColor="accent1"/>
      </w:pBdr>
      <w:spacing w:before="400" w:after="40" w:line="240" w:lineRule="auto"/>
      <w:outlineLvl w:val="0"/>
    </w:pPr>
    <w:rPr>
      <w:rFonts w:asciiTheme="majorHAnsi" w:eastAsiaTheme="majorEastAsia" w:hAnsiTheme="majorHAnsi" w:cstheme="majorBidi"/>
      <w:color w:val="802E90" w:themeColor="accent1" w:themeShade="BF"/>
      <w:sz w:val="36"/>
      <w:szCs w:val="36"/>
    </w:rPr>
  </w:style>
  <w:style w:type="paragraph" w:styleId="Heading2">
    <w:name w:val="heading 2"/>
    <w:basedOn w:val="Normal"/>
    <w:next w:val="Normal"/>
    <w:link w:val="Heading2Char"/>
    <w:uiPriority w:val="9"/>
    <w:unhideWhenUsed/>
    <w:qFormat/>
    <w:rsid w:val="0075529E"/>
    <w:pPr>
      <w:keepNext/>
      <w:keepLines/>
      <w:spacing w:before="160" w:after="0" w:line="240" w:lineRule="auto"/>
      <w:outlineLvl w:val="1"/>
    </w:pPr>
    <w:rPr>
      <w:rFonts w:asciiTheme="majorHAnsi" w:eastAsiaTheme="majorEastAsia" w:hAnsiTheme="majorHAnsi" w:cstheme="majorBidi"/>
      <w:color w:val="802E90" w:themeColor="accent1" w:themeShade="BF"/>
      <w:sz w:val="28"/>
      <w:szCs w:val="28"/>
    </w:rPr>
  </w:style>
  <w:style w:type="paragraph" w:styleId="Heading3">
    <w:name w:val="heading 3"/>
    <w:basedOn w:val="Normal"/>
    <w:next w:val="Normal"/>
    <w:link w:val="Heading3Char"/>
    <w:uiPriority w:val="9"/>
    <w:semiHidden/>
    <w:unhideWhenUsed/>
    <w:qFormat/>
    <w:rsid w:val="007552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529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529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529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52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52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52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EFC"/>
    <w:rPr>
      <w:rFonts w:asciiTheme="majorHAnsi" w:eastAsiaTheme="majorEastAsia" w:hAnsiTheme="majorHAnsi" w:cstheme="majorBidi"/>
      <w:color w:val="802E90" w:themeColor="accent1" w:themeShade="BF"/>
      <w:sz w:val="36"/>
      <w:szCs w:val="36"/>
    </w:rPr>
  </w:style>
  <w:style w:type="character" w:customStyle="1" w:styleId="Heading2Char">
    <w:name w:val="Heading 2 Char"/>
    <w:basedOn w:val="DefaultParagraphFont"/>
    <w:link w:val="Heading2"/>
    <w:uiPriority w:val="9"/>
    <w:rsid w:val="0075529E"/>
    <w:rPr>
      <w:rFonts w:asciiTheme="majorHAnsi" w:eastAsiaTheme="majorEastAsia" w:hAnsiTheme="majorHAnsi" w:cstheme="majorBidi"/>
      <w:color w:val="802E90" w:themeColor="accent1" w:themeShade="BF"/>
      <w:sz w:val="28"/>
      <w:szCs w:val="28"/>
    </w:rPr>
  </w:style>
  <w:style w:type="character" w:customStyle="1" w:styleId="Heading3Char">
    <w:name w:val="Heading 3 Char"/>
    <w:basedOn w:val="DefaultParagraphFont"/>
    <w:link w:val="Heading3"/>
    <w:uiPriority w:val="9"/>
    <w:semiHidden/>
    <w:rsid w:val="0075529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529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529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529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529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529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529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529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529E"/>
    <w:pPr>
      <w:spacing w:after="0" w:line="240" w:lineRule="auto"/>
      <w:contextualSpacing/>
    </w:pPr>
    <w:rPr>
      <w:rFonts w:asciiTheme="majorHAnsi" w:eastAsiaTheme="majorEastAsia" w:hAnsiTheme="majorHAnsi" w:cstheme="majorBidi"/>
      <w:color w:val="802E90" w:themeColor="accent1" w:themeShade="BF"/>
      <w:spacing w:val="-7"/>
      <w:sz w:val="80"/>
      <w:szCs w:val="80"/>
    </w:rPr>
  </w:style>
  <w:style w:type="character" w:customStyle="1" w:styleId="TitleChar">
    <w:name w:val="Title Char"/>
    <w:basedOn w:val="DefaultParagraphFont"/>
    <w:link w:val="Title"/>
    <w:uiPriority w:val="10"/>
    <w:rsid w:val="0075529E"/>
    <w:rPr>
      <w:rFonts w:asciiTheme="majorHAnsi" w:eastAsiaTheme="majorEastAsia" w:hAnsiTheme="majorHAnsi" w:cstheme="majorBidi"/>
      <w:color w:val="802E90" w:themeColor="accent1" w:themeShade="BF"/>
      <w:spacing w:val="-7"/>
      <w:sz w:val="80"/>
      <w:szCs w:val="80"/>
    </w:rPr>
  </w:style>
  <w:style w:type="paragraph" w:styleId="Subtitle">
    <w:name w:val="Subtitle"/>
    <w:basedOn w:val="Normal"/>
    <w:next w:val="Normal"/>
    <w:link w:val="SubtitleChar"/>
    <w:uiPriority w:val="11"/>
    <w:qFormat/>
    <w:rsid w:val="007552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529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529E"/>
    <w:rPr>
      <w:b/>
      <w:bCs/>
    </w:rPr>
  </w:style>
  <w:style w:type="character" w:styleId="Emphasis">
    <w:name w:val="Emphasis"/>
    <w:basedOn w:val="DefaultParagraphFont"/>
    <w:uiPriority w:val="20"/>
    <w:qFormat/>
    <w:rsid w:val="0075529E"/>
    <w:rPr>
      <w:i/>
      <w:iCs/>
    </w:rPr>
  </w:style>
  <w:style w:type="paragraph" w:styleId="NoSpacing">
    <w:name w:val="No Spacing"/>
    <w:uiPriority w:val="1"/>
    <w:qFormat/>
    <w:rsid w:val="0075529E"/>
    <w:pPr>
      <w:spacing w:after="0" w:line="240" w:lineRule="auto"/>
    </w:pPr>
  </w:style>
  <w:style w:type="paragraph" w:styleId="Quote">
    <w:name w:val="Quote"/>
    <w:basedOn w:val="Normal"/>
    <w:next w:val="Normal"/>
    <w:link w:val="QuoteChar"/>
    <w:uiPriority w:val="29"/>
    <w:qFormat/>
    <w:rsid w:val="0075529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529E"/>
    <w:rPr>
      <w:i/>
      <w:iCs/>
    </w:rPr>
  </w:style>
  <w:style w:type="paragraph" w:styleId="IntenseQuote">
    <w:name w:val="Intense Quote"/>
    <w:basedOn w:val="Normal"/>
    <w:next w:val="Normal"/>
    <w:link w:val="IntenseQuoteChar"/>
    <w:uiPriority w:val="30"/>
    <w:qFormat/>
    <w:rsid w:val="0075529E"/>
    <w:pPr>
      <w:spacing w:before="100" w:beforeAutospacing="1" w:after="240"/>
      <w:ind w:left="864" w:right="864"/>
      <w:jc w:val="center"/>
    </w:pPr>
    <w:rPr>
      <w:rFonts w:asciiTheme="majorHAnsi" w:eastAsiaTheme="majorEastAsia" w:hAnsiTheme="majorHAnsi" w:cstheme="majorBidi"/>
      <w:color w:val="AC3EC1" w:themeColor="accent1"/>
      <w:sz w:val="28"/>
      <w:szCs w:val="28"/>
    </w:rPr>
  </w:style>
  <w:style w:type="character" w:customStyle="1" w:styleId="IntenseQuoteChar">
    <w:name w:val="Intense Quote Char"/>
    <w:basedOn w:val="DefaultParagraphFont"/>
    <w:link w:val="IntenseQuote"/>
    <w:uiPriority w:val="30"/>
    <w:rsid w:val="0075529E"/>
    <w:rPr>
      <w:rFonts w:asciiTheme="majorHAnsi" w:eastAsiaTheme="majorEastAsia" w:hAnsiTheme="majorHAnsi" w:cstheme="majorBidi"/>
      <w:color w:val="AC3EC1" w:themeColor="accent1"/>
      <w:sz w:val="28"/>
      <w:szCs w:val="28"/>
    </w:rPr>
  </w:style>
  <w:style w:type="character" w:styleId="SubtleEmphasis">
    <w:name w:val="Subtle Emphasis"/>
    <w:basedOn w:val="DefaultParagraphFont"/>
    <w:uiPriority w:val="19"/>
    <w:qFormat/>
    <w:rsid w:val="0075529E"/>
    <w:rPr>
      <w:i/>
      <w:iCs/>
      <w:color w:val="595959" w:themeColor="text1" w:themeTint="A6"/>
    </w:rPr>
  </w:style>
  <w:style w:type="character" w:styleId="IntenseEmphasis">
    <w:name w:val="Intense Emphasis"/>
    <w:basedOn w:val="DefaultParagraphFont"/>
    <w:uiPriority w:val="21"/>
    <w:qFormat/>
    <w:rsid w:val="0075529E"/>
    <w:rPr>
      <w:b/>
      <w:bCs/>
      <w:i/>
      <w:iCs/>
    </w:rPr>
  </w:style>
  <w:style w:type="character" w:styleId="SubtleReference">
    <w:name w:val="Subtle Reference"/>
    <w:basedOn w:val="DefaultParagraphFont"/>
    <w:uiPriority w:val="31"/>
    <w:qFormat/>
    <w:rsid w:val="0075529E"/>
    <w:rPr>
      <w:smallCaps/>
      <w:color w:val="404040" w:themeColor="text1" w:themeTint="BF"/>
    </w:rPr>
  </w:style>
  <w:style w:type="character" w:styleId="IntenseReference">
    <w:name w:val="Intense Reference"/>
    <w:basedOn w:val="DefaultParagraphFont"/>
    <w:uiPriority w:val="32"/>
    <w:qFormat/>
    <w:rsid w:val="0075529E"/>
    <w:rPr>
      <w:b/>
      <w:bCs/>
      <w:smallCaps/>
      <w:u w:val="single"/>
    </w:rPr>
  </w:style>
  <w:style w:type="character" w:styleId="BookTitle">
    <w:name w:val="Book Title"/>
    <w:basedOn w:val="DefaultParagraphFont"/>
    <w:uiPriority w:val="33"/>
    <w:qFormat/>
    <w:rsid w:val="0075529E"/>
    <w:rPr>
      <w:b/>
      <w:bCs/>
      <w:smallCaps/>
    </w:rPr>
  </w:style>
  <w:style w:type="paragraph" w:styleId="TOCHeading">
    <w:name w:val="TOC Heading"/>
    <w:basedOn w:val="Heading1"/>
    <w:next w:val="Normal"/>
    <w:uiPriority w:val="39"/>
    <w:semiHidden/>
    <w:unhideWhenUsed/>
    <w:qFormat/>
    <w:rsid w:val="0075529E"/>
    <w:pPr>
      <w:outlineLvl w:val="9"/>
    </w:pPr>
  </w:style>
  <w:style w:type="paragraph" w:styleId="ListParagraph">
    <w:name w:val="List Paragraph"/>
    <w:basedOn w:val="Normal"/>
    <w:uiPriority w:val="34"/>
    <w:qFormat/>
    <w:rsid w:val="0075529E"/>
    <w:pPr>
      <w:ind w:left="720"/>
      <w:contextualSpacing/>
    </w:pPr>
  </w:style>
  <w:style w:type="table" w:styleId="TableGrid">
    <w:name w:val="Table Grid"/>
    <w:basedOn w:val="TableNormal"/>
    <w:uiPriority w:val="39"/>
    <w:rsid w:val="00B04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63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 Walid Zakhour</dc:creator>
  <cp:keywords/>
  <dc:description/>
  <cp:lastModifiedBy>Yamen Walid Zakhour</cp:lastModifiedBy>
  <cp:revision>3</cp:revision>
  <cp:lastPrinted>2020-07-04T12:05:00Z</cp:lastPrinted>
  <dcterms:created xsi:type="dcterms:W3CDTF">2020-07-04T12:05:00Z</dcterms:created>
  <dcterms:modified xsi:type="dcterms:W3CDTF">2020-07-04T13:56:00Z</dcterms:modified>
</cp:coreProperties>
</file>