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A1A12" w14:textId="77777777" w:rsidR="00E533ED" w:rsidRDefault="00000000">
      <w:pPr>
        <w:spacing w:after="40"/>
      </w:pPr>
      <w:r>
        <w:rPr>
          <w:b/>
          <w:bCs/>
          <w:color w:val="0A8276"/>
        </w:rPr>
        <w:t>BIT · INFINEON</w:t>
      </w:r>
    </w:p>
    <w:p w14:paraId="48D7020D" w14:textId="77777777" w:rsidR="00E533ED" w:rsidRDefault="00000000">
      <w:pPr>
        <w:spacing w:after="60"/>
      </w:pPr>
      <w:r>
        <w:rPr>
          <w:b/>
          <w:bCs/>
          <w:color w:val="6B7A78"/>
          <w:sz w:val="18"/>
          <w:szCs w:val="18"/>
        </w:rPr>
        <w:t>WATER SUPPLY APP</w:t>
      </w:r>
    </w:p>
    <w:p w14:paraId="7B767A92" w14:textId="77777777" w:rsidR="00E533ED" w:rsidRDefault="00000000">
      <w:pPr>
        <w:pStyle w:val="Titre"/>
        <w:spacing w:after="120"/>
      </w:pPr>
      <w:r>
        <w:rPr>
          <w:b/>
          <w:bCs/>
          <w:color w:val="07655C"/>
          <w:sz w:val="40"/>
          <w:szCs w:val="40"/>
        </w:rPr>
        <w:t>Scenario Analysis — Reading Guide</w:t>
      </w:r>
    </w:p>
    <w:p w14:paraId="0B4928AE" w14:textId="0538E5DA" w:rsidR="00E533ED" w:rsidRDefault="00000000">
      <w:pPr>
        <w:spacing w:after="400"/>
      </w:pPr>
      <w:r>
        <w:rPr>
          <w:i/>
          <w:iCs/>
          <w:color w:val="6B7A78"/>
          <w:sz w:val="22"/>
          <w:szCs w:val="22"/>
        </w:rPr>
        <w:t>How to read and use the interactive Scenario Analysis document (scenario_analysis.html)</w:t>
      </w:r>
    </w:p>
    <w:p w14:paraId="10AA5595" w14:textId="23255F13" w:rsidR="00E533ED" w:rsidRDefault="00000000">
      <w:pPr>
        <w:spacing w:after="60"/>
      </w:pPr>
      <w:r>
        <w:rPr>
          <w:color w:val="1C2B29"/>
        </w:rPr>
        <w:t xml:space="preserve">Companion document </w:t>
      </w:r>
    </w:p>
    <w:p w14:paraId="71A1FBB5" w14:textId="410EB26A" w:rsidR="00E533ED" w:rsidRDefault="00E533ED">
      <w:pPr>
        <w:spacing w:after="900"/>
      </w:pPr>
    </w:p>
    <w:p w14:paraId="6E425300" w14:textId="77777777" w:rsidR="00E533ED" w:rsidRDefault="00000000">
      <w:pPr>
        <w:pStyle w:val="Titre1"/>
        <w:spacing w:before="320" w:after="140"/>
      </w:pPr>
      <w:r>
        <w:rPr>
          <w:b/>
          <w:bCs/>
          <w:color w:val="07655C"/>
          <w:sz w:val="28"/>
          <w:szCs w:val="28"/>
        </w:rPr>
        <w:t>1. Purpose of this guide</w:t>
      </w:r>
    </w:p>
    <w:p w14:paraId="017717C5" w14:textId="2D919CCD" w:rsidR="00E533ED" w:rsidRDefault="00000000">
      <w:pPr>
        <w:spacing w:after="140" w:line="276" w:lineRule="auto"/>
      </w:pPr>
      <w:r>
        <w:rPr>
          <w:color w:val="1C2B29"/>
          <w:sz w:val="21"/>
          <w:szCs w:val="21"/>
        </w:rPr>
        <w:t>The Scenario Analysis for the Water Supply App is delivered as an interactive HTML file (scenario_analysis_.html) rather than a static document, so that thresholds can be tested live and scenarios can be filtered and cross-referenced. This guide explains, in plain English, what each part of that file shows, how the pieces connect, and how to use it during design review, implementation, and QA test-case writing.</w:t>
      </w:r>
    </w:p>
    <w:p w14:paraId="50D7A247" w14:textId="1D7A1057" w:rsidR="00E533ED" w:rsidRDefault="00000000">
      <w:pPr>
        <w:spacing w:after="140" w:line="276" w:lineRule="auto"/>
      </w:pPr>
      <w:r>
        <w:rPr>
          <w:color w:val="1C2B29"/>
          <w:sz w:val="21"/>
          <w:szCs w:val="21"/>
        </w:rPr>
        <w:t>This guide does not repeat the scenario content itself — it explains how to navigate and interpret the file. Open scenario_analysis_.html in a browser side by side with this guide.</w:t>
      </w:r>
    </w:p>
    <w:p w14:paraId="7B796318" w14:textId="77777777" w:rsidR="00E533ED" w:rsidRDefault="00000000">
      <w:pPr>
        <w:pStyle w:val="Titre1"/>
        <w:spacing w:before="320" w:after="140"/>
      </w:pPr>
      <w:r>
        <w:rPr>
          <w:b/>
          <w:bCs/>
          <w:color w:val="07655C"/>
          <w:sz w:val="28"/>
          <w:szCs w:val="28"/>
        </w:rPr>
        <w:t>2. Document structure at a glance</w:t>
      </w:r>
    </w:p>
    <w:p w14:paraId="7ADB8B33" w14:textId="77777777" w:rsidR="00E533ED" w:rsidRDefault="00000000">
      <w:pPr>
        <w:spacing w:after="140" w:line="276" w:lineRule="auto"/>
      </w:pPr>
      <w:r>
        <w:rPr>
          <w:color w:val="1C2B29"/>
          <w:sz w:val="21"/>
          <w:szCs w:val="21"/>
        </w:rPr>
        <w:t>The file is organized into six tabs, accessible from the navigation bar at the top of the page. Each tab covers a distinct part of the analysis: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3300"/>
      </w:tblGrid>
      <w:tr w:rsidR="00E533ED" w14:paraId="24AE2C04" w14:textId="77777777">
        <w:tblPrEx>
          <w:tblCellMar>
            <w:top w:w="0" w:type="dxa"/>
            <w:bottom w:w="0" w:type="dxa"/>
          </w:tblCellMar>
        </w:tblPrEx>
        <w:trPr>
          <w:tblHeader/>
        </w:trPr>
        <w:tc>
          <w:tcPr>
            <w:tcW w:w="2800" w:type="dxa"/>
            <w:shd w:val="clear" w:color="auto" w:fill="E3F2EF"/>
            <w:tcMar>
              <w:top w:w="100" w:type="dxa"/>
              <w:left w:w="120" w:type="dxa"/>
              <w:bottom w:w="100" w:type="dxa"/>
              <w:right w:w="120" w:type="dxa"/>
            </w:tcMar>
          </w:tcPr>
          <w:p w14:paraId="53780A8E" w14:textId="77777777" w:rsidR="00E533ED" w:rsidRDefault="00000000">
            <w:r>
              <w:rPr>
                <w:b/>
                <w:bCs/>
                <w:color w:val="07655C"/>
                <w:sz w:val="19"/>
                <w:szCs w:val="19"/>
              </w:rPr>
              <w:t>Tab</w:t>
            </w:r>
          </w:p>
        </w:tc>
        <w:tc>
          <w:tcPr>
            <w:tcW w:w="4200" w:type="dxa"/>
            <w:shd w:val="clear" w:color="auto" w:fill="E3F2EF"/>
            <w:tcMar>
              <w:top w:w="100" w:type="dxa"/>
              <w:left w:w="120" w:type="dxa"/>
              <w:bottom w:w="100" w:type="dxa"/>
              <w:right w:w="120" w:type="dxa"/>
            </w:tcMar>
          </w:tcPr>
          <w:p w14:paraId="3F39BA22" w14:textId="77777777" w:rsidR="00E533ED" w:rsidRDefault="00000000">
            <w:r>
              <w:rPr>
                <w:b/>
                <w:bCs/>
                <w:color w:val="07655C"/>
                <w:sz w:val="19"/>
                <w:szCs w:val="19"/>
              </w:rPr>
              <w:t>What it contains</w:t>
            </w:r>
          </w:p>
        </w:tc>
        <w:tc>
          <w:tcPr>
            <w:tcW w:w="3300" w:type="dxa"/>
            <w:shd w:val="clear" w:color="auto" w:fill="E3F2EF"/>
            <w:tcMar>
              <w:top w:w="100" w:type="dxa"/>
              <w:left w:w="120" w:type="dxa"/>
              <w:bottom w:w="100" w:type="dxa"/>
              <w:right w:w="120" w:type="dxa"/>
            </w:tcMar>
          </w:tcPr>
          <w:p w14:paraId="24A68E4F" w14:textId="77777777" w:rsidR="00E533ED" w:rsidRDefault="00000000">
            <w:r>
              <w:rPr>
                <w:b/>
                <w:bCs/>
                <w:color w:val="07655C"/>
                <w:sz w:val="19"/>
                <w:szCs w:val="19"/>
              </w:rPr>
              <w:t>Use it for</w:t>
            </w:r>
          </w:p>
        </w:tc>
      </w:tr>
      <w:tr w:rsidR="00E533ED" w14:paraId="0CD39ABE" w14:textId="77777777">
        <w:tblPrEx>
          <w:tblCellMar>
            <w:top w:w="0" w:type="dxa"/>
            <w:bottom w:w="0" w:type="dxa"/>
          </w:tblCellMar>
        </w:tblPrEx>
        <w:tc>
          <w:tcPr>
            <w:tcW w:w="2800" w:type="dxa"/>
            <w:tcMar>
              <w:top w:w="100" w:type="dxa"/>
              <w:left w:w="120" w:type="dxa"/>
              <w:bottom w:w="100" w:type="dxa"/>
              <w:right w:w="120" w:type="dxa"/>
            </w:tcMar>
          </w:tcPr>
          <w:p w14:paraId="48DB5B96" w14:textId="77777777" w:rsidR="00E533ED" w:rsidRDefault="00000000">
            <w:r>
              <w:rPr>
                <w:color w:val="1C2B29"/>
                <w:sz w:val="19"/>
                <w:szCs w:val="19"/>
              </w:rPr>
              <w:t>Overview &amp; Risk Timeline</w:t>
            </w:r>
          </w:p>
        </w:tc>
        <w:tc>
          <w:tcPr>
            <w:tcW w:w="4200" w:type="dxa"/>
            <w:tcMar>
              <w:top w:w="100" w:type="dxa"/>
              <w:left w:w="120" w:type="dxa"/>
              <w:bottom w:w="100" w:type="dxa"/>
              <w:right w:w="120" w:type="dxa"/>
            </w:tcMar>
          </w:tcPr>
          <w:p w14:paraId="225563EF" w14:textId="77777777" w:rsidR="00E533ED" w:rsidRDefault="00000000">
            <w:r>
              <w:rPr>
                <w:color w:val="1C2B29"/>
                <w:sz w:val="19"/>
                <w:szCs w:val="19"/>
              </w:rPr>
              <w:t>Introduction, the chronological risk timeline, a breakdown by domain, and a shortlist of the highest-priority scenarios.</w:t>
            </w:r>
          </w:p>
        </w:tc>
        <w:tc>
          <w:tcPr>
            <w:tcW w:w="3300" w:type="dxa"/>
            <w:tcMar>
              <w:top w:w="100" w:type="dxa"/>
              <w:left w:w="120" w:type="dxa"/>
              <w:bottom w:w="100" w:type="dxa"/>
              <w:right w:w="120" w:type="dxa"/>
            </w:tcMar>
          </w:tcPr>
          <w:p w14:paraId="40E78484" w14:textId="77777777" w:rsidR="00E533ED" w:rsidRDefault="00000000">
            <w:r>
              <w:rPr>
                <w:color w:val="1C2B29"/>
                <w:sz w:val="19"/>
                <w:szCs w:val="19"/>
              </w:rPr>
              <w:t>Getting a one-glance view of what is likely to happen, how often, and how severe it is.</w:t>
            </w:r>
          </w:p>
        </w:tc>
      </w:tr>
      <w:tr w:rsidR="00E533ED" w14:paraId="16ADCCC9" w14:textId="77777777">
        <w:tblPrEx>
          <w:tblCellMar>
            <w:top w:w="0" w:type="dxa"/>
            <w:bottom w:w="0" w:type="dxa"/>
          </w:tblCellMar>
        </w:tblPrEx>
        <w:tc>
          <w:tcPr>
            <w:tcW w:w="2800" w:type="dxa"/>
            <w:tcMar>
              <w:top w:w="100" w:type="dxa"/>
              <w:left w:w="120" w:type="dxa"/>
              <w:bottom w:w="100" w:type="dxa"/>
              <w:right w:w="120" w:type="dxa"/>
            </w:tcMar>
          </w:tcPr>
          <w:p w14:paraId="2CE415E2" w14:textId="77777777" w:rsidR="00E533ED" w:rsidRDefault="00000000">
            <w:r>
              <w:rPr>
                <w:color w:val="1C2B29"/>
                <w:sz w:val="19"/>
                <w:szCs w:val="19"/>
              </w:rPr>
              <w:t>Scenario Sheets</w:t>
            </w:r>
          </w:p>
        </w:tc>
        <w:tc>
          <w:tcPr>
            <w:tcW w:w="4200" w:type="dxa"/>
            <w:tcMar>
              <w:top w:w="100" w:type="dxa"/>
              <w:left w:w="120" w:type="dxa"/>
              <w:bottom w:w="100" w:type="dxa"/>
              <w:right w:w="120" w:type="dxa"/>
            </w:tcMar>
          </w:tcPr>
          <w:p w14:paraId="4528550B" w14:textId="77777777" w:rsidR="00E533ED" w:rsidRDefault="00000000">
            <w:r>
              <w:rPr>
                <w:color w:val="1C2B29"/>
                <w:sz w:val="19"/>
                <w:szCs w:val="19"/>
              </w:rPr>
              <w:t>One standardized card per scenario (17 in total), filterable by category and by domain.</w:t>
            </w:r>
          </w:p>
        </w:tc>
        <w:tc>
          <w:tcPr>
            <w:tcW w:w="3300" w:type="dxa"/>
            <w:tcMar>
              <w:top w:w="100" w:type="dxa"/>
              <w:left w:w="120" w:type="dxa"/>
              <w:bottom w:w="100" w:type="dxa"/>
              <w:right w:w="120" w:type="dxa"/>
            </w:tcMar>
          </w:tcPr>
          <w:p w14:paraId="37536DF3" w14:textId="77777777" w:rsidR="00E533ED" w:rsidRDefault="00000000">
            <w:r>
              <w:rPr>
                <w:color w:val="1C2B29"/>
                <w:sz w:val="19"/>
                <w:szCs w:val="19"/>
              </w:rPr>
              <w:t>Looking up the exact trigger, backend/field action, UI behavior, and resolution condition for a specific scenario.</w:t>
            </w:r>
          </w:p>
        </w:tc>
      </w:tr>
      <w:tr w:rsidR="00E533ED" w14:paraId="76057FBF" w14:textId="77777777">
        <w:tblPrEx>
          <w:tblCellMar>
            <w:top w:w="0" w:type="dxa"/>
            <w:bottom w:w="0" w:type="dxa"/>
          </w:tblCellMar>
        </w:tblPrEx>
        <w:tc>
          <w:tcPr>
            <w:tcW w:w="2800" w:type="dxa"/>
            <w:tcMar>
              <w:top w:w="100" w:type="dxa"/>
              <w:left w:w="120" w:type="dxa"/>
              <w:bottom w:w="100" w:type="dxa"/>
              <w:right w:w="120" w:type="dxa"/>
            </w:tcMar>
          </w:tcPr>
          <w:p w14:paraId="2495F5C4" w14:textId="77777777" w:rsidR="00E533ED" w:rsidRDefault="00000000">
            <w:r>
              <w:rPr>
                <w:color w:val="1C2B29"/>
                <w:sz w:val="19"/>
                <w:szCs w:val="19"/>
              </w:rPr>
              <w:t>Threshold Simulator</w:t>
            </w:r>
          </w:p>
        </w:tc>
        <w:tc>
          <w:tcPr>
            <w:tcW w:w="4200" w:type="dxa"/>
            <w:tcMar>
              <w:top w:w="100" w:type="dxa"/>
              <w:left w:w="120" w:type="dxa"/>
              <w:bottom w:w="100" w:type="dxa"/>
              <w:right w:w="120" w:type="dxa"/>
            </w:tcMar>
          </w:tcPr>
          <w:p w14:paraId="28022344" w14:textId="77777777" w:rsidR="00E533ED" w:rsidRDefault="00000000">
            <w:r>
              <w:rPr>
                <w:color w:val="1C2B29"/>
                <w:sz w:val="19"/>
                <w:szCs w:val="19"/>
              </w:rPr>
              <w:t>Four interactive sliders with live gauges and charts for the reservoir threshold, sensor timeout, drought escalation, and field-visit reassignment window.</w:t>
            </w:r>
          </w:p>
        </w:tc>
        <w:tc>
          <w:tcPr>
            <w:tcW w:w="3300" w:type="dxa"/>
            <w:tcMar>
              <w:top w:w="100" w:type="dxa"/>
              <w:left w:w="120" w:type="dxa"/>
              <w:bottom w:w="100" w:type="dxa"/>
              <w:right w:w="120" w:type="dxa"/>
            </w:tcMar>
          </w:tcPr>
          <w:p w14:paraId="750FB0FB" w14:textId="77777777" w:rsidR="00E533ED" w:rsidRDefault="00000000">
            <w:r>
              <w:rPr>
                <w:color w:val="1C2B29"/>
                <w:sz w:val="19"/>
                <w:szCs w:val="19"/>
              </w:rPr>
              <w:t>Testing the effect of a threshold change before it is fixed in configuration.</w:t>
            </w:r>
          </w:p>
        </w:tc>
      </w:tr>
      <w:tr w:rsidR="00E533ED" w14:paraId="17D92E76" w14:textId="77777777">
        <w:tblPrEx>
          <w:tblCellMar>
            <w:top w:w="0" w:type="dxa"/>
            <w:bottom w:w="0" w:type="dxa"/>
          </w:tblCellMar>
        </w:tblPrEx>
        <w:tc>
          <w:tcPr>
            <w:tcW w:w="2800" w:type="dxa"/>
            <w:tcMar>
              <w:top w:w="100" w:type="dxa"/>
              <w:left w:w="120" w:type="dxa"/>
              <w:bottom w:w="100" w:type="dxa"/>
              <w:right w:w="120" w:type="dxa"/>
            </w:tcMar>
          </w:tcPr>
          <w:p w14:paraId="4C02B840" w14:textId="77777777" w:rsidR="00E533ED" w:rsidRDefault="00000000">
            <w:r>
              <w:rPr>
                <w:color w:val="1C2B29"/>
                <w:sz w:val="19"/>
                <w:szCs w:val="19"/>
              </w:rPr>
              <w:t>System Resilience</w:t>
            </w:r>
          </w:p>
        </w:tc>
        <w:tc>
          <w:tcPr>
            <w:tcW w:w="4200" w:type="dxa"/>
            <w:tcMar>
              <w:top w:w="100" w:type="dxa"/>
              <w:left w:w="120" w:type="dxa"/>
              <w:bottom w:w="100" w:type="dxa"/>
              <w:right w:w="120" w:type="dxa"/>
            </w:tcMar>
          </w:tcPr>
          <w:p w14:paraId="1F633E74" w14:textId="77777777" w:rsidR="00E533ED" w:rsidRDefault="00000000">
            <w:r>
              <w:rPr>
                <w:color w:val="1C2B29"/>
                <w:sz w:val="19"/>
                <w:szCs w:val="19"/>
              </w:rPr>
              <w:t>Fallback/fail-safe tables per component, hardware and field-access failure handling, and return-to-normal conditions.</w:t>
            </w:r>
          </w:p>
        </w:tc>
        <w:tc>
          <w:tcPr>
            <w:tcW w:w="3300" w:type="dxa"/>
            <w:tcMar>
              <w:top w:w="100" w:type="dxa"/>
              <w:left w:w="120" w:type="dxa"/>
              <w:bottom w:w="100" w:type="dxa"/>
              <w:right w:w="120" w:type="dxa"/>
            </w:tcMar>
          </w:tcPr>
          <w:p w14:paraId="3D5F9B64" w14:textId="77777777" w:rsidR="00E533ED" w:rsidRDefault="00000000">
            <w:r>
              <w:rPr>
                <w:color w:val="1C2B29"/>
                <w:sz w:val="19"/>
                <w:szCs w:val="19"/>
              </w:rPr>
              <w:t>Understanding what the system does when something breaks, and how it recovers.</w:t>
            </w:r>
          </w:p>
        </w:tc>
      </w:tr>
      <w:tr w:rsidR="00E533ED" w14:paraId="6F585C8F" w14:textId="77777777">
        <w:tblPrEx>
          <w:tblCellMar>
            <w:top w:w="0" w:type="dxa"/>
            <w:bottom w:w="0" w:type="dxa"/>
          </w:tblCellMar>
        </w:tblPrEx>
        <w:tc>
          <w:tcPr>
            <w:tcW w:w="2800" w:type="dxa"/>
            <w:tcMar>
              <w:top w:w="100" w:type="dxa"/>
              <w:left w:w="120" w:type="dxa"/>
              <w:bottom w:w="100" w:type="dxa"/>
              <w:right w:w="120" w:type="dxa"/>
            </w:tcMar>
          </w:tcPr>
          <w:p w14:paraId="01D82443" w14:textId="77777777" w:rsidR="00E533ED" w:rsidRDefault="00000000">
            <w:r>
              <w:rPr>
                <w:color w:val="1C2B29"/>
                <w:sz w:val="19"/>
                <w:szCs w:val="19"/>
              </w:rPr>
              <w:t>Zone Arbitration</w:t>
            </w:r>
          </w:p>
        </w:tc>
        <w:tc>
          <w:tcPr>
            <w:tcW w:w="4200" w:type="dxa"/>
            <w:tcMar>
              <w:top w:w="100" w:type="dxa"/>
              <w:left w:w="120" w:type="dxa"/>
              <w:bottom w:w="100" w:type="dxa"/>
              <w:right w:w="120" w:type="dxa"/>
            </w:tcMar>
          </w:tcPr>
          <w:p w14:paraId="5BF3C514" w14:textId="77777777" w:rsidR="00E533ED" w:rsidRDefault="00000000">
            <w:r>
              <w:rPr>
                <w:color w:val="1C2B29"/>
                <w:sz w:val="19"/>
                <w:szCs w:val="19"/>
              </w:rPr>
              <w:t>The irrigation priority policy across zones under water stress, and the simultaneous-demand rule.</w:t>
            </w:r>
          </w:p>
        </w:tc>
        <w:tc>
          <w:tcPr>
            <w:tcW w:w="3300" w:type="dxa"/>
            <w:tcMar>
              <w:top w:w="100" w:type="dxa"/>
              <w:left w:w="120" w:type="dxa"/>
              <w:bottom w:w="100" w:type="dxa"/>
              <w:right w:w="120" w:type="dxa"/>
            </w:tcMar>
          </w:tcPr>
          <w:p w14:paraId="31DC6696" w14:textId="77777777" w:rsidR="00E533ED" w:rsidRDefault="00000000">
            <w:r>
              <w:rPr>
                <w:color w:val="1C2B29"/>
                <w:sz w:val="19"/>
                <w:szCs w:val="19"/>
              </w:rPr>
              <w:t>Understanding how the scheduler decides who gets water first when supply is limited.</w:t>
            </w:r>
          </w:p>
        </w:tc>
      </w:tr>
      <w:tr w:rsidR="00E533ED" w14:paraId="74126B91" w14:textId="77777777">
        <w:tblPrEx>
          <w:tblCellMar>
            <w:top w:w="0" w:type="dxa"/>
            <w:bottom w:w="0" w:type="dxa"/>
          </w:tblCellMar>
        </w:tblPrEx>
        <w:tc>
          <w:tcPr>
            <w:tcW w:w="2800" w:type="dxa"/>
            <w:tcMar>
              <w:top w:w="100" w:type="dxa"/>
              <w:left w:w="120" w:type="dxa"/>
              <w:bottom w:w="100" w:type="dxa"/>
              <w:right w:w="120" w:type="dxa"/>
            </w:tcMar>
          </w:tcPr>
          <w:p w14:paraId="2BE3D283" w14:textId="77777777" w:rsidR="00E533ED" w:rsidRDefault="00000000">
            <w:r>
              <w:rPr>
                <w:color w:val="1C2B29"/>
                <w:sz w:val="19"/>
                <w:szCs w:val="19"/>
              </w:rPr>
              <w:t>Escalation &amp; Notifications</w:t>
            </w:r>
          </w:p>
        </w:tc>
        <w:tc>
          <w:tcPr>
            <w:tcW w:w="4200" w:type="dxa"/>
            <w:tcMar>
              <w:top w:w="100" w:type="dxa"/>
              <w:left w:w="120" w:type="dxa"/>
              <w:bottom w:w="100" w:type="dxa"/>
              <w:right w:w="120" w:type="dxa"/>
            </w:tcMar>
          </w:tcPr>
          <w:p w14:paraId="5E0FA91B" w14:textId="77777777" w:rsidR="00E533ED" w:rsidRDefault="00000000">
            <w:r>
              <w:rPr>
                <w:color w:val="1C2B29"/>
                <w:sz w:val="19"/>
                <w:szCs w:val="19"/>
              </w:rPr>
              <w:t>The notification channel/delay matrix by severity, and the backend-state-to-UI mapping table.</w:t>
            </w:r>
          </w:p>
        </w:tc>
        <w:tc>
          <w:tcPr>
            <w:tcW w:w="3300" w:type="dxa"/>
            <w:tcMar>
              <w:top w:w="100" w:type="dxa"/>
              <w:left w:w="120" w:type="dxa"/>
              <w:bottom w:w="100" w:type="dxa"/>
              <w:right w:w="120" w:type="dxa"/>
            </w:tcMar>
          </w:tcPr>
          <w:p w14:paraId="19D74F85" w14:textId="77777777" w:rsidR="00E533ED" w:rsidRDefault="00000000">
            <w:r>
              <w:rPr>
                <w:color w:val="1C2B29"/>
                <w:sz w:val="19"/>
                <w:szCs w:val="19"/>
              </w:rPr>
              <w:t>Confirming who gets alerted, how fast, and what the user actually sees on screen.</w:t>
            </w:r>
          </w:p>
        </w:tc>
      </w:tr>
    </w:tbl>
    <w:p w14:paraId="01B59A1B" w14:textId="77777777" w:rsidR="00E533ED" w:rsidRDefault="00000000">
      <w:pPr>
        <w:pStyle w:val="Titre1"/>
        <w:spacing w:before="320" w:after="140"/>
      </w:pPr>
      <w:r>
        <w:rPr>
          <w:b/>
          <w:bCs/>
          <w:color w:val="07655C"/>
          <w:sz w:val="28"/>
          <w:szCs w:val="28"/>
        </w:rPr>
        <w:t>3. The scenario data model</w:t>
      </w:r>
    </w:p>
    <w:p w14:paraId="2EE5BE2C" w14:textId="77777777" w:rsidR="00E533ED" w:rsidRDefault="00000000">
      <w:pPr>
        <w:spacing w:after="140" w:line="276" w:lineRule="auto"/>
      </w:pPr>
      <w:r>
        <w:rPr>
          <w:color w:val="1C2B29"/>
          <w:sz w:val="21"/>
          <w:szCs w:val="21"/>
        </w:rPr>
        <w:lastRenderedPageBreak/>
        <w:t>Every scenario in the document — whether it is a software/backend condition or a field/operational one — is described using the same nine fields. This is the standardized format requested for QA test-case design: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700"/>
      </w:tblGrid>
      <w:tr w:rsidR="00E533ED" w14:paraId="790E1532" w14:textId="77777777">
        <w:tblPrEx>
          <w:tblCellMar>
            <w:top w:w="0" w:type="dxa"/>
            <w:bottom w:w="0" w:type="dxa"/>
          </w:tblCellMar>
        </w:tblPrEx>
        <w:trPr>
          <w:tblHeader/>
        </w:trPr>
        <w:tc>
          <w:tcPr>
            <w:tcW w:w="2600" w:type="dxa"/>
            <w:shd w:val="clear" w:color="auto" w:fill="E3F2EF"/>
            <w:tcMar>
              <w:top w:w="100" w:type="dxa"/>
              <w:left w:w="120" w:type="dxa"/>
              <w:bottom w:w="100" w:type="dxa"/>
              <w:right w:w="120" w:type="dxa"/>
            </w:tcMar>
          </w:tcPr>
          <w:p w14:paraId="3EBD78F3" w14:textId="77777777" w:rsidR="00E533ED" w:rsidRDefault="00000000">
            <w:r>
              <w:rPr>
                <w:b/>
                <w:bCs/>
                <w:color w:val="07655C"/>
                <w:sz w:val="19"/>
                <w:szCs w:val="19"/>
              </w:rPr>
              <w:t>Field</w:t>
            </w:r>
          </w:p>
        </w:tc>
        <w:tc>
          <w:tcPr>
            <w:tcW w:w="7700" w:type="dxa"/>
            <w:shd w:val="clear" w:color="auto" w:fill="E3F2EF"/>
            <w:tcMar>
              <w:top w:w="100" w:type="dxa"/>
              <w:left w:w="120" w:type="dxa"/>
              <w:bottom w:w="100" w:type="dxa"/>
              <w:right w:w="120" w:type="dxa"/>
            </w:tcMar>
          </w:tcPr>
          <w:p w14:paraId="05D5E064" w14:textId="77777777" w:rsidR="00E533ED" w:rsidRDefault="00000000">
            <w:r>
              <w:rPr>
                <w:b/>
                <w:bCs/>
                <w:color w:val="07655C"/>
                <w:sz w:val="19"/>
                <w:szCs w:val="19"/>
              </w:rPr>
              <w:t>Meaning</w:t>
            </w:r>
          </w:p>
        </w:tc>
      </w:tr>
      <w:tr w:rsidR="00E533ED" w14:paraId="4C12C8F7" w14:textId="77777777">
        <w:tblPrEx>
          <w:tblCellMar>
            <w:top w:w="0" w:type="dxa"/>
            <w:bottom w:w="0" w:type="dxa"/>
          </w:tblCellMar>
        </w:tblPrEx>
        <w:tc>
          <w:tcPr>
            <w:tcW w:w="2600" w:type="dxa"/>
            <w:tcMar>
              <w:top w:w="100" w:type="dxa"/>
              <w:left w:w="120" w:type="dxa"/>
              <w:bottom w:w="100" w:type="dxa"/>
              <w:right w:w="120" w:type="dxa"/>
            </w:tcMar>
          </w:tcPr>
          <w:p w14:paraId="2C501A33" w14:textId="77777777" w:rsidR="00E533ED" w:rsidRDefault="00000000">
            <w:r>
              <w:rPr>
                <w:color w:val="1C2B29"/>
                <w:sz w:val="19"/>
                <w:szCs w:val="19"/>
              </w:rPr>
              <w:t>ID</w:t>
            </w:r>
          </w:p>
        </w:tc>
        <w:tc>
          <w:tcPr>
            <w:tcW w:w="7700" w:type="dxa"/>
            <w:tcMar>
              <w:top w:w="100" w:type="dxa"/>
              <w:left w:w="120" w:type="dxa"/>
              <w:bottom w:w="100" w:type="dxa"/>
              <w:right w:w="120" w:type="dxa"/>
            </w:tcMar>
          </w:tcPr>
          <w:p w14:paraId="1809D3E5" w14:textId="77777777" w:rsidR="00E533ED" w:rsidRDefault="00000000">
            <w:r>
              <w:rPr>
                <w:color w:val="1C2B29"/>
                <w:sz w:val="19"/>
                <w:szCs w:val="19"/>
              </w:rPr>
              <w:t>Unique reference (SC-01 … SC-17) used throughout the document and in cross-links.</w:t>
            </w:r>
          </w:p>
        </w:tc>
      </w:tr>
      <w:tr w:rsidR="00E533ED" w14:paraId="7427AD38" w14:textId="77777777">
        <w:tblPrEx>
          <w:tblCellMar>
            <w:top w:w="0" w:type="dxa"/>
            <w:bottom w:w="0" w:type="dxa"/>
          </w:tblCellMar>
        </w:tblPrEx>
        <w:tc>
          <w:tcPr>
            <w:tcW w:w="2600" w:type="dxa"/>
            <w:tcMar>
              <w:top w:w="100" w:type="dxa"/>
              <w:left w:w="120" w:type="dxa"/>
              <w:bottom w:w="100" w:type="dxa"/>
              <w:right w:w="120" w:type="dxa"/>
            </w:tcMar>
          </w:tcPr>
          <w:p w14:paraId="07B47E3B" w14:textId="77777777" w:rsidR="00E533ED" w:rsidRDefault="00000000">
            <w:r>
              <w:rPr>
                <w:color w:val="1C2B29"/>
                <w:sz w:val="19"/>
                <w:szCs w:val="19"/>
              </w:rPr>
              <w:t>Category</w:t>
            </w:r>
          </w:p>
        </w:tc>
        <w:tc>
          <w:tcPr>
            <w:tcW w:w="7700" w:type="dxa"/>
            <w:tcMar>
              <w:top w:w="100" w:type="dxa"/>
              <w:left w:w="120" w:type="dxa"/>
              <w:bottom w:w="100" w:type="dxa"/>
              <w:right w:w="120" w:type="dxa"/>
            </w:tcMar>
          </w:tcPr>
          <w:p w14:paraId="325B5063" w14:textId="77777777" w:rsidR="00E533ED" w:rsidRDefault="00000000">
            <w:r>
              <w:rPr>
                <w:color w:val="1C2B29"/>
                <w:sz w:val="19"/>
                <w:szCs w:val="19"/>
              </w:rPr>
              <w:t>Nominal (expected behavior), Degraded (system keeps working with a defined fallback), or Edge case (infrequent but foreseeable).</w:t>
            </w:r>
          </w:p>
        </w:tc>
      </w:tr>
      <w:tr w:rsidR="00E533ED" w14:paraId="35AEF814" w14:textId="77777777">
        <w:tblPrEx>
          <w:tblCellMar>
            <w:top w:w="0" w:type="dxa"/>
            <w:bottom w:w="0" w:type="dxa"/>
          </w:tblCellMar>
        </w:tblPrEx>
        <w:tc>
          <w:tcPr>
            <w:tcW w:w="2600" w:type="dxa"/>
            <w:tcMar>
              <w:top w:w="100" w:type="dxa"/>
              <w:left w:w="120" w:type="dxa"/>
              <w:bottom w:w="100" w:type="dxa"/>
              <w:right w:w="120" w:type="dxa"/>
            </w:tcMar>
          </w:tcPr>
          <w:p w14:paraId="312D3395" w14:textId="77777777" w:rsidR="00E533ED" w:rsidRDefault="00000000">
            <w:r>
              <w:rPr>
                <w:color w:val="1C2B29"/>
                <w:sz w:val="19"/>
                <w:szCs w:val="19"/>
              </w:rPr>
              <w:t>Domain</w:t>
            </w:r>
          </w:p>
        </w:tc>
        <w:tc>
          <w:tcPr>
            <w:tcW w:w="7700" w:type="dxa"/>
            <w:tcMar>
              <w:top w:w="100" w:type="dxa"/>
              <w:left w:w="120" w:type="dxa"/>
              <w:bottom w:w="100" w:type="dxa"/>
              <w:right w:w="120" w:type="dxa"/>
            </w:tcMar>
          </w:tcPr>
          <w:p w14:paraId="2E20A6E2" w14:textId="77777777" w:rsidR="00E533ED" w:rsidRDefault="00000000">
            <w:r>
              <w:rPr>
                <w:color w:val="1C2B29"/>
                <w:sz w:val="19"/>
                <w:szCs w:val="19"/>
              </w:rPr>
              <w:t>Where the scenario originates: Backend automation, Field &amp; installation, Logistics &amp; suppliers, or Human factor.</w:t>
            </w:r>
          </w:p>
        </w:tc>
      </w:tr>
      <w:tr w:rsidR="00E533ED" w14:paraId="6EB9ABCB" w14:textId="77777777">
        <w:tblPrEx>
          <w:tblCellMar>
            <w:top w:w="0" w:type="dxa"/>
            <w:bottom w:w="0" w:type="dxa"/>
          </w:tblCellMar>
        </w:tblPrEx>
        <w:tc>
          <w:tcPr>
            <w:tcW w:w="2600" w:type="dxa"/>
            <w:tcMar>
              <w:top w:w="100" w:type="dxa"/>
              <w:left w:w="120" w:type="dxa"/>
              <w:bottom w:w="100" w:type="dxa"/>
              <w:right w:w="120" w:type="dxa"/>
            </w:tcMar>
          </w:tcPr>
          <w:p w14:paraId="146FF827" w14:textId="77777777" w:rsidR="00E533ED" w:rsidRDefault="00000000">
            <w:r>
              <w:rPr>
                <w:color w:val="1C2B29"/>
                <w:sz w:val="19"/>
                <w:szCs w:val="19"/>
              </w:rPr>
              <w:t>Severity</w:t>
            </w:r>
          </w:p>
        </w:tc>
        <w:tc>
          <w:tcPr>
            <w:tcW w:w="7700" w:type="dxa"/>
            <w:tcMar>
              <w:top w:w="100" w:type="dxa"/>
              <w:left w:w="120" w:type="dxa"/>
              <w:bottom w:w="100" w:type="dxa"/>
              <w:right w:w="120" w:type="dxa"/>
            </w:tcMar>
          </w:tcPr>
          <w:p w14:paraId="268F9E53" w14:textId="77777777" w:rsidR="00E533ED" w:rsidRDefault="00000000">
            <w:r>
              <w:rPr>
                <w:color w:val="1C2B29"/>
                <w:sz w:val="19"/>
                <w:szCs w:val="19"/>
              </w:rPr>
              <w:t>Impact if the scenario occurs, from Low to Catastrophic — drives the color on the timeline and the notification urgency.</w:t>
            </w:r>
          </w:p>
        </w:tc>
      </w:tr>
      <w:tr w:rsidR="00E533ED" w14:paraId="4EFA4FF2" w14:textId="77777777">
        <w:tblPrEx>
          <w:tblCellMar>
            <w:top w:w="0" w:type="dxa"/>
            <w:bottom w:w="0" w:type="dxa"/>
          </w:tblCellMar>
        </w:tblPrEx>
        <w:tc>
          <w:tcPr>
            <w:tcW w:w="2600" w:type="dxa"/>
            <w:tcMar>
              <w:top w:w="100" w:type="dxa"/>
              <w:left w:w="120" w:type="dxa"/>
              <w:bottom w:w="100" w:type="dxa"/>
              <w:right w:w="120" w:type="dxa"/>
            </w:tcMar>
          </w:tcPr>
          <w:p w14:paraId="64007C30" w14:textId="77777777" w:rsidR="00E533ED" w:rsidRDefault="00000000">
            <w:r>
              <w:rPr>
                <w:color w:val="1C2B29"/>
                <w:sz w:val="19"/>
                <w:szCs w:val="19"/>
              </w:rPr>
              <w:t>Probability / frequency</w:t>
            </w:r>
          </w:p>
        </w:tc>
        <w:tc>
          <w:tcPr>
            <w:tcW w:w="7700" w:type="dxa"/>
            <w:tcMar>
              <w:top w:w="100" w:type="dxa"/>
              <w:left w:w="120" w:type="dxa"/>
              <w:bottom w:w="100" w:type="dxa"/>
              <w:right w:w="120" w:type="dxa"/>
            </w:tcMar>
          </w:tcPr>
          <w:p w14:paraId="01A91795" w14:textId="77777777" w:rsidR="00E533ED" w:rsidRDefault="00000000">
            <w:r>
              <w:rPr>
                <w:color w:val="1C2B29"/>
                <w:sz w:val="19"/>
                <w:szCs w:val="19"/>
              </w:rPr>
              <w:t>How often the scenario is expected to occur — drives its position on the timeline.</w:t>
            </w:r>
          </w:p>
        </w:tc>
      </w:tr>
      <w:tr w:rsidR="00E533ED" w14:paraId="54590A6D" w14:textId="77777777">
        <w:tblPrEx>
          <w:tblCellMar>
            <w:top w:w="0" w:type="dxa"/>
            <w:bottom w:w="0" w:type="dxa"/>
          </w:tblCellMar>
        </w:tblPrEx>
        <w:tc>
          <w:tcPr>
            <w:tcW w:w="2600" w:type="dxa"/>
            <w:tcMar>
              <w:top w:w="100" w:type="dxa"/>
              <w:left w:w="120" w:type="dxa"/>
              <w:bottom w:w="100" w:type="dxa"/>
              <w:right w:w="120" w:type="dxa"/>
            </w:tcMar>
          </w:tcPr>
          <w:p w14:paraId="73D9E62E" w14:textId="77777777" w:rsidR="00E533ED" w:rsidRDefault="00000000">
            <w:r>
              <w:rPr>
                <w:color w:val="1C2B29"/>
                <w:sz w:val="19"/>
                <w:szCs w:val="19"/>
              </w:rPr>
              <w:t>Trigger</w:t>
            </w:r>
          </w:p>
        </w:tc>
        <w:tc>
          <w:tcPr>
            <w:tcW w:w="7700" w:type="dxa"/>
            <w:tcMar>
              <w:top w:w="100" w:type="dxa"/>
              <w:left w:w="120" w:type="dxa"/>
              <w:bottom w:w="100" w:type="dxa"/>
              <w:right w:w="120" w:type="dxa"/>
            </w:tcMar>
          </w:tcPr>
          <w:p w14:paraId="09607444" w14:textId="77777777" w:rsidR="00E533ED" w:rsidRDefault="00000000">
            <w:r>
              <w:rPr>
                <w:color w:val="1C2B29"/>
                <w:sz w:val="19"/>
                <w:szCs w:val="19"/>
              </w:rPr>
              <w:t>The exact, quantified condition that starts the scenario (a threshold, a duration, an event).</w:t>
            </w:r>
          </w:p>
        </w:tc>
      </w:tr>
      <w:tr w:rsidR="00E533ED" w14:paraId="5329BAA8" w14:textId="77777777">
        <w:tblPrEx>
          <w:tblCellMar>
            <w:top w:w="0" w:type="dxa"/>
            <w:bottom w:w="0" w:type="dxa"/>
          </w:tblCellMar>
        </w:tblPrEx>
        <w:tc>
          <w:tcPr>
            <w:tcW w:w="2600" w:type="dxa"/>
            <w:tcMar>
              <w:top w:w="100" w:type="dxa"/>
              <w:left w:w="120" w:type="dxa"/>
              <w:bottom w:w="100" w:type="dxa"/>
              <w:right w:w="120" w:type="dxa"/>
            </w:tcMar>
          </w:tcPr>
          <w:p w14:paraId="76F1DA80" w14:textId="77777777" w:rsidR="00E533ED" w:rsidRDefault="00000000">
            <w:r>
              <w:rPr>
                <w:color w:val="1C2B29"/>
                <w:sz w:val="19"/>
                <w:szCs w:val="19"/>
              </w:rPr>
              <w:t>Impact</w:t>
            </w:r>
          </w:p>
        </w:tc>
        <w:tc>
          <w:tcPr>
            <w:tcW w:w="7700" w:type="dxa"/>
            <w:tcMar>
              <w:top w:w="100" w:type="dxa"/>
              <w:left w:w="120" w:type="dxa"/>
              <w:bottom w:w="100" w:type="dxa"/>
              <w:right w:w="120" w:type="dxa"/>
            </w:tcMar>
          </w:tcPr>
          <w:p w14:paraId="375857B6" w14:textId="77777777" w:rsidR="00E533ED" w:rsidRDefault="00000000">
            <w:r>
              <w:rPr>
                <w:color w:val="1C2B29"/>
                <w:sz w:val="19"/>
                <w:szCs w:val="19"/>
              </w:rPr>
              <w:t>What happens if the scenario is not handled.</w:t>
            </w:r>
          </w:p>
        </w:tc>
      </w:tr>
      <w:tr w:rsidR="00E533ED" w14:paraId="16CB0994" w14:textId="77777777">
        <w:tblPrEx>
          <w:tblCellMar>
            <w:top w:w="0" w:type="dxa"/>
            <w:bottom w:w="0" w:type="dxa"/>
          </w:tblCellMar>
        </w:tblPrEx>
        <w:tc>
          <w:tcPr>
            <w:tcW w:w="2600" w:type="dxa"/>
            <w:tcMar>
              <w:top w:w="100" w:type="dxa"/>
              <w:left w:w="120" w:type="dxa"/>
              <w:bottom w:w="100" w:type="dxa"/>
              <w:right w:w="120" w:type="dxa"/>
            </w:tcMar>
          </w:tcPr>
          <w:p w14:paraId="02EA9B32" w14:textId="77777777" w:rsidR="00E533ED" w:rsidRDefault="00000000">
            <w:r>
              <w:rPr>
                <w:color w:val="1C2B29"/>
                <w:sz w:val="19"/>
                <w:szCs w:val="19"/>
              </w:rPr>
              <w:t>System action</w:t>
            </w:r>
          </w:p>
        </w:tc>
        <w:tc>
          <w:tcPr>
            <w:tcW w:w="7700" w:type="dxa"/>
            <w:tcMar>
              <w:top w:w="100" w:type="dxa"/>
              <w:left w:w="120" w:type="dxa"/>
              <w:bottom w:w="100" w:type="dxa"/>
              <w:right w:w="120" w:type="dxa"/>
            </w:tcMar>
          </w:tcPr>
          <w:p w14:paraId="7D5090AC" w14:textId="77777777" w:rsidR="00E533ED" w:rsidRDefault="00000000">
            <w:r>
              <w:rPr>
                <w:color w:val="1C2B29"/>
                <w:sz w:val="19"/>
                <w:szCs w:val="19"/>
              </w:rPr>
              <w:t>What the backend, scheduler, or field-operations workflow does automatically.</w:t>
            </w:r>
          </w:p>
        </w:tc>
      </w:tr>
      <w:tr w:rsidR="00E533ED" w14:paraId="507ABFE1" w14:textId="77777777">
        <w:tblPrEx>
          <w:tblCellMar>
            <w:top w:w="0" w:type="dxa"/>
            <w:bottom w:w="0" w:type="dxa"/>
          </w:tblCellMar>
        </w:tblPrEx>
        <w:tc>
          <w:tcPr>
            <w:tcW w:w="2600" w:type="dxa"/>
            <w:tcMar>
              <w:top w:w="100" w:type="dxa"/>
              <w:left w:w="120" w:type="dxa"/>
              <w:bottom w:w="100" w:type="dxa"/>
              <w:right w:w="120" w:type="dxa"/>
            </w:tcMar>
          </w:tcPr>
          <w:p w14:paraId="063B3D53" w14:textId="77777777" w:rsidR="00E533ED" w:rsidRDefault="00000000">
            <w:r>
              <w:rPr>
                <w:color w:val="1C2B29"/>
                <w:sz w:val="19"/>
                <w:szCs w:val="19"/>
              </w:rPr>
              <w:t>UI signal / Resolution</w:t>
            </w:r>
          </w:p>
        </w:tc>
        <w:tc>
          <w:tcPr>
            <w:tcW w:w="7700" w:type="dxa"/>
            <w:tcMar>
              <w:top w:w="100" w:type="dxa"/>
              <w:left w:w="120" w:type="dxa"/>
              <w:bottom w:w="100" w:type="dxa"/>
              <w:right w:w="120" w:type="dxa"/>
            </w:tcMar>
          </w:tcPr>
          <w:p w14:paraId="29AC425D" w14:textId="77777777" w:rsidR="00E533ED" w:rsidRDefault="00000000">
            <w:r>
              <w:rPr>
                <w:color w:val="1C2B29"/>
                <w:sz w:val="19"/>
                <w:szCs w:val="19"/>
              </w:rPr>
              <w:t>What becomes visible to the user, and the precise condition required to exit the state.</w:t>
            </w:r>
          </w:p>
        </w:tc>
      </w:tr>
    </w:tbl>
    <w:p w14:paraId="101FE944" w14:textId="77777777" w:rsidR="00E533ED" w:rsidRDefault="00000000">
      <w:pPr>
        <w:pBdr>
          <w:left w:val="single" w:sz="18" w:space="8" w:color="0A8276"/>
        </w:pBdr>
        <w:spacing w:before="80" w:after="180" w:line="276" w:lineRule="auto"/>
        <w:ind w:left="120"/>
      </w:pPr>
      <w:r>
        <w:rPr>
          <w:i/>
          <w:iCs/>
          <w:color w:val="07655C"/>
        </w:rPr>
        <w:t>Domain is what was added when the analysis was widened beyond the backend: scenarios such as “equipment failure blocking a scheduled installation visit” (SC-14), spare-part shortages (SC-15), site inaccessibility (SC-16), and technician unavailability (SC-17) are field/operational conditions, not software states — but they follow the exact same nine-field structure so they can be tracked and tested the same way.</w:t>
      </w:r>
    </w:p>
    <w:p w14:paraId="334496F7" w14:textId="77777777" w:rsidR="00E533ED" w:rsidRDefault="00000000">
      <w:pPr>
        <w:pStyle w:val="Titre1"/>
        <w:spacing w:before="320" w:after="140"/>
      </w:pPr>
      <w:r>
        <w:rPr>
          <w:b/>
          <w:bCs/>
          <w:color w:val="07655C"/>
          <w:sz w:val="28"/>
          <w:szCs w:val="28"/>
        </w:rPr>
        <w:t>4. Reading the chronological risk timeline</w:t>
      </w:r>
    </w:p>
    <w:p w14:paraId="69606396" w14:textId="77777777" w:rsidR="00E533ED" w:rsidRDefault="00000000">
      <w:pPr>
        <w:spacing w:after="140" w:line="276" w:lineRule="auto"/>
      </w:pPr>
      <w:r>
        <w:rPr>
          <w:color w:val="1C2B29"/>
          <w:sz w:val="21"/>
          <w:szCs w:val="21"/>
        </w:rPr>
        <w:t>The Overview tab replaces a traditional severity/probability grid with a horizontal timeline. The horizontal axis represents expected frequency of occurrence, grouped into four bands:</w:t>
      </w:r>
    </w:p>
    <w:p w14:paraId="31D953E0" w14:textId="77777777" w:rsidR="00E533ED" w:rsidRDefault="00000000">
      <w:pPr>
        <w:pStyle w:val="Paragraphedeliste"/>
        <w:numPr>
          <w:ilvl w:val="0"/>
          <w:numId w:val="2"/>
        </w:numPr>
        <w:spacing w:after="70" w:line="276" w:lineRule="auto"/>
      </w:pPr>
      <w:r>
        <w:rPr>
          <w:color w:val="1C2B29"/>
          <w:sz w:val="21"/>
          <w:szCs w:val="21"/>
        </w:rPr>
        <w:t>Rare — a few times a year or less</w:t>
      </w:r>
    </w:p>
    <w:p w14:paraId="79737ECE" w14:textId="77777777" w:rsidR="00E533ED" w:rsidRDefault="00000000">
      <w:pPr>
        <w:pStyle w:val="Paragraphedeliste"/>
        <w:numPr>
          <w:ilvl w:val="0"/>
          <w:numId w:val="2"/>
        </w:numPr>
        <w:spacing w:after="70" w:line="276" w:lineRule="auto"/>
      </w:pPr>
      <w:r>
        <w:rPr>
          <w:color w:val="1C2B29"/>
          <w:sz w:val="21"/>
          <w:szCs w:val="21"/>
        </w:rPr>
        <w:t>Occasional — roughly once a month</w:t>
      </w:r>
    </w:p>
    <w:p w14:paraId="5ED49B25" w14:textId="77777777" w:rsidR="00E533ED" w:rsidRDefault="00000000">
      <w:pPr>
        <w:pStyle w:val="Paragraphedeliste"/>
        <w:numPr>
          <w:ilvl w:val="0"/>
          <w:numId w:val="2"/>
        </w:numPr>
        <w:spacing w:after="70" w:line="276" w:lineRule="auto"/>
      </w:pPr>
      <w:r>
        <w:rPr>
          <w:color w:val="1C2B29"/>
          <w:sz w:val="21"/>
          <w:szCs w:val="21"/>
        </w:rPr>
        <w:t>Frequent — roughly once a week</w:t>
      </w:r>
    </w:p>
    <w:p w14:paraId="1D50D374" w14:textId="77777777" w:rsidR="00E533ED" w:rsidRDefault="00000000">
      <w:pPr>
        <w:pStyle w:val="Paragraphedeliste"/>
        <w:numPr>
          <w:ilvl w:val="0"/>
          <w:numId w:val="2"/>
        </w:numPr>
        <w:spacing w:after="70" w:line="276" w:lineRule="auto"/>
      </w:pPr>
      <w:r>
        <w:rPr>
          <w:color w:val="1C2B29"/>
          <w:sz w:val="21"/>
          <w:szCs w:val="21"/>
        </w:rPr>
        <w:t>Near-certain — daily, or on every cycle</w:t>
      </w:r>
    </w:p>
    <w:p w14:paraId="40CCCA07" w14:textId="77777777" w:rsidR="00E533ED" w:rsidRDefault="00000000">
      <w:pPr>
        <w:spacing w:after="140" w:line="276" w:lineRule="auto"/>
      </w:pPr>
      <w:r>
        <w:rPr>
          <w:color w:val="1C2B29"/>
          <w:sz w:val="21"/>
          <w:szCs w:val="21"/>
        </w:rPr>
        <w:t>Within each band, scenarios are stacked and colored on a green-to-red scale that represents severity (green = low impact, red = catastrophic). Clicking any scenario chip jumps directly to its full card in the Scenario Sheets tab and highlights it briefly.</w:t>
      </w:r>
    </w:p>
    <w:p w14:paraId="0B6F53ED" w14:textId="77777777" w:rsidR="00E533ED" w:rsidRDefault="00000000">
      <w:pPr>
        <w:spacing w:after="140" w:line="276" w:lineRule="auto"/>
      </w:pPr>
      <w:r>
        <w:rPr>
          <w:color w:val="1C2B29"/>
          <w:sz w:val="21"/>
          <w:szCs w:val="21"/>
        </w:rPr>
        <w:t>Below the timeline, two supporting panels break the same 17 scenarios down by domain (how many are backend vs. field vs. logistics vs. human) and surface the handful of scenarios that combine both high severity and high frequency — these are the ones worth prioritizing first in implementation and testing.</w:t>
      </w:r>
    </w:p>
    <w:p w14:paraId="48F3555B" w14:textId="77777777" w:rsidR="00E533ED" w:rsidRDefault="00000000">
      <w:pPr>
        <w:pStyle w:val="Titre1"/>
        <w:spacing w:before="320" w:after="140"/>
      </w:pPr>
      <w:r>
        <w:rPr>
          <w:b/>
          <w:bCs/>
          <w:color w:val="07655C"/>
          <w:sz w:val="28"/>
          <w:szCs w:val="28"/>
        </w:rPr>
        <w:t>5. Using the threshold simulator</w:t>
      </w:r>
    </w:p>
    <w:p w14:paraId="3A1E6EFB" w14:textId="77777777" w:rsidR="00E533ED" w:rsidRDefault="00000000">
      <w:pPr>
        <w:spacing w:after="140" w:line="276" w:lineRule="auto"/>
      </w:pPr>
      <w:r>
        <w:rPr>
          <w:color w:val="1C2B29"/>
          <w:sz w:val="21"/>
          <w:szCs w:val="21"/>
        </w:rPr>
        <w:t>Vague trigger language (“if the water is low”) is replaced throughout the document with exact figures. The Threshold Simulator tab lets you drag a slider and see, live, what that figure would actually do:</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0"/>
        <w:gridCol w:w="3800"/>
      </w:tblGrid>
      <w:tr w:rsidR="00E533ED" w14:paraId="71E65199" w14:textId="77777777">
        <w:tblPrEx>
          <w:tblCellMar>
            <w:top w:w="0" w:type="dxa"/>
            <w:bottom w:w="0" w:type="dxa"/>
          </w:tblCellMar>
        </w:tblPrEx>
        <w:trPr>
          <w:tblHeader/>
        </w:trPr>
        <w:tc>
          <w:tcPr>
            <w:tcW w:w="2900" w:type="dxa"/>
            <w:shd w:val="clear" w:color="auto" w:fill="E3F2EF"/>
            <w:tcMar>
              <w:top w:w="100" w:type="dxa"/>
              <w:left w:w="120" w:type="dxa"/>
              <w:bottom w:w="100" w:type="dxa"/>
              <w:right w:w="120" w:type="dxa"/>
            </w:tcMar>
          </w:tcPr>
          <w:p w14:paraId="3C9474BE" w14:textId="77777777" w:rsidR="00E533ED" w:rsidRDefault="00000000">
            <w:r>
              <w:rPr>
                <w:b/>
                <w:bCs/>
                <w:color w:val="07655C"/>
                <w:sz w:val="19"/>
                <w:szCs w:val="19"/>
              </w:rPr>
              <w:lastRenderedPageBreak/>
              <w:t>Simulator</w:t>
            </w:r>
          </w:p>
        </w:tc>
        <w:tc>
          <w:tcPr>
            <w:tcW w:w="3600" w:type="dxa"/>
            <w:shd w:val="clear" w:color="auto" w:fill="E3F2EF"/>
            <w:tcMar>
              <w:top w:w="100" w:type="dxa"/>
              <w:left w:w="120" w:type="dxa"/>
              <w:bottom w:w="100" w:type="dxa"/>
              <w:right w:w="120" w:type="dxa"/>
            </w:tcMar>
          </w:tcPr>
          <w:p w14:paraId="264F6388" w14:textId="77777777" w:rsidR="00E533ED" w:rsidRDefault="00000000">
            <w:r>
              <w:rPr>
                <w:b/>
                <w:bCs/>
                <w:color w:val="07655C"/>
                <w:sz w:val="19"/>
                <w:szCs w:val="19"/>
              </w:rPr>
              <w:t>Slider(s)</w:t>
            </w:r>
          </w:p>
        </w:tc>
        <w:tc>
          <w:tcPr>
            <w:tcW w:w="3800" w:type="dxa"/>
            <w:shd w:val="clear" w:color="auto" w:fill="E3F2EF"/>
            <w:tcMar>
              <w:top w:w="100" w:type="dxa"/>
              <w:left w:w="120" w:type="dxa"/>
              <w:bottom w:w="100" w:type="dxa"/>
              <w:right w:w="120" w:type="dxa"/>
            </w:tcMar>
          </w:tcPr>
          <w:p w14:paraId="4EAA2F53" w14:textId="77777777" w:rsidR="00E533ED" w:rsidRDefault="00000000">
            <w:r>
              <w:rPr>
                <w:b/>
                <w:bCs/>
                <w:color w:val="07655C"/>
                <w:sz w:val="19"/>
                <w:szCs w:val="19"/>
              </w:rPr>
              <w:t>What updates live</w:t>
            </w:r>
          </w:p>
        </w:tc>
      </w:tr>
      <w:tr w:rsidR="00E533ED" w14:paraId="289D5FC3" w14:textId="77777777">
        <w:tblPrEx>
          <w:tblCellMar>
            <w:top w:w="0" w:type="dxa"/>
            <w:bottom w:w="0" w:type="dxa"/>
          </w:tblCellMar>
        </w:tblPrEx>
        <w:tc>
          <w:tcPr>
            <w:tcW w:w="2900" w:type="dxa"/>
            <w:tcMar>
              <w:top w:w="100" w:type="dxa"/>
              <w:left w:w="120" w:type="dxa"/>
              <w:bottom w:w="100" w:type="dxa"/>
              <w:right w:w="120" w:type="dxa"/>
            </w:tcMar>
          </w:tcPr>
          <w:p w14:paraId="2BD5619B" w14:textId="77777777" w:rsidR="00E533ED" w:rsidRDefault="00000000">
            <w:r>
              <w:rPr>
                <w:color w:val="1C2B29"/>
                <w:sz w:val="19"/>
                <w:szCs w:val="19"/>
              </w:rPr>
              <w:t>Reservoir critical threshold</w:t>
            </w:r>
          </w:p>
        </w:tc>
        <w:tc>
          <w:tcPr>
            <w:tcW w:w="3600" w:type="dxa"/>
            <w:tcMar>
              <w:top w:w="100" w:type="dxa"/>
              <w:left w:w="120" w:type="dxa"/>
              <w:bottom w:w="100" w:type="dxa"/>
              <w:right w:w="120" w:type="dxa"/>
            </w:tcMar>
          </w:tcPr>
          <w:p w14:paraId="340E3713" w14:textId="77777777" w:rsidR="00E533ED" w:rsidRDefault="00000000">
            <w:r>
              <w:rPr>
                <w:color w:val="1C2B29"/>
                <w:sz w:val="19"/>
                <w:szCs w:val="19"/>
              </w:rPr>
              <w:t>Critical tank level (5–40%)</w:t>
            </w:r>
          </w:p>
        </w:tc>
        <w:tc>
          <w:tcPr>
            <w:tcW w:w="3800" w:type="dxa"/>
            <w:tcMar>
              <w:top w:w="100" w:type="dxa"/>
              <w:left w:w="120" w:type="dxa"/>
              <w:bottom w:w="100" w:type="dxa"/>
              <w:right w:w="120" w:type="dxa"/>
            </w:tcMar>
          </w:tcPr>
          <w:p w14:paraId="20639D7C" w14:textId="77777777" w:rsidR="00E533ED" w:rsidRDefault="00000000">
            <w:r>
              <w:rPr>
                <w:color w:val="1C2B29"/>
                <w:sz w:val="19"/>
                <w:szCs w:val="19"/>
              </w:rPr>
              <w:t>A circular gauge and a 7-day trend chart; bars below the threshold turn red, and the text states how many of the last 7 days would have triggered the critical state.</w:t>
            </w:r>
          </w:p>
        </w:tc>
      </w:tr>
      <w:tr w:rsidR="00E533ED" w14:paraId="03B09F36" w14:textId="77777777">
        <w:tblPrEx>
          <w:tblCellMar>
            <w:top w:w="0" w:type="dxa"/>
            <w:bottom w:w="0" w:type="dxa"/>
          </w:tblCellMar>
        </w:tblPrEx>
        <w:tc>
          <w:tcPr>
            <w:tcW w:w="2900" w:type="dxa"/>
            <w:tcMar>
              <w:top w:w="100" w:type="dxa"/>
              <w:left w:w="120" w:type="dxa"/>
              <w:bottom w:w="100" w:type="dxa"/>
              <w:right w:w="120" w:type="dxa"/>
            </w:tcMar>
          </w:tcPr>
          <w:p w14:paraId="386F7AC8" w14:textId="77777777" w:rsidR="00E533ED" w:rsidRDefault="00000000">
            <w:r>
              <w:rPr>
                <w:color w:val="1C2B29"/>
                <w:sz w:val="19"/>
                <w:szCs w:val="19"/>
              </w:rPr>
              <w:t>Sensor fallback tolerance</w:t>
            </w:r>
          </w:p>
        </w:tc>
        <w:tc>
          <w:tcPr>
            <w:tcW w:w="3600" w:type="dxa"/>
            <w:tcMar>
              <w:top w:w="100" w:type="dxa"/>
              <w:left w:w="120" w:type="dxa"/>
              <w:bottom w:w="100" w:type="dxa"/>
              <w:right w:w="120" w:type="dxa"/>
            </w:tcMar>
          </w:tcPr>
          <w:p w14:paraId="27C61450" w14:textId="77777777" w:rsidR="00E533ED" w:rsidRDefault="00000000">
            <w:r>
              <w:rPr>
                <w:color w:val="1C2B29"/>
                <w:sz w:val="19"/>
                <w:szCs w:val="19"/>
              </w:rPr>
              <w:t xml:space="preserve">Time before data is marked “stale”, and time before a technical alert </w:t>
            </w:r>
            <w:proofErr w:type="gramStart"/>
            <w:r>
              <w:rPr>
                <w:color w:val="1C2B29"/>
                <w:sz w:val="19"/>
                <w:szCs w:val="19"/>
              </w:rPr>
              <w:t>fires</w:t>
            </w:r>
            <w:proofErr w:type="gramEnd"/>
          </w:p>
        </w:tc>
        <w:tc>
          <w:tcPr>
            <w:tcW w:w="3800" w:type="dxa"/>
            <w:tcMar>
              <w:top w:w="100" w:type="dxa"/>
              <w:left w:w="120" w:type="dxa"/>
              <w:bottom w:w="100" w:type="dxa"/>
              <w:right w:w="120" w:type="dxa"/>
            </w:tcMar>
          </w:tcPr>
          <w:p w14:paraId="750609BD" w14:textId="77777777" w:rsidR="00E533ED" w:rsidRDefault="00000000">
            <w:r>
              <w:rPr>
                <w:color w:val="1C2B29"/>
                <w:sz w:val="19"/>
                <w:szCs w:val="19"/>
              </w:rPr>
              <w:t>A three-segment bar (live / estimated / technical alert) that resizes as you move either slider.</w:t>
            </w:r>
          </w:p>
        </w:tc>
      </w:tr>
      <w:tr w:rsidR="00E533ED" w14:paraId="5F98F790" w14:textId="77777777">
        <w:tblPrEx>
          <w:tblCellMar>
            <w:top w:w="0" w:type="dxa"/>
            <w:bottom w:w="0" w:type="dxa"/>
          </w:tblCellMar>
        </w:tblPrEx>
        <w:tc>
          <w:tcPr>
            <w:tcW w:w="2900" w:type="dxa"/>
            <w:tcMar>
              <w:top w:w="100" w:type="dxa"/>
              <w:left w:w="120" w:type="dxa"/>
              <w:bottom w:w="100" w:type="dxa"/>
              <w:right w:w="120" w:type="dxa"/>
            </w:tcMar>
          </w:tcPr>
          <w:p w14:paraId="29D87E5C" w14:textId="77777777" w:rsidR="00E533ED" w:rsidRDefault="00000000">
            <w:r>
              <w:rPr>
                <w:color w:val="1C2B29"/>
                <w:sz w:val="19"/>
                <w:szCs w:val="19"/>
              </w:rPr>
              <w:t>Drought escalation</w:t>
            </w:r>
          </w:p>
        </w:tc>
        <w:tc>
          <w:tcPr>
            <w:tcW w:w="3600" w:type="dxa"/>
            <w:tcMar>
              <w:top w:w="100" w:type="dxa"/>
              <w:left w:w="120" w:type="dxa"/>
              <w:bottom w:w="100" w:type="dxa"/>
              <w:right w:w="120" w:type="dxa"/>
            </w:tcMar>
          </w:tcPr>
          <w:p w14:paraId="71745B8C" w14:textId="77777777" w:rsidR="00E533ED" w:rsidRDefault="00000000">
            <w:r>
              <w:rPr>
                <w:color w:val="1C2B29"/>
                <w:sz w:val="19"/>
                <w:szCs w:val="19"/>
              </w:rPr>
              <w:t>Days of decline before “Critical”, and days already observed (test value)</w:t>
            </w:r>
          </w:p>
        </w:tc>
        <w:tc>
          <w:tcPr>
            <w:tcW w:w="3800" w:type="dxa"/>
            <w:tcMar>
              <w:top w:w="100" w:type="dxa"/>
              <w:left w:w="120" w:type="dxa"/>
              <w:bottom w:w="100" w:type="dxa"/>
              <w:right w:w="120" w:type="dxa"/>
            </w:tcMar>
          </w:tcPr>
          <w:p w14:paraId="17E8F8AE" w14:textId="77777777" w:rsidR="00E533ED" w:rsidRDefault="00000000">
            <w:r>
              <w:rPr>
                <w:color w:val="1C2B29"/>
                <w:sz w:val="19"/>
                <w:szCs w:val="19"/>
              </w:rPr>
              <w:t>A four-step risk gauge (Normal → Vigilance → Alert → Critical) highlighting the step that would currently be active.</w:t>
            </w:r>
          </w:p>
        </w:tc>
      </w:tr>
      <w:tr w:rsidR="00E533ED" w14:paraId="74523AE4" w14:textId="77777777">
        <w:tblPrEx>
          <w:tblCellMar>
            <w:top w:w="0" w:type="dxa"/>
            <w:bottom w:w="0" w:type="dxa"/>
          </w:tblCellMar>
        </w:tblPrEx>
        <w:tc>
          <w:tcPr>
            <w:tcW w:w="2900" w:type="dxa"/>
            <w:tcMar>
              <w:top w:w="100" w:type="dxa"/>
              <w:left w:w="120" w:type="dxa"/>
              <w:bottom w:w="100" w:type="dxa"/>
              <w:right w:w="120" w:type="dxa"/>
            </w:tcMar>
          </w:tcPr>
          <w:p w14:paraId="0A5E2CAD" w14:textId="77777777" w:rsidR="00E533ED" w:rsidRDefault="00000000">
            <w:r>
              <w:rPr>
                <w:color w:val="1C2B29"/>
                <w:sz w:val="19"/>
                <w:szCs w:val="19"/>
              </w:rPr>
              <w:t>Field-visit reassignment window</w:t>
            </w:r>
          </w:p>
        </w:tc>
        <w:tc>
          <w:tcPr>
            <w:tcW w:w="3600" w:type="dxa"/>
            <w:tcMar>
              <w:top w:w="100" w:type="dxa"/>
              <w:left w:w="120" w:type="dxa"/>
              <w:bottom w:w="100" w:type="dxa"/>
              <w:right w:w="120" w:type="dxa"/>
            </w:tcMar>
          </w:tcPr>
          <w:p w14:paraId="59E4A8C3" w14:textId="77777777" w:rsidR="00E533ED" w:rsidRDefault="00000000">
            <w:r>
              <w:rPr>
                <w:color w:val="1C2B29"/>
                <w:sz w:val="19"/>
                <w:szCs w:val="19"/>
              </w:rPr>
              <w:t xml:space="preserve">Maximum hours before an unavailable visit </w:t>
            </w:r>
            <w:proofErr w:type="gramStart"/>
            <w:r>
              <w:rPr>
                <w:color w:val="1C2B29"/>
                <w:sz w:val="19"/>
                <w:szCs w:val="19"/>
              </w:rPr>
              <w:t>is</w:t>
            </w:r>
            <w:proofErr w:type="gramEnd"/>
            <w:r>
              <w:rPr>
                <w:color w:val="1C2B29"/>
                <w:sz w:val="19"/>
                <w:szCs w:val="19"/>
              </w:rPr>
              <w:t xml:space="preserve"> automatically reassigned</w:t>
            </w:r>
          </w:p>
        </w:tc>
        <w:tc>
          <w:tcPr>
            <w:tcW w:w="3800" w:type="dxa"/>
            <w:tcMar>
              <w:top w:w="100" w:type="dxa"/>
              <w:left w:w="120" w:type="dxa"/>
              <w:bottom w:w="100" w:type="dxa"/>
              <w:right w:w="120" w:type="dxa"/>
            </w:tcMar>
          </w:tcPr>
          <w:p w14:paraId="342B185B" w14:textId="77777777" w:rsidR="00E533ED" w:rsidRDefault="00000000">
            <w:r>
              <w:rPr>
                <w:color w:val="1C2B29"/>
                <w:sz w:val="19"/>
                <w:szCs w:val="19"/>
              </w:rPr>
              <w:t>The explanatory text describing when a site would flip from “waiting on the original technician/vehicle” to “auto-reassigned”.</w:t>
            </w:r>
          </w:p>
        </w:tc>
      </w:tr>
    </w:tbl>
    <w:p w14:paraId="11AA22E2" w14:textId="77777777" w:rsidR="00E533ED" w:rsidRDefault="00000000">
      <w:pPr>
        <w:pBdr>
          <w:left w:val="single" w:sz="18" w:space="8" w:color="0A8276"/>
        </w:pBdr>
        <w:spacing w:before="80" w:after="180" w:line="276" w:lineRule="auto"/>
        <w:ind w:left="120"/>
      </w:pPr>
      <w:r>
        <w:rPr>
          <w:i/>
          <w:iCs/>
          <w:color w:val="07655C"/>
        </w:rPr>
        <w:t>The default values shown (20% reservoir threshold, 15-minute sensor timeout, 2-hour technical-alert delay, 7-day drought window, 48-hour visit reassignment window) are starting assumptions carried over from the original design document. They are meant to be tested with the sliders and then confirmed — or changed — by the project team before being frozen into configuration.</w:t>
      </w:r>
    </w:p>
    <w:p w14:paraId="4708FADD" w14:textId="77777777" w:rsidR="00E533ED" w:rsidRDefault="00000000">
      <w:pPr>
        <w:pStyle w:val="Titre1"/>
        <w:spacing w:before="320" w:after="140"/>
      </w:pPr>
      <w:r>
        <w:rPr>
          <w:b/>
          <w:bCs/>
          <w:color w:val="07655C"/>
          <w:sz w:val="28"/>
          <w:szCs w:val="28"/>
        </w:rPr>
        <w:t>6. System resilience, zone arbitration, and escalation</w:t>
      </w:r>
    </w:p>
    <w:p w14:paraId="3E8CC40E" w14:textId="77777777" w:rsidR="00E533ED" w:rsidRDefault="00000000">
      <w:pPr>
        <w:spacing w:after="140" w:line="276" w:lineRule="auto"/>
      </w:pPr>
      <w:r>
        <w:rPr>
          <w:color w:val="1C2B29"/>
          <w:sz w:val="21"/>
          <w:szCs w:val="21"/>
        </w:rPr>
        <w:t>The last three tabs are reference tables rather than interactive tools, and are meant to be read alongside the backend architecture document:</w:t>
      </w:r>
    </w:p>
    <w:p w14:paraId="394A29C6" w14:textId="77777777" w:rsidR="00E533ED" w:rsidRDefault="00000000">
      <w:pPr>
        <w:pStyle w:val="Paragraphedeliste"/>
        <w:numPr>
          <w:ilvl w:val="0"/>
          <w:numId w:val="2"/>
        </w:numPr>
        <w:spacing w:after="70" w:line="276" w:lineRule="auto"/>
      </w:pPr>
      <w:r>
        <w:rPr>
          <w:color w:val="1C2B29"/>
          <w:sz w:val="21"/>
          <w:szCs w:val="21"/>
        </w:rPr>
        <w:t>System Resilience lists, per component or resource (sensor, gateway, power supply, vehicle, spare-parts stock…), what fallback behavior applies and what condition is required to exit a critical state — nothing is ever silently cleared.</w:t>
      </w:r>
    </w:p>
    <w:p w14:paraId="6D315EDA" w14:textId="77777777" w:rsidR="00E533ED" w:rsidRDefault="00000000">
      <w:pPr>
        <w:pStyle w:val="Paragraphedeliste"/>
        <w:numPr>
          <w:ilvl w:val="0"/>
          <w:numId w:val="2"/>
        </w:numPr>
        <w:spacing w:after="70" w:line="276" w:lineRule="auto"/>
      </w:pPr>
      <w:r>
        <w:rPr>
          <w:color w:val="1C2B29"/>
          <w:sz w:val="21"/>
          <w:szCs w:val="21"/>
        </w:rPr>
        <w:t>Zone Arbitration shows the fixed priority rule the scheduler applies across zones when water is scarce, and how simultaneous demand from several zones is ordered.</w:t>
      </w:r>
    </w:p>
    <w:p w14:paraId="1A10CDCE" w14:textId="77777777" w:rsidR="00E533ED" w:rsidRDefault="00000000">
      <w:pPr>
        <w:pStyle w:val="Paragraphedeliste"/>
        <w:numPr>
          <w:ilvl w:val="0"/>
          <w:numId w:val="2"/>
        </w:numPr>
        <w:spacing w:after="70" w:line="276" w:lineRule="auto"/>
      </w:pPr>
      <w:r>
        <w:rPr>
          <w:color w:val="1C2B29"/>
          <w:sz w:val="21"/>
          <w:szCs w:val="21"/>
        </w:rPr>
        <w:t>Escalation &amp; Notifications maps severity to notification channel and delay (from a dashboard log entry up to an emergency SMS within 60 seconds), and maps each backend/field state to the exact UI badge and color code that should appear on screen.</w:t>
      </w:r>
    </w:p>
    <w:p w14:paraId="11B40E03" w14:textId="77777777" w:rsidR="00E533ED" w:rsidRDefault="00000000">
      <w:pPr>
        <w:pStyle w:val="Titre1"/>
        <w:spacing w:before="320" w:after="140"/>
      </w:pPr>
      <w:r>
        <w:rPr>
          <w:b/>
          <w:bCs/>
          <w:color w:val="07655C"/>
          <w:sz w:val="28"/>
          <w:szCs w:val="28"/>
        </w:rPr>
        <w:t>7. Suggested way to work through the document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100"/>
      </w:tblGrid>
      <w:tr w:rsidR="00E533ED" w14:paraId="61333B76" w14:textId="77777777">
        <w:tblPrEx>
          <w:tblCellMar>
            <w:top w:w="0" w:type="dxa"/>
            <w:bottom w:w="0" w:type="dxa"/>
          </w:tblCellMar>
        </w:tblPrEx>
        <w:trPr>
          <w:tblHeader/>
        </w:trPr>
        <w:tc>
          <w:tcPr>
            <w:tcW w:w="1200" w:type="dxa"/>
            <w:shd w:val="clear" w:color="auto" w:fill="E3F2EF"/>
            <w:tcMar>
              <w:top w:w="100" w:type="dxa"/>
              <w:left w:w="120" w:type="dxa"/>
              <w:bottom w:w="100" w:type="dxa"/>
              <w:right w:w="120" w:type="dxa"/>
            </w:tcMar>
          </w:tcPr>
          <w:p w14:paraId="438A4914" w14:textId="77777777" w:rsidR="00E533ED" w:rsidRDefault="00000000">
            <w:r>
              <w:rPr>
                <w:b/>
                <w:bCs/>
                <w:color w:val="07655C"/>
                <w:sz w:val="19"/>
                <w:szCs w:val="19"/>
              </w:rPr>
              <w:t>Step</w:t>
            </w:r>
          </w:p>
        </w:tc>
        <w:tc>
          <w:tcPr>
            <w:tcW w:w="9100" w:type="dxa"/>
            <w:shd w:val="clear" w:color="auto" w:fill="E3F2EF"/>
            <w:tcMar>
              <w:top w:w="100" w:type="dxa"/>
              <w:left w:w="120" w:type="dxa"/>
              <w:bottom w:w="100" w:type="dxa"/>
              <w:right w:w="120" w:type="dxa"/>
            </w:tcMar>
          </w:tcPr>
          <w:p w14:paraId="2B2262C0" w14:textId="77777777" w:rsidR="00E533ED" w:rsidRDefault="00000000">
            <w:r>
              <w:rPr>
                <w:b/>
                <w:bCs/>
                <w:color w:val="07655C"/>
                <w:sz w:val="19"/>
                <w:szCs w:val="19"/>
              </w:rPr>
              <w:t>Action</w:t>
            </w:r>
          </w:p>
        </w:tc>
      </w:tr>
      <w:tr w:rsidR="00E533ED" w14:paraId="1F14289F" w14:textId="77777777">
        <w:tblPrEx>
          <w:tblCellMar>
            <w:top w:w="0" w:type="dxa"/>
            <w:bottom w:w="0" w:type="dxa"/>
          </w:tblCellMar>
        </w:tblPrEx>
        <w:tc>
          <w:tcPr>
            <w:tcW w:w="1200" w:type="dxa"/>
            <w:tcMar>
              <w:top w:w="100" w:type="dxa"/>
              <w:left w:w="120" w:type="dxa"/>
              <w:bottom w:w="100" w:type="dxa"/>
              <w:right w:w="120" w:type="dxa"/>
            </w:tcMar>
          </w:tcPr>
          <w:p w14:paraId="057D044C" w14:textId="77777777" w:rsidR="00E533ED" w:rsidRDefault="00000000">
            <w:r>
              <w:rPr>
                <w:color w:val="1C2B29"/>
                <w:sz w:val="19"/>
                <w:szCs w:val="19"/>
              </w:rPr>
              <w:t>1</w:t>
            </w:r>
          </w:p>
        </w:tc>
        <w:tc>
          <w:tcPr>
            <w:tcW w:w="9100" w:type="dxa"/>
            <w:tcMar>
              <w:top w:w="100" w:type="dxa"/>
              <w:left w:w="120" w:type="dxa"/>
              <w:bottom w:w="100" w:type="dxa"/>
              <w:right w:w="120" w:type="dxa"/>
            </w:tcMar>
          </w:tcPr>
          <w:p w14:paraId="281A96B3" w14:textId="77777777" w:rsidR="00E533ED" w:rsidRDefault="00000000">
            <w:r>
              <w:rPr>
                <w:color w:val="1C2B29"/>
                <w:sz w:val="19"/>
                <w:szCs w:val="19"/>
              </w:rPr>
              <w:t>Skim the Overview tab to see the full risk landscape and identify the highest-priority scenarios.</w:t>
            </w:r>
          </w:p>
        </w:tc>
      </w:tr>
      <w:tr w:rsidR="00E533ED" w14:paraId="0D181BDB" w14:textId="77777777">
        <w:tblPrEx>
          <w:tblCellMar>
            <w:top w:w="0" w:type="dxa"/>
            <w:bottom w:w="0" w:type="dxa"/>
          </w:tblCellMar>
        </w:tblPrEx>
        <w:tc>
          <w:tcPr>
            <w:tcW w:w="1200" w:type="dxa"/>
            <w:tcMar>
              <w:top w:w="100" w:type="dxa"/>
              <w:left w:w="120" w:type="dxa"/>
              <w:bottom w:w="100" w:type="dxa"/>
              <w:right w:w="120" w:type="dxa"/>
            </w:tcMar>
          </w:tcPr>
          <w:p w14:paraId="63671C33" w14:textId="77777777" w:rsidR="00E533ED" w:rsidRDefault="00000000">
            <w:r>
              <w:rPr>
                <w:color w:val="1C2B29"/>
                <w:sz w:val="19"/>
                <w:szCs w:val="19"/>
              </w:rPr>
              <w:t>2</w:t>
            </w:r>
          </w:p>
        </w:tc>
        <w:tc>
          <w:tcPr>
            <w:tcW w:w="9100" w:type="dxa"/>
            <w:tcMar>
              <w:top w:w="100" w:type="dxa"/>
              <w:left w:w="120" w:type="dxa"/>
              <w:bottom w:w="100" w:type="dxa"/>
              <w:right w:w="120" w:type="dxa"/>
            </w:tcMar>
          </w:tcPr>
          <w:p w14:paraId="05B1B276" w14:textId="77777777" w:rsidR="00E533ED" w:rsidRDefault="00000000">
            <w:r>
              <w:rPr>
                <w:color w:val="1C2B29"/>
                <w:sz w:val="19"/>
                <w:szCs w:val="19"/>
              </w:rPr>
              <w:t>Open each priority scenario's card in Scenario Sheets and check the trigger, action, and resolution fields against the current implementation plan.</w:t>
            </w:r>
          </w:p>
        </w:tc>
      </w:tr>
      <w:tr w:rsidR="00E533ED" w14:paraId="5887134A" w14:textId="77777777">
        <w:tblPrEx>
          <w:tblCellMar>
            <w:top w:w="0" w:type="dxa"/>
            <w:bottom w:w="0" w:type="dxa"/>
          </w:tblCellMar>
        </w:tblPrEx>
        <w:tc>
          <w:tcPr>
            <w:tcW w:w="1200" w:type="dxa"/>
            <w:tcMar>
              <w:top w:w="100" w:type="dxa"/>
              <w:left w:w="120" w:type="dxa"/>
              <w:bottom w:w="100" w:type="dxa"/>
              <w:right w:w="120" w:type="dxa"/>
            </w:tcMar>
          </w:tcPr>
          <w:p w14:paraId="70F162DE" w14:textId="77777777" w:rsidR="00E533ED" w:rsidRDefault="00000000">
            <w:r>
              <w:rPr>
                <w:color w:val="1C2B29"/>
                <w:sz w:val="19"/>
                <w:szCs w:val="19"/>
              </w:rPr>
              <w:t>3</w:t>
            </w:r>
          </w:p>
        </w:tc>
        <w:tc>
          <w:tcPr>
            <w:tcW w:w="9100" w:type="dxa"/>
            <w:tcMar>
              <w:top w:w="100" w:type="dxa"/>
              <w:left w:w="120" w:type="dxa"/>
              <w:bottom w:w="100" w:type="dxa"/>
              <w:right w:w="120" w:type="dxa"/>
            </w:tcMar>
          </w:tcPr>
          <w:p w14:paraId="776AD555" w14:textId="77777777" w:rsidR="00E533ED" w:rsidRDefault="00000000">
            <w:r>
              <w:rPr>
                <w:color w:val="1C2B29"/>
                <w:sz w:val="19"/>
                <w:szCs w:val="19"/>
              </w:rPr>
              <w:t>Use the Threshold Simulator to agree on final numeric values with the team, rather than leaving them as placeholders.</w:t>
            </w:r>
          </w:p>
        </w:tc>
      </w:tr>
      <w:tr w:rsidR="00E533ED" w14:paraId="7AF986B3" w14:textId="77777777">
        <w:tblPrEx>
          <w:tblCellMar>
            <w:top w:w="0" w:type="dxa"/>
            <w:bottom w:w="0" w:type="dxa"/>
          </w:tblCellMar>
        </w:tblPrEx>
        <w:tc>
          <w:tcPr>
            <w:tcW w:w="1200" w:type="dxa"/>
            <w:tcMar>
              <w:top w:w="100" w:type="dxa"/>
              <w:left w:w="120" w:type="dxa"/>
              <w:bottom w:w="100" w:type="dxa"/>
              <w:right w:w="120" w:type="dxa"/>
            </w:tcMar>
          </w:tcPr>
          <w:p w14:paraId="50FBEFFF" w14:textId="77777777" w:rsidR="00E533ED" w:rsidRDefault="00000000">
            <w:r>
              <w:rPr>
                <w:color w:val="1C2B29"/>
                <w:sz w:val="19"/>
                <w:szCs w:val="19"/>
              </w:rPr>
              <w:t>4</w:t>
            </w:r>
          </w:p>
        </w:tc>
        <w:tc>
          <w:tcPr>
            <w:tcW w:w="9100" w:type="dxa"/>
            <w:tcMar>
              <w:top w:w="100" w:type="dxa"/>
              <w:left w:w="120" w:type="dxa"/>
              <w:bottom w:w="100" w:type="dxa"/>
              <w:right w:w="120" w:type="dxa"/>
            </w:tcMar>
          </w:tcPr>
          <w:p w14:paraId="6C32FBFA" w14:textId="77777777" w:rsidR="00E533ED" w:rsidRDefault="00000000">
            <w:r>
              <w:rPr>
                <w:color w:val="1C2B29"/>
                <w:sz w:val="19"/>
                <w:szCs w:val="19"/>
              </w:rPr>
              <w:t>Cross-check System Resilience and Escalation &amp; Notifications against the backend architecture and alerting module design.</w:t>
            </w:r>
          </w:p>
        </w:tc>
      </w:tr>
      <w:tr w:rsidR="00E533ED" w14:paraId="71627EB8" w14:textId="77777777">
        <w:tblPrEx>
          <w:tblCellMar>
            <w:top w:w="0" w:type="dxa"/>
            <w:bottom w:w="0" w:type="dxa"/>
          </w:tblCellMar>
        </w:tblPrEx>
        <w:tc>
          <w:tcPr>
            <w:tcW w:w="1200" w:type="dxa"/>
            <w:tcMar>
              <w:top w:w="100" w:type="dxa"/>
              <w:left w:w="120" w:type="dxa"/>
              <w:bottom w:w="100" w:type="dxa"/>
              <w:right w:w="120" w:type="dxa"/>
            </w:tcMar>
          </w:tcPr>
          <w:p w14:paraId="51B17BFC" w14:textId="77777777" w:rsidR="00E533ED" w:rsidRDefault="00000000">
            <w:r>
              <w:rPr>
                <w:color w:val="1C2B29"/>
                <w:sz w:val="19"/>
                <w:szCs w:val="19"/>
              </w:rPr>
              <w:t>5</w:t>
            </w:r>
          </w:p>
        </w:tc>
        <w:tc>
          <w:tcPr>
            <w:tcW w:w="9100" w:type="dxa"/>
            <w:tcMar>
              <w:top w:w="100" w:type="dxa"/>
              <w:left w:w="120" w:type="dxa"/>
              <w:bottom w:w="100" w:type="dxa"/>
              <w:right w:w="120" w:type="dxa"/>
            </w:tcMar>
          </w:tcPr>
          <w:p w14:paraId="20EE4F3C" w14:textId="77777777" w:rsidR="00E533ED" w:rsidRDefault="00000000">
            <w:r>
              <w:rPr>
                <w:color w:val="1C2B29"/>
                <w:sz w:val="19"/>
                <w:szCs w:val="19"/>
              </w:rPr>
              <w:t>Use each scenario card directly as the basis for a QA test case: trigger = test setup, system action + UI signal = expected result, resolution = teardown/exit condition.</w:t>
            </w:r>
          </w:p>
        </w:tc>
      </w:tr>
    </w:tbl>
    <w:p w14:paraId="6AA45572" w14:textId="77777777" w:rsidR="00E533ED" w:rsidRDefault="00000000">
      <w:pPr>
        <w:pStyle w:val="Titre1"/>
        <w:spacing w:before="320" w:after="140"/>
      </w:pPr>
      <w:r>
        <w:rPr>
          <w:b/>
          <w:bCs/>
          <w:color w:val="07655C"/>
          <w:sz w:val="28"/>
          <w:szCs w:val="28"/>
        </w:rPr>
        <w:lastRenderedPageBreak/>
        <w:t>8. Open points to confirm with the team</w:t>
      </w:r>
    </w:p>
    <w:p w14:paraId="3D6EF950" w14:textId="77777777" w:rsidR="00E533ED" w:rsidRDefault="00000000">
      <w:pPr>
        <w:pStyle w:val="Paragraphedeliste"/>
        <w:numPr>
          <w:ilvl w:val="0"/>
          <w:numId w:val="2"/>
        </w:numPr>
        <w:spacing w:after="70" w:line="276" w:lineRule="auto"/>
      </w:pPr>
      <w:r>
        <w:rPr>
          <w:color w:val="1C2B29"/>
          <w:sz w:val="21"/>
          <w:szCs w:val="21"/>
        </w:rPr>
        <w:t>Severity and probability ratings were assigned based on the scenario descriptions and general operational judgment — they should be reviewed and adjusted by the project team, particularly for the four new field/operational scenarios (SC-14 to SC-17).</w:t>
      </w:r>
    </w:p>
    <w:p w14:paraId="655F586A" w14:textId="77777777" w:rsidR="00E533ED" w:rsidRDefault="00000000">
      <w:pPr>
        <w:pStyle w:val="Paragraphedeliste"/>
        <w:numPr>
          <w:ilvl w:val="0"/>
          <w:numId w:val="2"/>
        </w:numPr>
        <w:spacing w:after="70" w:line="276" w:lineRule="auto"/>
      </w:pPr>
      <w:r>
        <w:rPr>
          <w:color w:val="1C2B29"/>
          <w:sz w:val="21"/>
          <w:szCs w:val="21"/>
        </w:rPr>
        <w:t>Default threshold values (reservoir %, sensor timeout, drought window, visit reassignment window) are starting points, not final specifications.</w:t>
      </w:r>
    </w:p>
    <w:p w14:paraId="15CFB8FF" w14:textId="77777777" w:rsidR="00E533ED" w:rsidRDefault="00000000">
      <w:pPr>
        <w:pStyle w:val="Paragraphedeliste"/>
        <w:numPr>
          <w:ilvl w:val="0"/>
          <w:numId w:val="2"/>
        </w:numPr>
        <w:spacing w:after="70" w:line="276" w:lineRule="auto"/>
      </w:pPr>
      <w:r>
        <w:rPr>
          <w:color w:val="1C2B29"/>
          <w:sz w:val="21"/>
          <w:szCs w:val="21"/>
        </w:rPr>
        <w:t>Additional field-level factors were mentioned as possible extensions (e.g., theft/vandalism on site, permitting or access-right issues) but are not yet included as scenarios — flag if these should be added.</w:t>
      </w:r>
    </w:p>
    <w:sectPr w:rsidR="00E533E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3A0F2" w14:textId="77777777" w:rsidR="00D811A7" w:rsidRDefault="00D811A7">
      <w:r>
        <w:separator/>
      </w:r>
    </w:p>
  </w:endnote>
  <w:endnote w:type="continuationSeparator" w:id="0">
    <w:p w14:paraId="6EA6FE94" w14:textId="77777777" w:rsidR="00D811A7" w:rsidRDefault="00D81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1835" w14:textId="77777777" w:rsidR="00E533ED" w:rsidRDefault="00000000">
    <w:pPr>
      <w:jc w:val="center"/>
    </w:pPr>
    <w:r>
      <w:rPr>
        <w:color w:val="6B7A78"/>
        <w:sz w:val="16"/>
        <w:szCs w:val="16"/>
      </w:rPr>
      <w:t xml:space="preserve">Page </w:t>
    </w:r>
    <w:r>
      <w:rPr>
        <w:color w:val="6B7A78"/>
        <w:sz w:val="16"/>
        <w:szCs w:val="16"/>
      </w:rPr>
      <w:fldChar w:fldCharType="begin"/>
    </w:r>
    <w:r>
      <w:rPr>
        <w:color w:val="6B7A78"/>
        <w:sz w:val="16"/>
        <w:szCs w:val="16"/>
      </w:rPr>
      <w:instrText>PAGE</w:instrText>
    </w:r>
    <w:r>
      <w:rPr>
        <w:color w:val="6B7A78"/>
        <w:sz w:val="16"/>
        <w:szCs w:val="16"/>
      </w:rPr>
      <w:fldChar w:fldCharType="separate"/>
    </w:r>
    <w:r w:rsidR="002107CF">
      <w:rPr>
        <w:noProof/>
        <w:color w:val="6B7A78"/>
        <w:sz w:val="16"/>
        <w:szCs w:val="16"/>
      </w:rPr>
      <w:t>1</w:t>
    </w:r>
    <w:r>
      <w:rPr>
        <w:color w:val="6B7A78"/>
        <w:sz w:val="16"/>
        <w:szCs w:val="16"/>
      </w:rPr>
      <w:fldChar w:fldCharType="end"/>
    </w:r>
    <w:r>
      <w:rPr>
        <w:color w:val="6B7A78"/>
        <w:sz w:val="16"/>
        <w:szCs w:val="16"/>
      </w:rPr>
      <w:t xml:space="preserve"> / </w:t>
    </w:r>
    <w:r>
      <w:rPr>
        <w:color w:val="6B7A78"/>
        <w:sz w:val="16"/>
        <w:szCs w:val="16"/>
      </w:rPr>
      <w:fldChar w:fldCharType="begin"/>
    </w:r>
    <w:r>
      <w:rPr>
        <w:color w:val="6B7A78"/>
        <w:sz w:val="16"/>
        <w:szCs w:val="16"/>
      </w:rPr>
      <w:instrText>NUMPAGES</w:instrText>
    </w:r>
    <w:r>
      <w:rPr>
        <w:color w:val="6B7A78"/>
        <w:sz w:val="16"/>
        <w:szCs w:val="16"/>
      </w:rPr>
      <w:fldChar w:fldCharType="separate"/>
    </w:r>
    <w:r w:rsidR="002107CF">
      <w:rPr>
        <w:noProof/>
        <w:color w:val="6B7A78"/>
        <w:sz w:val="16"/>
        <w:szCs w:val="16"/>
      </w:rPr>
      <w:t>2</w:t>
    </w:r>
    <w:r>
      <w:rPr>
        <w:color w:val="6B7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22EB7" w14:textId="77777777" w:rsidR="00D811A7" w:rsidRDefault="00D811A7">
      <w:r>
        <w:separator/>
      </w:r>
    </w:p>
  </w:footnote>
  <w:footnote w:type="continuationSeparator" w:id="0">
    <w:p w14:paraId="1ABE0E1E" w14:textId="77777777" w:rsidR="00D811A7" w:rsidRDefault="00D81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2082" w14:textId="77777777" w:rsidR="00E533ED" w:rsidRDefault="00000000">
    <w:pPr>
      <w:jc w:val="right"/>
    </w:pPr>
    <w:r>
      <w:rPr>
        <w:color w:val="6B7A78"/>
        <w:sz w:val="16"/>
        <w:szCs w:val="16"/>
      </w:rPr>
      <w:t>Water Supply App — Scenario Analysis Guide | Infineon/BIT Excellence Program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07E36"/>
    <w:multiLevelType w:val="hybridMultilevel"/>
    <w:tmpl w:val="701ECDEC"/>
    <w:lvl w:ilvl="0" w:tplc="922E5E0C">
      <w:start w:val="1"/>
      <w:numFmt w:val="bullet"/>
      <w:lvlText w:val="•"/>
      <w:lvlJc w:val="left"/>
      <w:pPr>
        <w:ind w:left="403" w:hanging="259"/>
      </w:pPr>
    </w:lvl>
    <w:lvl w:ilvl="1" w:tplc="6E705FF4">
      <w:numFmt w:val="decimal"/>
      <w:lvlText w:val=""/>
      <w:lvlJc w:val="left"/>
    </w:lvl>
    <w:lvl w:ilvl="2" w:tplc="9D22A4DE">
      <w:numFmt w:val="decimal"/>
      <w:lvlText w:val=""/>
      <w:lvlJc w:val="left"/>
    </w:lvl>
    <w:lvl w:ilvl="3" w:tplc="5958E50C">
      <w:numFmt w:val="decimal"/>
      <w:lvlText w:val=""/>
      <w:lvlJc w:val="left"/>
    </w:lvl>
    <w:lvl w:ilvl="4" w:tplc="7F6CF24A">
      <w:numFmt w:val="decimal"/>
      <w:lvlText w:val=""/>
      <w:lvlJc w:val="left"/>
    </w:lvl>
    <w:lvl w:ilvl="5" w:tplc="97041DF0">
      <w:numFmt w:val="decimal"/>
      <w:lvlText w:val=""/>
      <w:lvlJc w:val="left"/>
    </w:lvl>
    <w:lvl w:ilvl="6" w:tplc="ECA06C02">
      <w:numFmt w:val="decimal"/>
      <w:lvlText w:val=""/>
      <w:lvlJc w:val="left"/>
    </w:lvl>
    <w:lvl w:ilvl="7" w:tplc="EA3CA986">
      <w:numFmt w:val="decimal"/>
      <w:lvlText w:val=""/>
      <w:lvlJc w:val="left"/>
    </w:lvl>
    <w:lvl w:ilvl="8" w:tplc="069CDC16">
      <w:numFmt w:val="decimal"/>
      <w:lvlText w:val=""/>
      <w:lvlJc w:val="left"/>
    </w:lvl>
  </w:abstractNum>
  <w:abstractNum w:abstractNumId="1" w15:restartNumberingAfterBreak="0">
    <w:nsid w:val="1F943456"/>
    <w:multiLevelType w:val="hybridMultilevel"/>
    <w:tmpl w:val="27A44BC2"/>
    <w:lvl w:ilvl="0" w:tplc="CB6A427A">
      <w:start w:val="1"/>
      <w:numFmt w:val="bullet"/>
      <w:lvlText w:val="●"/>
      <w:lvlJc w:val="left"/>
      <w:pPr>
        <w:ind w:left="720" w:hanging="360"/>
      </w:pPr>
    </w:lvl>
    <w:lvl w:ilvl="1" w:tplc="8CDC6AEC">
      <w:start w:val="1"/>
      <w:numFmt w:val="bullet"/>
      <w:lvlText w:val="○"/>
      <w:lvlJc w:val="left"/>
      <w:pPr>
        <w:ind w:left="1440" w:hanging="360"/>
      </w:pPr>
    </w:lvl>
    <w:lvl w:ilvl="2" w:tplc="57605040">
      <w:start w:val="1"/>
      <w:numFmt w:val="bullet"/>
      <w:lvlText w:val="■"/>
      <w:lvlJc w:val="left"/>
      <w:pPr>
        <w:ind w:left="2160" w:hanging="360"/>
      </w:pPr>
    </w:lvl>
    <w:lvl w:ilvl="3" w:tplc="284EBEF4">
      <w:start w:val="1"/>
      <w:numFmt w:val="bullet"/>
      <w:lvlText w:val="●"/>
      <w:lvlJc w:val="left"/>
      <w:pPr>
        <w:ind w:left="2880" w:hanging="360"/>
      </w:pPr>
    </w:lvl>
    <w:lvl w:ilvl="4" w:tplc="51440F2E">
      <w:start w:val="1"/>
      <w:numFmt w:val="bullet"/>
      <w:lvlText w:val="○"/>
      <w:lvlJc w:val="left"/>
      <w:pPr>
        <w:ind w:left="3600" w:hanging="360"/>
      </w:pPr>
    </w:lvl>
    <w:lvl w:ilvl="5" w:tplc="94FE4E6A">
      <w:start w:val="1"/>
      <w:numFmt w:val="bullet"/>
      <w:lvlText w:val="■"/>
      <w:lvlJc w:val="left"/>
      <w:pPr>
        <w:ind w:left="4320" w:hanging="360"/>
      </w:pPr>
    </w:lvl>
    <w:lvl w:ilvl="6" w:tplc="9650ECBA">
      <w:start w:val="1"/>
      <w:numFmt w:val="bullet"/>
      <w:lvlText w:val="●"/>
      <w:lvlJc w:val="left"/>
      <w:pPr>
        <w:ind w:left="5040" w:hanging="360"/>
      </w:pPr>
    </w:lvl>
    <w:lvl w:ilvl="7" w:tplc="291A595C">
      <w:start w:val="1"/>
      <w:numFmt w:val="bullet"/>
      <w:lvlText w:val="●"/>
      <w:lvlJc w:val="left"/>
      <w:pPr>
        <w:ind w:left="5760" w:hanging="360"/>
      </w:pPr>
    </w:lvl>
    <w:lvl w:ilvl="8" w:tplc="AAF8995C">
      <w:start w:val="1"/>
      <w:numFmt w:val="bullet"/>
      <w:lvlText w:val="●"/>
      <w:lvlJc w:val="left"/>
      <w:pPr>
        <w:ind w:left="6480" w:hanging="360"/>
      </w:pPr>
    </w:lvl>
  </w:abstractNum>
  <w:num w:numId="1" w16cid:durableId="922177625">
    <w:abstractNumId w:val="1"/>
    <w:lvlOverride w:ilvl="0">
      <w:startOverride w:val="1"/>
    </w:lvlOverride>
  </w:num>
  <w:num w:numId="2" w16cid:durableId="100801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3ED"/>
    <w:rsid w:val="002107CF"/>
    <w:rsid w:val="00784339"/>
    <w:rsid w:val="00D811A7"/>
    <w:rsid w:val="00E53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737B"/>
  <w15:docId w15:val="{4E27CD40-0B0A-452E-84BB-32F5EDA8B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1286</Words>
  <Characters>7332</Characters>
  <Application>Microsoft Office Word</Application>
  <DocSecurity>0</DocSecurity>
  <Lines>61</Lines>
  <Paragraphs>17</Paragraphs>
  <ScaleCrop>false</ScaleCrop>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Phares NADINGA</cp:lastModifiedBy>
  <cp:revision>2</cp:revision>
  <dcterms:created xsi:type="dcterms:W3CDTF">2026-09-03T11:39:00Z</dcterms:created>
  <dcterms:modified xsi:type="dcterms:W3CDTF">2026-09-03T13:17:00Z</dcterms:modified>
</cp:coreProperties>
</file>