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15578A" w:sz="4" w:space="8"/>
        </w:pBdr>
        <w:shd w:val="clear" w:fill="EAF2F7"/>
        <w:spacing w:before="0" w:after="0"/>
      </w:pPr>
    </w:p>
    <w:tbl>
      <w:tblPr>
        <w:tblStyle w:val="9"/>
        <w:tblW w:w="935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42875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523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hd w:val="clear" w:fill="EAF2F7"/>
      </w:pPr>
    </w:p>
    <w:p>
      <w:pPr>
        <w:spacing w:after="1400"/>
      </w:pPr>
    </w:p>
    <w:p>
      <w:pPr>
        <w:numPr>
          <w:ilvl w:val="0"/>
          <w:numId w:val="0"/>
        </w:numPr>
        <w:spacing w:after="60"/>
        <w:ind w:leftChars="0"/>
        <w:jc w:val="center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fr-FR"/>
        </w:rPr>
      </w:pPr>
      <w:r>
        <w:rPr>
          <w:rFonts w:hint="default" w:ascii="Calibri" w:hAnsi="Calibri" w:eastAsia="Calibri" w:cs="Calibri"/>
          <w:b/>
          <w:bCs/>
          <w:color w:val="065E55"/>
          <w:sz w:val="44"/>
          <w:szCs w:val="44"/>
          <w:lang w:val="fr-FR"/>
        </w:rPr>
        <w:t>VISITOR MANAGEMENT APP</w:t>
      </w:r>
    </w:p>
    <w:p>
      <w:pPr>
        <w:pBdr>
          <w:bottom w:val="single" w:color="B51237" w:sz="12" w:space="6"/>
        </w:pBdr>
        <w:spacing w:after="260"/>
        <w:jc w:val="center"/>
      </w:pPr>
      <w:r>
        <w:rPr>
          <w:sz w:val="4"/>
          <w:szCs w:val="4"/>
        </w:rPr>
        <w:t xml:space="preserve">  </w:t>
      </w:r>
    </w:p>
    <w:p>
      <w:pPr>
        <w:spacing w:after="500"/>
        <w:jc w:val="center"/>
      </w:pPr>
      <w:r>
        <w:rPr>
          <w:i/>
          <w:iCs/>
          <w:color w:val="4A4A4A"/>
          <w:sz w:val="26"/>
          <w:szCs w:val="26"/>
        </w:rPr>
        <w:t>Excellence Program — Infineon Technologies × BIT</w:t>
      </w:r>
    </w:p>
    <w:p>
      <w:pPr>
        <w:spacing w:after="600"/>
      </w:pPr>
    </w:p>
    <w:p>
      <w:pPr>
        <w:spacing w:after="700"/>
        <w:jc w:val="center"/>
      </w:pPr>
      <w:r>
        <w:rPr>
          <w:b/>
          <w:bCs/>
          <w:color w:val="1A1A1A"/>
          <w:sz w:val="28"/>
          <w:szCs w:val="28"/>
        </w:rPr>
        <w:t>Alix Carine VEBAMBA</w:t>
      </w:r>
    </w:p>
    <w:p>
      <w:pPr>
        <w:spacing w:after="900"/>
      </w:pPr>
    </w:p>
    <w:p>
      <w:pPr>
        <w:spacing w:after="80"/>
        <w:jc w:val="center"/>
        <w:rPr>
          <w:color w:val="1A1A1A"/>
          <w:sz w:val="21"/>
          <w:szCs w:val="21"/>
        </w:rPr>
      </w:pPr>
    </w:p>
    <w:p>
      <w:pPr>
        <w:spacing w:after="80"/>
        <w:jc w:val="center"/>
        <w:rPr>
          <w:sz w:val="28"/>
          <w:szCs w:val="28"/>
        </w:rPr>
      </w:pPr>
      <w:r>
        <w:rPr>
          <w:b/>
          <w:bCs/>
          <w:color w:val="1A1A1A"/>
          <w:sz w:val="28"/>
          <w:szCs w:val="28"/>
        </w:rPr>
        <w:t xml:space="preserve">Project: </w:t>
      </w:r>
      <w:r>
        <w:rPr>
          <w:color w:val="1A1A1A"/>
          <w:sz w:val="28"/>
          <w:szCs w:val="28"/>
        </w:rPr>
        <w:t>Sustainable Dried Mango Production &amp; Export Farm — Banfora, Burkina Faso</w:t>
      </w:r>
    </w:p>
    <w:p>
      <w:pPr>
        <w:spacing w:after="1600"/>
      </w:pPr>
    </w:p>
    <w:p>
      <w:pPr>
        <w:spacing w:after="1600"/>
      </w:pPr>
    </w:p>
    <w:p>
      <w:pPr>
        <w:pBdr>
          <w:top w:val="single" w:color="15578A" w:sz="4" w:space="8"/>
        </w:pBdr>
        <w:shd w:val="clear" w:fill="EAF2F7"/>
        <w:spacing w:before="100" w:after="100"/>
        <w:jc w:val="center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</w:pPr>
      <w:r>
        <w:rPr>
          <w:b/>
          <w:bCs/>
          <w:color w:val="0D3B5C"/>
          <w:sz w:val="20"/>
          <w:szCs w:val="20"/>
        </w:rPr>
        <w:t>Program year: 2025 – 2026</w:t>
      </w:r>
    </w:p>
    <w:p>
      <w:pPr>
        <w:numPr>
          <w:ilvl w:val="0"/>
          <w:numId w:val="1"/>
        </w:numPr>
        <w:spacing w:after="60"/>
        <w:ind w:left="420" w:leftChars="0" w:hanging="420" w:firstLineChars="0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</w:pP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fr-FR"/>
        </w:rPr>
        <w:t>Week</w:t>
      </w: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  <w:t>01</w:t>
      </w:r>
    </w:p>
    <w:p>
      <w:pPr>
        <w:spacing w:after="60"/>
        <w:rPr>
          <w:rFonts w:ascii="Calibri" w:hAnsi="Calibri" w:eastAsia="Calibri" w:cs="Calibri"/>
          <w:b/>
          <w:bCs/>
          <w:color w:val="065E55"/>
          <w:sz w:val="40"/>
          <w:szCs w:val="40"/>
        </w:rPr>
      </w:pP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Calibri" w:cs="Calibri"/>
          <w:b/>
          <w:bCs/>
          <w:color w:val="065E55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065E55"/>
          <w:sz w:val="40"/>
          <w:szCs w:val="40"/>
        </w:rPr>
        <w:t>Visitor Management</w:t>
      </w: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  <w:t>-</w:t>
      </w:r>
      <w:r>
        <w:rPr>
          <w:rFonts w:ascii="Calibri" w:hAnsi="Calibri" w:eastAsia="Calibri" w:cs="Calibri"/>
          <w:b/>
          <w:bCs/>
          <w:color w:val="065E55"/>
          <w:sz w:val="40"/>
          <w:szCs w:val="40"/>
          <w:lang w:val="en-US" w:eastAsia="zh-CN"/>
        </w:rPr>
        <w:t>Foundation Review</w:t>
      </w:r>
    </w:p>
    <w:p>
      <w:pPr>
        <w:spacing w:after="60"/>
      </w:pP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 xml:space="preserve">Purpose </w:t>
      </w:r>
    </w:p>
    <w:p>
      <w:pPr>
        <w:spacing w:after="2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This document details the 6 functionalities of the Visitor Management module, an internal tool for the farm team to manage every step of a visitor's journey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 xml:space="preserve">, </w:t>
      </w:r>
      <w:r>
        <w:rPr>
          <w:rFonts w:ascii="Calibri" w:hAnsi="Calibri" w:eastAsia="Calibri" w:cs="Calibri"/>
          <w:color w:val="0F2A26"/>
          <w:sz w:val="24"/>
          <w:szCs w:val="24"/>
        </w:rPr>
        <w:t>from booking a tour to collecting feedback afterwards. It is used by staff (guides, front desk), not by visitors themselves.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The 6 functionalities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01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Farm tour scheduling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Gives the team an overview of the week: which time slots are open, how many spots remain, which are full.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Without it, the team risks accepting more visitors than the farm can safely handle (guide availability, safety, tour capacity). It prevents overbooking.</w:t>
      </w:r>
    </w:p>
    <w:p>
      <w:pPr>
        <w:spacing w:after="100"/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A max-capacity rule (10 visitors/slot in the mockup), 2 slots per day, closed on Sundays. A full version would also need to account for public holidays, weather cancellations, and guide availability.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02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Visitor registration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entry form staff fill in once a visitor or group is confirmed: name, group size, contact, date, preferred language, visitor type.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This is the single source of truth on who is coming, so the team can prepare the visit properly (e.g. arrange a translator for a German buyer).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The language field is strategic: the farm exports to Germany, so a German buyer visiting may need translation support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potentially linking to No-Reesa, last year's Moore-German translation app.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03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Educational program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itinerary the guide follows during the visit: 5 stops (welcome &amp; safety, solar, orchard, dryer, wrap-up), each with an estimated duration.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It standardizes the tour so every guide tells the same coherent story, regardless of who is leading the visit that day.</w:t>
      </w:r>
    </w:p>
    <w:p>
      <w:pPr>
        <w:spacing w:after="100"/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Content for each stop must be validated with the owner of that module — solar with Aida, machinery with Jean-Louis. Alix coordinates the tour; the technical content comes from them.</w:t>
      </w:r>
    </w:p>
    <w:p>
      <w:pPr>
        <w:spacing w:before="320" w:after="80"/>
        <w:rPr>
          <w:rFonts w:ascii="Calibri" w:hAnsi="Calibri" w:eastAsia="Calibri" w:cs="Calibri"/>
          <w:b/>
          <w:bCs/>
          <w:color w:val="0A8276"/>
          <w:sz w:val="28"/>
          <w:szCs w:val="28"/>
        </w:rPr>
      </w:pP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04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Safety briefings tracker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Records and timestamps that each group received the mandatory safety briefing before entering the farm.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This is a liability matter: in case of an incident, the farm must be able to prove the visitor was briefed. It protects both the farm and the visitor.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Needs a clear process: who delivers the briefing, how proof is captured (signature? checkbox on a tablet?), and who can access this log if needed.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05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Booking system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full administrative flow of a reservation, from initial request to confirmation and a reminder 24h before the visit.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Prevents groups from falling through the cracks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a booking that's never confirmed, or a visit forgotten for lack of a reminder.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This flow must connect to the scheduling module (01)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otherwise a booking could be confirmed on a slot that's already full.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06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Feedback collection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A short survey submitted to visitors after the tour: overall rating, clarity of the safety briefing, educational value, likelihood to recommend.</w:t>
      </w:r>
    </w:p>
    <w:p>
      <w:pPr>
        <w:spacing w:after="100"/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Enables continuous improvement of the tour experience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e.g. if visitors consistently say the safety briefing is unclear, that's a signal to rework it.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Requires a process to compile responses into concrete actions, not just collect scores that go unused.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Context note</w:t>
      </w: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Last year's study of the sustainable farm included a module also named "Visitor Management," but it referred to No-Reesa, a Moore-German voice translation app for buyer negotiations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not a farm visit management system. This week's task therefore builds on a new scope rather than a direct continuation, while remaining consistent with the farm's real infrastructure (solar plant, irrigation, processing, security).</w:t>
      </w: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  <w:bookmarkStart w:id="0" w:name="_GoBack"/>
      <w:bookmarkEnd w:id="0"/>
    </w:p>
    <w:sectPr>
      <w:pgSz w:w="12240" w:h="15840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F86E6"/>
    <w:multiLevelType w:val="singleLevel"/>
    <w:tmpl w:val="7EEF86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5AEF0708"/>
    <w:rsid w:val="6DF9F457"/>
    <w:rsid w:val="EF7FD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carine</cp:lastModifiedBy>
  <dcterms:modified xsi:type="dcterms:W3CDTF">2026-07-30T13:35:37Z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