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i/>
          <w:iCs/>
          <w:color w:val="595959"/>
          <w:sz w:val="20"/>
          <w:szCs w:val="20"/>
        </w:rPr>
        <w:t xml:space="preserve">BIT × Infineon Excellence Program 2026 — Sales &amp; Marketing Module</w:t>
      </w:r>
    </w:p>
    <w:p>
      <w:pPr>
        <w:spacing w:after="200"/>
      </w:pPr>
      <w:r>
        <w:rPr>
          <w:b/>
          <w:bCs/>
          <w:color w:val="2F3C7E"/>
          <w:sz w:val="36"/>
          <w:szCs w:val="36"/>
        </w:rPr>
        <w:t xml:space="preserve">Task 1.1 — Collect Historical Sales Data</w:t>
      </w:r>
    </w:p>
    <w:p>
      <w:pPr>
        <w:spacing w:after="240"/>
      </w:pPr>
      <w:r>
        <w:rPr>
          <w:color w:val="595959"/>
          <w:sz w:val="20"/>
          <w:szCs w:val="20"/>
        </w:rPr>
        <w:t xml:space="preserve">Mariata Nikiema  |  Week of 04 August 2026</w:t>
      </w:r>
    </w:p>
    <w:p>
      <w:pPr>
        <w:pStyle w:val="Heading1"/>
        <w:spacing w:after="120" w:before="240"/>
      </w:pPr>
      <w:r>
        <w:rPr>
          <w:b/>
          <w:bCs/>
          <w:color w:val="2F3C7E"/>
          <w:sz w:val="30"/>
          <w:szCs w:val="30"/>
        </w:rPr>
        <w:t xml:space="preserve">1. Objective</w:t>
      </w:r>
    </w:p>
    <w:p>
      <w:pPr>
        <w:spacing w:after="120"/>
      </w:pPr>
      <w:r>
        <w:rPr>
          <w:color w:val="1A1A1A"/>
          <w:sz w:val="22"/>
          <w:szCs w:val="22"/>
        </w:rPr>
        <w:t xml:space="preserve">Since no direct sales history exists yet for this new dried-mango supply chain, this task identifies proxy data sources — export statistics, production figures, and target-market demand data — to serve as the foundation for the AI demand forecasting model (Task 1.2).</w:t>
      </w:r>
    </w:p>
    <w:p>
      <w:pPr>
        <w:pStyle w:val="Heading1"/>
        <w:spacing w:after="120" w:before="240"/>
      </w:pPr>
      <w:r>
        <w:rPr>
          <w:b/>
          <w:bCs/>
          <w:color w:val="2F3C7E"/>
          <w:sz w:val="30"/>
          <w:szCs w:val="30"/>
        </w:rPr>
        <w:t xml:space="preserve">2. Note on Data Recency</w:t>
      </w:r>
    </w:p>
    <w:p>
      <w:pPr>
        <w:spacing w:after="120"/>
      </w:pPr>
      <w:r>
        <w:rPr>
          <w:i/>
          <w:iCs/>
          <w:color w:val="595959"/>
          <w:sz w:val="22"/>
          <w:szCs w:val="22"/>
        </w:rPr>
        <w:t xml:space="preserve">Official trade statistics (UN Comtrade, APEX-Burkina) are typically published with a 1-2 year lag, which is standard for customs/trade data worldwide — the 2023 figures below are the latest official export figures available. To avoid relying only on outdated numbers, this update also includes recent industry reporting from 2026 (pricing, seasonality, new investment, climate risk) to keep the picture current. Each source's reference date is listed in the table in Section 4.</w:t>
      </w:r>
    </w:p>
    <w:p>
      <w:pPr>
        <w:pStyle w:val="Heading1"/>
        <w:spacing w:after="120" w:before="240"/>
      </w:pPr>
      <w:r>
        <w:rPr>
          <w:b/>
          <w:bCs/>
          <w:color w:val="2F3C7E"/>
          <w:sz w:val="30"/>
          <w:szCs w:val="30"/>
        </w:rPr>
        <w:t xml:space="preserve">3. Key Findings</w:t>
      </w:r>
    </w:p>
    <w:p>
      <w:pPr>
        <w:pStyle w:val="Heading2"/>
        <w:spacing w:after="100" w:before="200"/>
      </w:pPr>
      <w:r>
        <w:rPr>
          <w:b/>
          <w:bCs/>
          <w:color w:val="2F3C7E"/>
          <w:sz w:val="24"/>
          <w:szCs w:val="24"/>
        </w:rPr>
        <w:t xml:space="preserve">Burkina Faso — Supply Side</w:t>
      </w:r>
    </w:p>
    <w:p>
      <w:pPr>
        <w:pStyle w:val="ListParagraph"/>
        <w:numPr>
          <w:ilvl w:val="0"/>
          <w:numId w:val="1"/>
        </w:numPr>
        <w:spacing w:after="80"/>
      </w:pPr>
      <w:r>
        <w:rPr>
          <w:sz w:val="22"/>
          <w:szCs w:val="22"/>
        </w:rPr>
        <w:t xml:space="preserve">Germany is already the #1 importer of Burkina Faso mango (fresh + dried): $7.44M / 1,582,820 kg in 2023 (World Bank WITS / UN Comtrade).</w:t>
      </w:r>
    </w:p>
    <w:p>
      <w:pPr>
        <w:pStyle w:val="ListParagraph"/>
        <w:numPr>
          <w:ilvl w:val="0"/>
          <w:numId w:val="1"/>
        </w:numPr>
        <w:spacing w:after="80"/>
      </w:pPr>
      <w:r>
        <w:rPr>
          <w:sz w:val="22"/>
          <w:szCs w:val="22"/>
        </w:rPr>
        <w:t xml:space="preserve">National mango production has been volatile: 197,302t (2018) → 271,503t (2020) → -27% in 2021 → +51% rebound in 2022 (~300,000t) (APEX-Burkina).</w:t>
      </w:r>
    </w:p>
    <w:p>
      <w:pPr>
        <w:pStyle w:val="ListParagraph"/>
        <w:numPr>
          <w:ilvl w:val="0"/>
          <w:numId w:val="1"/>
        </w:numPr>
        <w:spacing w:after="80"/>
      </w:pPr>
      <w:r>
        <w:rPr>
          <w:sz w:val="22"/>
          <w:szCs w:val="22"/>
        </w:rPr>
        <w:t xml:space="preserve">Dried mango production specifically grew from 700t (2014) to 3,800t (2020), a &gt;5x increase (Enhanced Integrated Framework).</w:t>
      </w:r>
    </w:p>
    <w:p>
      <w:pPr>
        <w:pStyle w:val="ListParagraph"/>
        <w:numPr>
          <w:ilvl w:val="0"/>
          <w:numId w:val="1"/>
        </w:numPr>
        <w:spacing w:after="80"/>
      </w:pPr>
      <w:r>
        <w:rPr>
          <w:sz w:val="22"/>
          <w:szCs w:val="22"/>
        </w:rPr>
        <w:t xml:space="preserve">Mango exports generated an average of CFA 17.18 billion (~$30.5M) per year between 2019-2023 (APEX-Burkina).</w:t>
      </w:r>
    </w:p>
    <w:p>
      <w:pPr>
        <w:pStyle w:val="Heading2"/>
        <w:spacing w:after="100" w:before="200"/>
      </w:pPr>
      <w:r>
        <w:rPr>
          <w:b/>
          <w:bCs/>
          <w:color w:val="2F3C7E"/>
          <w:sz w:val="24"/>
          <w:szCs w:val="24"/>
        </w:rPr>
        <w:t xml:space="preserve">Germany — Demand Side (Target Market)</w:t>
      </w:r>
    </w:p>
    <w:p>
      <w:pPr>
        <w:pStyle w:val="ListParagraph"/>
        <w:numPr>
          <w:ilvl w:val="0"/>
          <w:numId w:val="1"/>
        </w:numPr>
        <w:spacing w:after="80"/>
      </w:pPr>
      <w:r>
        <w:rPr>
          <w:sz w:val="22"/>
          <w:szCs w:val="22"/>
        </w:rPr>
        <w:t xml:space="preserve">Germany is Europe's largest organic products market and offers specific opportunities for organic-certified dried tropical fruit (CBI).</w:t>
      </w:r>
    </w:p>
    <w:p>
      <w:pPr>
        <w:pStyle w:val="ListParagraph"/>
        <w:numPr>
          <w:ilvl w:val="0"/>
          <w:numId w:val="1"/>
        </w:numPr>
        <w:spacing w:after="80"/>
      </w:pPr>
      <w:r>
        <w:rPr>
          <w:sz w:val="22"/>
          <w:szCs w:val="22"/>
        </w:rPr>
        <w:t xml:space="preserve">Germany is the EU's 3rd largest consumer of dried fruits and nuts overall (FreshFruitPortal).</w:t>
      </w:r>
    </w:p>
    <w:p>
      <w:pPr>
        <w:pStyle w:val="ListParagraph"/>
        <w:numPr>
          <w:ilvl w:val="0"/>
          <w:numId w:val="1"/>
        </w:numPr>
        <w:spacing w:after="80"/>
      </w:pPr>
      <w:r>
        <w:rPr>
          <w:sz w:val="22"/>
          <w:szCs w:val="22"/>
        </w:rPr>
        <w:t xml:space="preserve">German demand for dried fruit was valued at $288.2M in 2021, with current top suppliers being Turkey, South Africa, the US, Chile, and the Netherlands — Burkina Faso currently holds a small share, indicating growth headroom (IndustryARC).</w:t>
      </w:r>
    </w:p>
    <w:p>
      <w:pPr>
        <w:pStyle w:val="ListParagraph"/>
        <w:numPr>
          <w:ilvl w:val="0"/>
          <w:numId w:val="1"/>
        </w:numPr>
        <w:spacing w:after="80"/>
      </w:pPr>
      <w:r>
        <w:rPr>
          <w:sz w:val="22"/>
          <w:szCs w:val="22"/>
        </w:rPr>
        <w:t xml:space="preserve">Hamburg and Bremen are Germany's main import/distribution hubs for dried fruit — relevant for the delivery-tracking integration sub-task (Bonafide Research).</w:t>
      </w:r>
    </w:p>
    <w:p>
      <w:pPr>
        <w:pStyle w:val="Heading1"/>
        <w:spacing w:after="120" w:before="240"/>
      </w:pPr>
      <w:r>
        <w:rPr>
          <w:b/>
          <w:bCs/>
          <w:color w:val="2F3C7E"/>
          <w:sz w:val="30"/>
          <w:szCs w:val="30"/>
        </w:rPr>
        <w:t xml:space="preserve">4. Implications for the Forecasting Model</w:t>
      </w:r>
    </w:p>
    <w:p>
      <w:pPr>
        <w:pStyle w:val="ListParagraph"/>
        <w:numPr>
          <w:ilvl w:val="0"/>
          <w:numId w:val="1"/>
        </w:numPr>
        <w:spacing w:after="80"/>
      </w:pPr>
      <w:r>
        <w:rPr>
          <w:sz w:val="22"/>
          <w:szCs w:val="22"/>
        </w:rPr>
        <w:t xml:space="preserve">Use BF→Germany export volumes (2018-2023) as the closest available proxy for a "historical sales" time series.</w:t>
      </w:r>
    </w:p>
    <w:p>
      <w:pPr>
        <w:pStyle w:val="ListParagraph"/>
        <w:numPr>
          <w:ilvl w:val="0"/>
          <w:numId w:val="1"/>
        </w:numPr>
        <w:spacing w:after="80"/>
      </w:pPr>
      <w:r>
        <w:rPr>
          <w:sz w:val="22"/>
          <w:szCs w:val="22"/>
        </w:rPr>
        <w:t xml:space="preserve">Model must account for high supply-side volatility (year-on-year swings of -27% to +51%) — favor a model with wide confidence intervals over a naive linear trend.</w:t>
      </w:r>
    </w:p>
    <w:p>
      <w:pPr>
        <w:pStyle w:val="ListParagraph"/>
        <w:numPr>
          <w:ilvl w:val="0"/>
          <w:numId w:val="1"/>
        </w:numPr>
        <w:spacing w:after="80"/>
      </w:pPr>
      <w:r>
        <w:rPr>
          <w:sz w:val="22"/>
          <w:szCs w:val="22"/>
        </w:rPr>
        <w:t xml:space="preserve">Seasonality should align with the confirmed March-July mango harvest window (to be cross-checked with the Plants module).</w:t>
      </w:r>
    </w:p>
    <w:p>
      <w:pPr>
        <w:pStyle w:val="ListParagraph"/>
        <w:numPr>
          <w:ilvl w:val="0"/>
          <w:numId w:val="1"/>
        </w:numPr>
        <w:spacing w:after="80"/>
      </w:pPr>
      <w:r>
        <w:rPr>
          <w:sz w:val="22"/>
          <w:szCs w:val="22"/>
        </w:rPr>
        <w:t xml:space="preserve">Growth ceiling: Germany's total dried-fruit demand (~$288M) vs. BF's current small share suggests room for volume growth, but the forecast should stay conservative in Year 1 given cold-start uncertainty.</w:t>
      </w:r>
    </w:p>
    <w:p>
      <w:pPr>
        <w:pStyle w:val="ListParagraph"/>
        <w:numPr>
          <w:ilvl w:val="0"/>
          <w:numId w:val="1"/>
        </w:numPr>
        <w:spacing w:after="80"/>
      </w:pPr>
      <w:r>
        <w:rPr>
          <w:sz w:val="22"/>
          <w:szCs w:val="22"/>
        </w:rPr>
        <w:t xml:space="preserve">Factor in 2026-specific risk: elevated El Niño probability (80-92%) for Jun-Aug 2026 could affect this season's harvest and should widen forecast uncertainty bands.</w:t>
      </w:r>
    </w:p>
    <w:p>
      <w:pPr>
        <w:pStyle w:val="ListParagraph"/>
        <w:numPr>
          <w:ilvl w:val="0"/>
          <w:numId w:val="1"/>
        </w:numPr>
        <w:spacing w:after="80"/>
      </w:pPr>
      <w:r>
        <w:rPr>
          <w:sz w:val="22"/>
          <w:szCs w:val="22"/>
        </w:rPr>
        <w:t xml:space="preserve">Use the current €8-12/kg FOB price and 10-12:1 fresh-to-dried ratio as a live pricing anchor for the dynamic pricing engine (Task 3).</w:t>
      </w:r>
    </w:p>
    <w:p>
      <w:pPr>
        <w:pStyle w:val="Heading1"/>
        <w:spacing w:after="120" w:before="240"/>
      </w:pPr>
      <w:r>
        <w:rPr>
          <w:b/>
          <w:bCs/>
          <w:color w:val="2F3C7E"/>
          <w:sz w:val="30"/>
          <w:szCs w:val="30"/>
        </w:rPr>
        <w:t xml:space="preserve">5. Source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800"/>
        <w:gridCol w:w="1900"/>
      </w:tblGrid>
      <w:tr>
        <w:tc>
          <w:tcPr>
            <w:tcW w:type="dxa" w:w="2400"/>
            <w:shd w:fill="2F3C7E" w:val="clear"/>
            <w:tcMar>
              <w:top w:type="dxa" w:w="100"/>
              <w:left w:type="dxa" w:w="120"/>
              <w:bottom w:type="dxa" w:w="100"/>
              <w:right w:type="dxa" w:w="120"/>
            </w:tcMar>
          </w:tcPr>
          <w:p>
            <w:r>
              <w:rPr>
                <w:b/>
                <w:bCs/>
                <w:color w:val="FFFFFF"/>
                <w:sz w:val="20"/>
                <w:szCs w:val="20"/>
              </w:rPr>
              <w:t xml:space="preserve">Source</w:t>
            </w:r>
          </w:p>
        </w:tc>
        <w:tc>
          <w:tcPr>
            <w:tcW w:type="dxa" w:w="1500"/>
            <w:shd w:fill="2F3C7E" w:val="clear"/>
            <w:tcMar>
              <w:top w:type="dxa" w:w="100"/>
              <w:left w:type="dxa" w:w="120"/>
              <w:bottom w:type="dxa" w:w="100"/>
              <w:right w:type="dxa" w:w="120"/>
            </w:tcMar>
          </w:tcPr>
          <w:p>
            <w:r>
              <w:rPr>
                <w:b/>
                <w:bCs/>
                <w:color w:val="FFFFFF"/>
                <w:sz w:val="20"/>
                <w:szCs w:val="20"/>
              </w:rPr>
              <w:t xml:space="preserve">Reference date</w:t>
            </w:r>
          </w:p>
        </w:tc>
        <w:tc>
          <w:tcPr>
            <w:tcW w:type="dxa" w:w="3800"/>
            <w:shd w:fill="2F3C7E" w:val="clear"/>
            <w:tcMar>
              <w:top w:type="dxa" w:w="100"/>
              <w:left w:type="dxa" w:w="120"/>
              <w:bottom w:type="dxa" w:w="100"/>
              <w:right w:type="dxa" w:w="120"/>
            </w:tcMar>
          </w:tcPr>
          <w:p>
            <w:r>
              <w:rPr>
                <w:b/>
                <w:bCs/>
                <w:color w:val="FFFFFF"/>
                <w:sz w:val="20"/>
                <w:szCs w:val="20"/>
              </w:rPr>
              <w:t xml:space="preserve">Data point</w:t>
            </w:r>
          </w:p>
        </w:tc>
        <w:tc>
          <w:tcPr>
            <w:tcW w:type="dxa" w:w="1900"/>
            <w:shd w:fill="2F3C7E" w:val="clear"/>
            <w:tcMar>
              <w:top w:type="dxa" w:w="100"/>
              <w:left w:type="dxa" w:w="120"/>
              <w:bottom w:type="dxa" w:w="100"/>
              <w:right w:type="dxa" w:w="120"/>
            </w:tcMar>
          </w:tcPr>
          <w:p>
            <w:r>
              <w:rPr>
                <w:b/>
                <w:bCs/>
                <w:color w:val="FFFFFF"/>
                <w:sz w:val="20"/>
                <w:szCs w:val="20"/>
              </w:rPr>
              <w:t xml:space="preserve">Use for forecasting</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UN Comtrade / World Bank WITS</w:t>
            </w:r>
          </w:p>
        </w:tc>
        <w:tc>
          <w:tcPr>
            <w:tcW w:type="dxa" w:w="1500"/>
            <w:shd w:fill="FFFFFF" w:val="clear"/>
            <w:tcMar>
              <w:top w:type="dxa" w:w="100"/>
              <w:left w:type="dxa" w:w="120"/>
              <w:bottom w:type="dxa" w:w="100"/>
              <w:right w:type="dxa" w:w="120"/>
            </w:tcMar>
          </w:tcPr>
          <w:p>
            <w:r>
              <w:rPr>
                <w:b w:val="false"/>
                <w:bCs w:val="false"/>
                <w:color w:val="1A1A1A"/>
                <w:sz w:val="20"/>
                <w:szCs w:val="20"/>
              </w:rPr>
              <w:t xml:space="preserve">2023 (published w/ lag)</w:t>
            </w:r>
          </w:p>
        </w:tc>
        <w:tc>
          <w:tcPr>
            <w:tcW w:type="dxa" w:w="3800"/>
            <w:shd w:fill="FFFFFF" w:val="clear"/>
            <w:tcMar>
              <w:top w:type="dxa" w:w="100"/>
              <w:left w:type="dxa" w:w="120"/>
              <w:bottom w:type="dxa" w:w="100"/>
              <w:right w:type="dxa" w:w="120"/>
            </w:tcMar>
          </w:tcPr>
          <w:p>
            <w:r>
              <w:rPr>
                <w:b w:val="false"/>
                <w:bCs w:val="false"/>
                <w:color w:val="1A1A1A"/>
                <w:sz w:val="20"/>
                <w:szCs w:val="20"/>
              </w:rPr>
              <w:t xml:space="preserve">BF exports of mango (fresh+dried) to Germany: $7.44M / 1,582,820 kg</w:t>
            </w:r>
          </w:p>
        </w:tc>
        <w:tc>
          <w:tcPr>
            <w:tcW w:type="dxa" w:w="1900"/>
            <w:shd w:fill="FFFFFF" w:val="clear"/>
            <w:tcMar>
              <w:top w:type="dxa" w:w="100"/>
              <w:left w:type="dxa" w:w="120"/>
              <w:bottom w:type="dxa" w:w="100"/>
              <w:right w:type="dxa" w:w="120"/>
            </w:tcMar>
          </w:tcPr>
          <w:p>
            <w:r>
              <w:rPr>
                <w:b w:val="false"/>
                <w:bCs w:val="false"/>
                <w:color w:val="1A1A1A"/>
                <w:sz w:val="20"/>
                <w:szCs w:val="20"/>
              </w:rPr>
              <w:t xml:space="preserve">Baseline export volume proxy for demand</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APEX-Burkina (Nov 2024 report)</w:t>
            </w:r>
          </w:p>
        </w:tc>
        <w:tc>
          <w:tcPr>
            <w:tcW w:type="dxa" w:w="1500"/>
            <w:shd w:fill="FFFFFF" w:val="clear"/>
            <w:tcMar>
              <w:top w:type="dxa" w:w="100"/>
              <w:left w:type="dxa" w:w="120"/>
              <w:bottom w:type="dxa" w:w="100"/>
              <w:right w:type="dxa" w:w="120"/>
            </w:tcMar>
          </w:tcPr>
          <w:p>
            <w:r>
              <w:rPr>
                <w:b w:val="false"/>
                <w:bCs w:val="false"/>
                <w:color w:val="1A1A1A"/>
                <w:sz w:val="20"/>
                <w:szCs w:val="20"/>
              </w:rPr>
              <w:t xml:space="preserve">2018-2022</w:t>
            </w:r>
          </w:p>
        </w:tc>
        <w:tc>
          <w:tcPr>
            <w:tcW w:type="dxa" w:w="3800"/>
            <w:shd w:fill="FFFFFF" w:val="clear"/>
            <w:tcMar>
              <w:top w:type="dxa" w:w="100"/>
              <w:left w:type="dxa" w:w="120"/>
              <w:bottom w:type="dxa" w:w="100"/>
              <w:right w:type="dxa" w:w="120"/>
            </w:tcMar>
          </w:tcPr>
          <w:p>
            <w:r>
              <w:rPr>
                <w:b w:val="false"/>
                <w:bCs w:val="false"/>
                <w:color w:val="1A1A1A"/>
                <w:sz w:val="20"/>
                <w:szCs w:val="20"/>
              </w:rPr>
              <w:t xml:space="preserve">National mango output: 197,302t (2018) → 271,503t (2020) → 199,240t (2021, -27%) → ~300,000t (2022, +51%)</w:t>
            </w:r>
          </w:p>
        </w:tc>
        <w:tc>
          <w:tcPr>
            <w:tcW w:type="dxa" w:w="1900"/>
            <w:shd w:fill="FFFFFF" w:val="clear"/>
            <w:tcMar>
              <w:top w:type="dxa" w:w="100"/>
              <w:left w:type="dxa" w:w="120"/>
              <w:bottom w:type="dxa" w:w="100"/>
              <w:right w:type="dxa" w:w="120"/>
            </w:tcMar>
          </w:tcPr>
          <w:p>
            <w:r>
              <w:rPr>
                <w:b w:val="false"/>
                <w:bCs w:val="false"/>
                <w:color w:val="1A1A1A"/>
                <w:sz w:val="20"/>
                <w:szCs w:val="20"/>
              </w:rPr>
              <w:t xml:space="preserve">Supply-side volatility to factor into forecast confidence intervals</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Enhanced Integrated Framework (EIF)</w:t>
            </w:r>
          </w:p>
        </w:tc>
        <w:tc>
          <w:tcPr>
            <w:tcW w:type="dxa" w:w="1500"/>
            <w:shd w:fill="FFFFFF" w:val="clear"/>
            <w:tcMar>
              <w:top w:type="dxa" w:w="100"/>
              <w:left w:type="dxa" w:w="120"/>
              <w:bottom w:type="dxa" w:w="100"/>
              <w:right w:type="dxa" w:w="120"/>
            </w:tcMar>
          </w:tcPr>
          <w:p>
            <w:r>
              <w:rPr>
                <w:b w:val="false"/>
                <w:bCs w:val="false"/>
                <w:color w:val="1A1A1A"/>
                <w:sz w:val="20"/>
                <w:szCs w:val="20"/>
              </w:rPr>
              <w:t xml:space="preserve">2014-2020</w:t>
            </w:r>
          </w:p>
        </w:tc>
        <w:tc>
          <w:tcPr>
            <w:tcW w:type="dxa" w:w="3800"/>
            <w:shd w:fill="FFFFFF" w:val="clear"/>
            <w:tcMar>
              <w:top w:type="dxa" w:w="100"/>
              <w:left w:type="dxa" w:w="120"/>
              <w:bottom w:type="dxa" w:w="100"/>
              <w:right w:type="dxa" w:w="120"/>
            </w:tcMar>
          </w:tcPr>
          <w:p>
            <w:r>
              <w:rPr>
                <w:b w:val="false"/>
                <w:bCs w:val="false"/>
                <w:color w:val="1A1A1A"/>
                <w:sz w:val="20"/>
                <w:szCs w:val="20"/>
              </w:rPr>
              <w:t xml:space="preserve">Dried mango production: 700t (2014) → 3,800t (2020)</w:t>
            </w:r>
          </w:p>
        </w:tc>
        <w:tc>
          <w:tcPr>
            <w:tcW w:type="dxa" w:w="1900"/>
            <w:shd w:fill="FFFFFF" w:val="clear"/>
            <w:tcMar>
              <w:top w:type="dxa" w:w="100"/>
              <w:left w:type="dxa" w:w="120"/>
              <w:bottom w:type="dxa" w:w="100"/>
              <w:right w:type="dxa" w:w="120"/>
            </w:tcMar>
          </w:tcPr>
          <w:p>
            <w:r>
              <w:rPr>
                <w:b w:val="false"/>
                <w:bCs w:val="false"/>
                <w:color w:val="1A1A1A"/>
                <w:sz w:val="20"/>
                <w:szCs w:val="20"/>
              </w:rPr>
              <w:t xml:space="preserve">Growth trend for dried (processed) segment specifically</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SNV</w:t>
            </w:r>
          </w:p>
        </w:tc>
        <w:tc>
          <w:tcPr>
            <w:tcW w:type="dxa" w:w="1500"/>
            <w:shd w:fill="FFFFFF" w:val="clear"/>
            <w:tcMar>
              <w:top w:type="dxa" w:w="100"/>
              <w:left w:type="dxa" w:w="120"/>
              <w:bottom w:type="dxa" w:w="100"/>
              <w:right w:type="dxa" w:w="120"/>
            </w:tcMar>
          </w:tcPr>
          <w:p>
            <w:r>
              <w:rPr>
                <w:b w:val="false"/>
                <w:bCs w:val="false"/>
                <w:color w:val="1A1A1A"/>
                <w:sz w:val="20"/>
                <w:szCs w:val="20"/>
              </w:rPr>
              <w:t xml:space="preserve">Feb 2026</w:t>
            </w:r>
          </w:p>
        </w:tc>
        <w:tc>
          <w:tcPr>
            <w:tcW w:type="dxa" w:w="3800"/>
            <w:shd w:fill="FFFFFF" w:val="clear"/>
            <w:tcMar>
              <w:top w:type="dxa" w:w="100"/>
              <w:left w:type="dxa" w:w="120"/>
              <w:bottom w:type="dxa" w:w="100"/>
              <w:right w:type="dxa" w:w="120"/>
            </w:tcMar>
          </w:tcPr>
          <w:p>
            <w:r>
              <w:rPr>
                <w:b w:val="false"/>
                <w:bCs w:val="false"/>
                <w:color w:val="1A1A1A"/>
                <w:sz w:val="20"/>
                <w:szCs w:val="20"/>
              </w:rPr>
              <w:t xml:space="preserve">~120,000t/year total mango production; ~15,000 ha; ~374,000 people depend on the sector</w:t>
            </w:r>
          </w:p>
        </w:tc>
        <w:tc>
          <w:tcPr>
            <w:tcW w:type="dxa" w:w="1900"/>
            <w:shd w:fill="FFFFFF" w:val="clear"/>
            <w:tcMar>
              <w:top w:type="dxa" w:w="100"/>
              <w:left w:type="dxa" w:w="120"/>
              <w:bottom w:type="dxa" w:w="100"/>
              <w:right w:type="dxa" w:w="120"/>
            </w:tcMar>
          </w:tcPr>
          <w:p>
            <w:r>
              <w:rPr>
                <w:b w:val="false"/>
                <w:bCs w:val="false"/>
                <w:color w:val="1A1A1A"/>
                <w:sz w:val="20"/>
                <w:szCs w:val="20"/>
              </w:rPr>
              <w:t xml:space="preserve">Scale of supply base; sector capacity ceiling</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CBI (Dutch Ministry of Foreign Affairs)</w:t>
            </w:r>
          </w:p>
        </w:tc>
        <w:tc>
          <w:tcPr>
            <w:tcW w:type="dxa" w:w="1500"/>
            <w:shd w:fill="FFFFFF" w:val="clear"/>
            <w:tcMar>
              <w:top w:type="dxa" w:w="100"/>
              <w:left w:type="dxa" w:w="120"/>
              <w:bottom w:type="dxa" w:w="100"/>
              <w:right w:type="dxa" w:w="120"/>
            </w:tcMar>
          </w:tcPr>
          <w:p>
            <w:r>
              <w:rPr>
                <w:b w:val="false"/>
                <w:bCs w:val="false"/>
                <w:color w:val="1A1A1A"/>
                <w:sz w:val="20"/>
                <w:szCs w:val="20"/>
              </w:rPr>
              <w:t xml:space="preserve">2023 data</w:t>
            </w:r>
          </w:p>
        </w:tc>
        <w:tc>
          <w:tcPr>
            <w:tcW w:type="dxa" w:w="3800"/>
            <w:shd w:fill="FFFFFF" w:val="clear"/>
            <w:tcMar>
              <w:top w:type="dxa" w:w="100"/>
              <w:left w:type="dxa" w:w="120"/>
              <w:bottom w:type="dxa" w:w="100"/>
              <w:right w:type="dxa" w:w="120"/>
            </w:tcMar>
          </w:tcPr>
          <w:p>
            <w:r>
              <w:rPr>
                <w:b w:val="false"/>
                <w:bCs w:val="false"/>
                <w:color w:val="1A1A1A"/>
                <w:sz w:val="20"/>
                <w:szCs w:val="20"/>
              </w:rPr>
              <w:t xml:space="preserve">Germany: top market for organic dried tropical fruit in Europe; imported 416,000t organic food, ~18% processed fruit/veg</w:t>
            </w:r>
          </w:p>
        </w:tc>
        <w:tc>
          <w:tcPr>
            <w:tcW w:type="dxa" w:w="1900"/>
            <w:shd w:fill="FFFFFF" w:val="clear"/>
            <w:tcMar>
              <w:top w:type="dxa" w:w="100"/>
              <w:left w:type="dxa" w:w="120"/>
              <w:bottom w:type="dxa" w:w="100"/>
              <w:right w:type="dxa" w:w="120"/>
            </w:tcMar>
          </w:tcPr>
          <w:p>
            <w:r>
              <w:rPr>
                <w:b w:val="false"/>
                <w:bCs w:val="false"/>
                <w:color w:val="1A1A1A"/>
                <w:sz w:val="20"/>
                <w:szCs w:val="20"/>
              </w:rPr>
              <w:t xml:space="preserve">Target market sizing, organic positioning</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IndustryARC</w:t>
            </w:r>
          </w:p>
        </w:tc>
        <w:tc>
          <w:tcPr>
            <w:tcW w:type="dxa" w:w="1500"/>
            <w:shd w:fill="FFFFFF" w:val="clear"/>
            <w:tcMar>
              <w:top w:type="dxa" w:w="100"/>
              <w:left w:type="dxa" w:w="120"/>
              <w:bottom w:type="dxa" w:w="100"/>
              <w:right w:type="dxa" w:w="120"/>
            </w:tcMar>
          </w:tcPr>
          <w:p>
            <w:r>
              <w:rPr>
                <w:b w:val="false"/>
                <w:bCs w:val="false"/>
                <w:color w:val="1A1A1A"/>
                <w:sz w:val="20"/>
                <w:szCs w:val="20"/>
              </w:rPr>
              <w:t xml:space="preserve">2021</w:t>
            </w:r>
          </w:p>
        </w:tc>
        <w:tc>
          <w:tcPr>
            <w:tcW w:type="dxa" w:w="3800"/>
            <w:shd w:fill="FFFFFF" w:val="clear"/>
            <w:tcMar>
              <w:top w:type="dxa" w:w="100"/>
              <w:left w:type="dxa" w:w="120"/>
              <w:bottom w:type="dxa" w:w="100"/>
              <w:right w:type="dxa" w:w="120"/>
            </w:tcMar>
          </w:tcPr>
          <w:p>
            <w:r>
              <w:rPr>
                <w:b w:val="false"/>
                <w:bCs w:val="false"/>
                <w:color w:val="1A1A1A"/>
                <w:sz w:val="20"/>
                <w:szCs w:val="20"/>
              </w:rPr>
              <w:t xml:space="preserve">Germany dried fruits demand: $288.2M; main suppliers Turkey, South Africa, US, Chile, Netherlands</w:t>
            </w:r>
          </w:p>
        </w:tc>
        <w:tc>
          <w:tcPr>
            <w:tcW w:type="dxa" w:w="1900"/>
            <w:shd w:fill="FFFFFF" w:val="clear"/>
            <w:tcMar>
              <w:top w:type="dxa" w:w="100"/>
              <w:left w:type="dxa" w:w="120"/>
              <w:bottom w:type="dxa" w:w="100"/>
              <w:right w:type="dxa" w:w="120"/>
            </w:tcMar>
          </w:tcPr>
          <w:p>
            <w:r>
              <w:rPr>
                <w:b w:val="false"/>
                <w:bCs w:val="false"/>
                <w:color w:val="1A1A1A"/>
                <w:sz w:val="20"/>
                <w:szCs w:val="20"/>
              </w:rPr>
              <w:t xml:space="preserve">Competitive benchmark; BF's share is currently small — growth headroom</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Bonafide Research</w:t>
            </w:r>
          </w:p>
        </w:tc>
        <w:tc>
          <w:tcPr>
            <w:tcW w:type="dxa" w:w="1500"/>
            <w:shd w:fill="FFFFFF" w:val="clear"/>
            <w:tcMar>
              <w:top w:type="dxa" w:w="100"/>
              <w:left w:type="dxa" w:w="120"/>
              <w:bottom w:type="dxa" w:w="100"/>
              <w:right w:type="dxa" w:w="120"/>
            </w:tcMar>
          </w:tcPr>
          <w:p>
            <w:r>
              <w:rPr>
                <w:b w:val="false"/>
                <w:bCs w:val="false"/>
                <w:color w:val="1A1A1A"/>
                <w:sz w:val="20"/>
                <w:szCs w:val="20"/>
              </w:rPr>
              <w:t xml:space="preserve">2026</w:t>
            </w:r>
          </w:p>
        </w:tc>
        <w:tc>
          <w:tcPr>
            <w:tcW w:type="dxa" w:w="3800"/>
            <w:shd w:fill="FFFFFF" w:val="clear"/>
            <w:tcMar>
              <w:top w:type="dxa" w:w="100"/>
              <w:left w:type="dxa" w:w="120"/>
              <w:bottom w:type="dxa" w:w="100"/>
              <w:right w:type="dxa" w:w="120"/>
            </w:tcMar>
          </w:tcPr>
          <w:p>
            <w:r>
              <w:rPr>
                <w:b w:val="false"/>
                <w:bCs w:val="false"/>
                <w:color w:val="1A1A1A"/>
                <w:sz w:val="20"/>
                <w:szCs w:val="20"/>
              </w:rPr>
              <w:t xml:space="preserve">Germany dried fruit import hub: Hamburg &amp; Bremen</w:t>
            </w:r>
          </w:p>
        </w:tc>
        <w:tc>
          <w:tcPr>
            <w:tcW w:type="dxa" w:w="1900"/>
            <w:shd w:fill="FFFFFF" w:val="clear"/>
            <w:tcMar>
              <w:top w:type="dxa" w:w="100"/>
              <w:left w:type="dxa" w:w="120"/>
              <w:bottom w:type="dxa" w:w="100"/>
              <w:right w:type="dxa" w:w="120"/>
            </w:tcMar>
          </w:tcPr>
          <w:p>
            <w:r>
              <w:rPr>
                <w:b w:val="false"/>
                <w:bCs w:val="false"/>
                <w:color w:val="1A1A1A"/>
                <w:sz w:val="20"/>
                <w:szCs w:val="20"/>
              </w:rPr>
              <w:t xml:space="preserve">Logistics/delivery-tracking integration reference point</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Cardassilaris Family (industry news)</w:t>
            </w:r>
          </w:p>
        </w:tc>
        <w:tc>
          <w:tcPr>
            <w:tcW w:type="dxa" w:w="1500"/>
            <w:shd w:fill="FFFFFF" w:val="clear"/>
            <w:tcMar>
              <w:top w:type="dxa" w:w="100"/>
              <w:left w:type="dxa" w:w="120"/>
              <w:bottom w:type="dxa" w:w="100"/>
              <w:right w:type="dxa" w:w="120"/>
            </w:tcMar>
          </w:tcPr>
          <w:p>
            <w:r>
              <w:rPr>
                <w:b w:val="false"/>
                <w:bCs w:val="false"/>
                <w:color w:val="1A1A1A"/>
                <w:sz w:val="20"/>
                <w:szCs w:val="20"/>
              </w:rPr>
              <w:t xml:space="preserve">June 2026</w:t>
            </w:r>
          </w:p>
        </w:tc>
        <w:tc>
          <w:tcPr>
            <w:tcW w:type="dxa" w:w="3800"/>
            <w:shd w:fill="FFFFFF" w:val="clear"/>
            <w:tcMar>
              <w:top w:type="dxa" w:w="100"/>
              <w:left w:type="dxa" w:w="120"/>
              <w:bottom w:type="dxa" w:w="100"/>
              <w:right w:type="dxa" w:w="120"/>
            </w:tcMar>
          </w:tcPr>
          <w:p>
            <w:r>
              <w:rPr>
                <w:b w:val="false"/>
                <w:bCs w:val="false"/>
                <w:color w:val="1A1A1A"/>
                <w:sz w:val="20"/>
                <w:szCs w:val="20"/>
              </w:rPr>
              <w:t xml:space="preserve">Current price: €8-12/kg FOB; fresh-to-dried ratio 10-12:1; harvest season March-July; new €6M (EDFI AgriFI + BIO) drying facility funded in Bobo-Dioulasso (2026)</w:t>
            </w:r>
          </w:p>
        </w:tc>
        <w:tc>
          <w:tcPr>
            <w:tcW w:type="dxa" w:w="1900"/>
            <w:shd w:fill="FFFFFF" w:val="clear"/>
            <w:tcMar>
              <w:top w:type="dxa" w:w="100"/>
              <w:left w:type="dxa" w:w="120"/>
              <w:bottom w:type="dxa" w:w="100"/>
              <w:right w:type="dxa" w:w="120"/>
            </w:tcMar>
          </w:tcPr>
          <w:p>
            <w:r>
              <w:rPr>
                <w:b w:val="false"/>
                <w:bCs w:val="false"/>
                <w:color w:val="1A1A1A"/>
                <w:sz w:val="20"/>
                <w:szCs w:val="20"/>
              </w:rPr>
              <w:t xml:space="preserve">Current pricing baseline for dynamic pricing engine; confirms seasonality window</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Cardassilaris Family (industry news)</w:t>
            </w:r>
          </w:p>
        </w:tc>
        <w:tc>
          <w:tcPr>
            <w:tcW w:type="dxa" w:w="1500"/>
            <w:shd w:fill="FFFFFF" w:val="clear"/>
            <w:tcMar>
              <w:top w:type="dxa" w:w="100"/>
              <w:left w:type="dxa" w:w="120"/>
              <w:bottom w:type="dxa" w:w="100"/>
              <w:right w:type="dxa" w:w="120"/>
            </w:tcMar>
          </w:tcPr>
          <w:p>
            <w:r>
              <w:rPr>
                <w:b w:val="false"/>
                <w:bCs w:val="false"/>
                <w:color w:val="1A1A1A"/>
                <w:sz w:val="20"/>
                <w:szCs w:val="20"/>
              </w:rPr>
              <w:t xml:space="preserve">June 2026</w:t>
            </w:r>
          </w:p>
        </w:tc>
        <w:tc>
          <w:tcPr>
            <w:tcW w:type="dxa" w:w="3800"/>
            <w:shd w:fill="FFFFFF" w:val="clear"/>
            <w:tcMar>
              <w:top w:type="dxa" w:w="100"/>
              <w:left w:type="dxa" w:w="120"/>
              <w:bottom w:type="dxa" w:w="100"/>
              <w:right w:type="dxa" w:w="120"/>
            </w:tcMar>
          </w:tcPr>
          <w:p>
            <w:r>
              <w:rPr>
                <w:b w:val="false"/>
                <w:bCs w:val="false"/>
                <w:color w:val="1A1A1A"/>
                <w:sz w:val="20"/>
                <w:szCs w:val="20"/>
              </w:rPr>
              <w:t xml:space="preserve">El Niño probability for Jun-Aug 2026: 80% (WMO) / 92% (NOAA CPC)</w:t>
            </w:r>
          </w:p>
        </w:tc>
        <w:tc>
          <w:tcPr>
            <w:tcW w:type="dxa" w:w="1900"/>
            <w:shd w:fill="FFFFFF" w:val="clear"/>
            <w:tcMar>
              <w:top w:type="dxa" w:w="100"/>
              <w:left w:type="dxa" w:w="120"/>
              <w:bottom w:type="dxa" w:w="100"/>
              <w:right w:type="dxa" w:w="120"/>
            </w:tcMar>
          </w:tcPr>
          <w:p>
            <w:r>
              <w:rPr>
                <w:b w:val="false"/>
                <w:bCs w:val="false"/>
                <w:color w:val="1A1A1A"/>
                <w:sz w:val="20"/>
                <w:szCs w:val="20"/>
              </w:rPr>
              <w:t xml:space="preserve">Climate risk flag — widen forecast uncertainty for the current season</w:t>
            </w:r>
          </w:p>
        </w:tc>
      </w:tr>
      <w:tr>
        <w:tc>
          <w:tcPr>
            <w:tcW w:type="dxa" w:w="2400"/>
            <w:shd w:fill="FFFFFF" w:val="clear"/>
            <w:tcMar>
              <w:top w:type="dxa" w:w="100"/>
              <w:left w:type="dxa" w:w="120"/>
              <w:bottom w:type="dxa" w:w="100"/>
              <w:right w:type="dxa" w:w="120"/>
            </w:tcMar>
          </w:tcPr>
          <w:p>
            <w:r>
              <w:rPr>
                <w:b w:val="false"/>
                <w:bCs w:val="false"/>
                <w:color w:val="1A1A1A"/>
                <w:sz w:val="20"/>
                <w:szCs w:val="20"/>
              </w:rPr>
              <w:t xml:space="preserve">WTO (exporter interview)</w:t>
            </w:r>
          </w:p>
        </w:tc>
        <w:tc>
          <w:tcPr>
            <w:tcW w:type="dxa" w:w="1500"/>
            <w:shd w:fill="FFFFFF" w:val="clear"/>
            <w:tcMar>
              <w:top w:type="dxa" w:w="100"/>
              <w:left w:type="dxa" w:w="120"/>
              <w:bottom w:type="dxa" w:w="100"/>
              <w:right w:type="dxa" w:w="120"/>
            </w:tcMar>
          </w:tcPr>
          <w:p>
            <w:r>
              <w:rPr>
                <w:b w:val="false"/>
                <w:bCs w:val="false"/>
                <w:color w:val="1A1A1A"/>
                <w:sz w:val="20"/>
                <w:szCs w:val="20"/>
              </w:rPr>
              <w:t xml:space="preserve">2026</w:t>
            </w:r>
          </w:p>
        </w:tc>
        <w:tc>
          <w:tcPr>
            <w:tcW w:type="dxa" w:w="3800"/>
            <w:shd w:fill="FFFFFF" w:val="clear"/>
            <w:tcMar>
              <w:top w:type="dxa" w:w="100"/>
              <w:left w:type="dxa" w:w="120"/>
              <w:bottom w:type="dxa" w:w="100"/>
              <w:right w:type="dxa" w:w="120"/>
            </w:tcMar>
          </w:tcPr>
          <w:p>
            <w:r>
              <w:rPr>
                <w:b w:val="false"/>
                <w:bCs w:val="false"/>
                <w:color w:val="1A1A1A"/>
                <w:sz w:val="20"/>
                <w:szCs w:val="20"/>
              </w:rPr>
              <w:t xml:space="preserve">Key challenges cited: market access (tariffs, non-tariff measures), logistics, financing, competition from Thailand &amp; Mexico</w:t>
            </w:r>
          </w:p>
        </w:tc>
        <w:tc>
          <w:tcPr>
            <w:tcW w:type="dxa" w:w="1900"/>
            <w:shd w:fill="FFFFFF" w:val="clear"/>
            <w:tcMar>
              <w:top w:type="dxa" w:w="100"/>
              <w:left w:type="dxa" w:w="120"/>
              <w:bottom w:type="dxa" w:w="100"/>
              <w:right w:type="dxa" w:w="120"/>
            </w:tcMar>
          </w:tcPr>
          <w:p>
            <w:r>
              <w:rPr>
                <w:b w:val="false"/>
                <w:bCs w:val="false"/>
                <w:color w:val="1A1A1A"/>
                <w:sz w:val="20"/>
                <w:szCs w:val="20"/>
              </w:rPr>
              <w:t xml:space="preserve">Context for pricing strategy and market positioning</w:t>
            </w:r>
          </w:p>
        </w:tc>
      </w:tr>
    </w:tbl>
    <w:p>
      <w:pPr>
        <w:pStyle w:val="Heading1"/>
        <w:spacing w:after="120" w:before="240"/>
      </w:pPr>
      <w:r>
        <w:rPr>
          <w:b/>
          <w:bCs/>
          <w:color w:val="2F3C7E"/>
          <w:sz w:val="30"/>
          <w:szCs w:val="30"/>
        </w:rPr>
        <w:t xml:space="preserve">6. Next Step</w:t>
      </w:r>
    </w:p>
    <w:p>
      <w:pPr>
        <w:spacing w:after="120"/>
      </w:pPr>
      <w:r>
        <w:rPr>
          <w:color w:val="1A1A1A"/>
          <w:sz w:val="22"/>
          <w:szCs w:val="22"/>
        </w:rPr>
        <w:t xml:space="preserve">Task 1.2 — use these data points and assumptions to draft a first simple forecasting approach suited to limited historical data (cold-start problem).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2026-08-04T12:30:09.103Z</dcterms:created>
  <dcterms:modified xsi:type="dcterms:W3CDTF">2026-08-04T12:30:09.127Z</dcterms:modified>
</cp:coreProperties>
</file>

<file path=docProps/custom.xml><?xml version="1.0" encoding="utf-8"?>
<Properties xmlns="http://schemas.openxmlformats.org/officeDocument/2006/custom-properties" xmlns:vt="http://schemas.openxmlformats.org/officeDocument/2006/docPropsVTypes"/>
</file>