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PASANTÍA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TEM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7°2°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CAMILA OLMOS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45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