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B7A2" w14:textId="77777777" w:rsidR="00AB4063" w:rsidRDefault="00000000">
      <w:pPr>
        <w:pStyle w:val="Ttulo1"/>
        <w:spacing w:before="0" w:after="0" w:line="275" w:lineRule="auto"/>
        <w:rPr>
          <w:rFonts w:ascii="Google Sans" w:eastAsia="Google Sans" w:hAnsi="Google Sans" w:cs="Google Sans"/>
          <w:color w:val="1F1F1F"/>
        </w:rPr>
      </w:pPr>
      <w:r>
        <w:rPr>
          <w:rFonts w:ascii="Google Sans" w:eastAsia="Google Sans" w:hAnsi="Google Sans" w:cs="Google Sans"/>
          <w:color w:val="1F1F1F"/>
        </w:rPr>
        <w:t>Propuesta de sección: Antecedentes y estado del arte</w:t>
      </w:r>
    </w:p>
    <w:p w14:paraId="5EF5B730" w14:textId="77777777" w:rsidR="00AB4063" w:rsidRDefault="00000000">
      <w:pPr>
        <w:pStyle w:val="Ttulo2"/>
        <w:spacing w:before="0" w:after="0" w:line="275" w:lineRule="auto"/>
        <w:rPr>
          <w:rFonts w:ascii="Google Sans" w:eastAsia="Google Sans" w:hAnsi="Google Sans" w:cs="Google Sans"/>
          <w:color w:val="1F1F1F"/>
        </w:rPr>
      </w:pPr>
      <w:r>
        <w:rPr>
          <w:rFonts w:ascii="Google Sans" w:eastAsia="Google Sans" w:hAnsi="Google Sans" w:cs="Google Sans"/>
          <w:color w:val="1F1F1F"/>
        </w:rPr>
        <w:t>1. Revisión crítica de literatura</w:t>
      </w:r>
    </w:p>
    <w:p w14:paraId="138197AA"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La conexión entre la superestructura de acero y la subestructura de concreto representa uno de los nodos de transferencia de carga más críticos en el diseño de edificaciones sismorresistentes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El análisis de este sistema exige comprender la interacción mecánica entre la columna de acero, la placa base, los pernos de anclaje y el dado o pedestal de concreto</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A continuación, se presenta un desglose analítico de la evolución científica, experimental y normativa que sustenta el comportamiento de estas conexiones, identificando las metodologías clásicas de diseño, la física del arrancamiento del concreto, las demandas sísmicas y el impacto de los marcos regulatorios vigentes en México</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6DA40575" w14:textId="77777777" w:rsidR="00AB4063" w:rsidRDefault="00000000">
      <w:pPr>
        <w:pStyle w:val="Ttulo3"/>
        <w:spacing w:before="0" w:line="275" w:lineRule="auto"/>
        <w:rPr>
          <w:rFonts w:ascii="Google Sans" w:eastAsia="Google Sans" w:hAnsi="Google Sans" w:cs="Google Sans"/>
          <w:color w:val="1F1F1F"/>
        </w:rPr>
      </w:pPr>
      <w:r>
        <w:rPr>
          <w:rFonts w:ascii="Google Sans" w:eastAsia="Google Sans" w:hAnsi="Google Sans" w:cs="Google Sans"/>
          <w:color w:val="1F1F1F"/>
        </w:rPr>
        <w:t>1.1 Estudios clásicos sobre diseño de placas base</w:t>
      </w:r>
    </w:p>
    <w:p w14:paraId="48725C41"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desarrollo de metodologías para el dimensionamiento de placas base se ha fundamentado tradicionalmente en la hipótesis de rigidez infinita de la placa de acero, asumiendo distribuciones lineales de deformación y esfuerzos uniformes en el concreto de soporte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Los manuales de referencia global, como la guía de diseño </w:t>
      </w:r>
      <w:r>
        <w:rPr>
          <w:rFonts w:ascii="Google Sans" w:eastAsia="Google Sans" w:hAnsi="Google Sans" w:cs="Google Sans"/>
          <w:i/>
          <w:iCs/>
          <w:color w:val="1F1F1F"/>
        </w:rPr>
        <w:t xml:space="preserve">AISC </w:t>
      </w:r>
      <w:proofErr w:type="spellStart"/>
      <w:r>
        <w:rPr>
          <w:rFonts w:ascii="Google Sans" w:eastAsia="Google Sans" w:hAnsi="Google Sans" w:cs="Google Sans"/>
          <w:i/>
          <w:iCs/>
          <w:color w:val="1F1F1F"/>
        </w:rPr>
        <w:t>Design</w:t>
      </w:r>
      <w:proofErr w:type="spellEnd"/>
      <w:r>
        <w:rPr>
          <w:rFonts w:ascii="Google Sans" w:eastAsia="Google Sans" w:hAnsi="Google Sans" w:cs="Google Sans"/>
          <w:i/>
          <w:iCs/>
          <w:color w:val="1F1F1F"/>
        </w:rPr>
        <w:t xml:space="preserve"> Guide 1: Base Plate and Anchor Rod Design</w:t>
      </w:r>
      <w:r>
        <w:rPr>
          <w:rFonts w:ascii="Google Sans" w:eastAsia="Google Sans" w:hAnsi="Google Sans" w:cs="Google Sans"/>
          <w:color w:val="1F1F1F"/>
        </w:rPr>
        <w:t xml:space="preserve">, formulada por Fisher y Kloiber, establecieron los procedimientos analíticos estándar para el diseño de conexiones sometidas a compresión axial pura, tensión axial y </w:t>
      </w:r>
      <w:proofErr w:type="spellStart"/>
      <w:r>
        <w:rPr>
          <w:rFonts w:ascii="Google Sans" w:eastAsia="Google Sans" w:hAnsi="Google Sans" w:cs="Google Sans"/>
          <w:color w:val="1F1F1F"/>
        </w:rPr>
        <w:t>flexocompresión</w:t>
      </w:r>
      <w:proofErr w:type="spellEnd"/>
      <w:r>
        <w:rPr>
          <w:rFonts w:ascii="Google Sans" w:eastAsia="Google Sans" w:hAnsi="Google Sans" w:cs="Google Sans"/>
          <w:color w:val="1F1F1F"/>
        </w:rPr>
        <w:t xml:space="preserve"> combinada</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p w14:paraId="664A021A"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En condiciones de </w:t>
      </w:r>
      <w:proofErr w:type="spellStart"/>
      <w:r>
        <w:rPr>
          <w:rFonts w:ascii="Google Sans" w:eastAsia="Google Sans" w:hAnsi="Google Sans" w:cs="Google Sans"/>
          <w:color w:val="1F1F1F"/>
        </w:rPr>
        <w:t>flexocompresión</w:t>
      </w:r>
      <w:proofErr w:type="spellEnd"/>
      <w:r>
        <w:rPr>
          <w:rFonts w:ascii="Google Sans" w:eastAsia="Google Sans" w:hAnsi="Google Sans" w:cs="Google Sans"/>
          <w:color w:val="1F1F1F"/>
        </w:rPr>
        <w:t>, el comportamiento físico de la conexión se bifurca sustancialmente en función de la excentricidad de la carga (</w:t>
      </w:r>
      <w:r>
        <w:rPr>
          <w:rFonts w:ascii="Google Sans" w:eastAsia="Google Sans" w:hAnsi="Google Sans" w:cs="Google Sans"/>
          <w:noProof/>
          <w:color w:val="1F1F1F"/>
        </w:rPr>
        <w:drawing>
          <wp:inline distT="19050" distB="19050" distL="19050" distR="19050" wp14:anchorId="7D64239C" wp14:editId="05B71F25">
            <wp:extent cx="943405" cy="254401"/>
            <wp:effectExtent l="0" t="0" r="0" b="0"/>
            <wp:docPr id="4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943405" cy="25440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Para excentricidades pequeñas, toda la superficie de la placa base se mantiene bajo presiones de contacto de compresión, modeladas mediante un bloque de esfuerzos equivalentes en el concreto de soporte</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No obstante, cuando la conexión experimenta una gran excentricidad (condición crítica en marcos rígidos sismorresistentes), la placa base experimenta un levantamiento en el extremo de tensión</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Este fenómeno moviliza las fuerzas de tracción en las anclas de soporte, mientras que en el extremo opuesto se desarrolla una zona concentrada de presiones de contacto, delimitada por la resistencia de aplastamiento nominal del concreto, que incorpora el efecto de confinamiento geométrico del pedestal (</w:t>
      </w:r>
      <w:r>
        <w:rPr>
          <w:rFonts w:ascii="Google Sans" w:eastAsia="Google Sans" w:hAnsi="Google Sans" w:cs="Google Sans"/>
          <w:noProof/>
          <w:color w:val="1F1F1F"/>
        </w:rPr>
        <w:drawing>
          <wp:inline distT="19050" distB="19050" distL="19050" distR="19050" wp14:anchorId="5D329180" wp14:editId="7804CB24">
            <wp:extent cx="2272770" cy="253705"/>
            <wp:effectExtent l="0" t="0" r="0" b="0"/>
            <wp:docPr id="5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2272770" cy="253705"/>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403F8D24"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Estudios posteriores cuestionaron la validez universal de la hipótesis de rigidez infinita, demostrando mediante modelos analíticos y numéricos que la flexibilidad intrínseca de la placa base (</w:t>
      </w:r>
      <w:r>
        <w:rPr>
          <w:rFonts w:ascii="Google Sans" w:eastAsia="Google Sans" w:hAnsi="Google Sans" w:cs="Google Sans"/>
          <w:noProof/>
          <w:color w:val="1F1F1F"/>
        </w:rPr>
        <w:drawing>
          <wp:inline distT="19050" distB="19050" distL="19050" distR="19050" wp14:anchorId="6AF216A4" wp14:editId="645B8770">
            <wp:extent cx="131961" cy="230932"/>
            <wp:effectExtent l="0" t="0" r="0" b="0"/>
            <wp:docPr id="5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31961" cy="230932"/>
                    </a:xfrm>
                    <a:prstGeom prst="rect">
                      <a:avLst/>
                    </a:prstGeom>
                    <a:ln/>
                  </pic:spPr>
                </pic:pic>
              </a:graphicData>
            </a:graphic>
          </wp:inline>
        </w:drawing>
      </w:r>
      <w:r>
        <w:rPr>
          <w:rFonts w:ascii="Google Sans" w:eastAsia="Google Sans" w:hAnsi="Google Sans" w:cs="Google Sans"/>
          <w:color w:val="1F1F1F"/>
        </w:rPr>
        <w:t>) altera significativamente la distribución real de presiones de contacto</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Una placa base de menor espesor propicia concentraciones severas de esfuerzos de aplastamiento directamente bajo los patines y el alma de la columna de acero, reduciendo el brazo de palanca interno y amplificando la demanda de tensión en los pernos de anclaje debido al denominado efecto de palanca (</w:t>
      </w:r>
      <w:proofErr w:type="spellStart"/>
      <w:r>
        <w:rPr>
          <w:rFonts w:ascii="Google Sans" w:eastAsia="Google Sans" w:hAnsi="Google Sans" w:cs="Google Sans"/>
          <w:i/>
          <w:iCs/>
          <w:color w:val="1F1F1F"/>
        </w:rPr>
        <w:t>prying</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action</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La determinación analítica del espesor mínimo se rige por la flexión de la placa en las secciones críticas de cantiléver, evaluadas a distancias normalizadas de las caras del perfil estructural (típicamente representadas por los parámetros geométricos </w:t>
      </w:r>
      <w:r>
        <w:rPr>
          <w:rFonts w:ascii="Google Sans" w:eastAsia="Google Sans" w:hAnsi="Google Sans" w:cs="Google Sans"/>
          <w:noProof/>
          <w:color w:val="1F1F1F"/>
        </w:rPr>
        <w:drawing>
          <wp:inline distT="19050" distB="19050" distL="19050" distR="19050" wp14:anchorId="2667C940" wp14:editId="76A075DC">
            <wp:extent cx="172144" cy="258217"/>
            <wp:effectExtent l="0" t="0" r="0" b="0"/>
            <wp:docPr id="5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172144" cy="258217"/>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4D6826B" wp14:editId="34560256">
            <wp:extent cx="117575" cy="282179"/>
            <wp:effectExtent l="0" t="0" r="0" b="0"/>
            <wp:docPr id="5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9"/>
                    <a:srcRect/>
                    <a:stretch>
                      <a:fillRect/>
                    </a:stretch>
                  </pic:blipFill>
                  <pic:spPr>
                    <a:xfrm>
                      <a:off x="0" y="0"/>
                      <a:ext cx="117575" cy="282179"/>
                    </a:xfrm>
                    <a:prstGeom prst="rect">
                      <a:avLst/>
                    </a:prstGeom>
                    <a:ln/>
                  </pic:spPr>
                </pic:pic>
              </a:graphicData>
            </a:graphic>
          </wp:inline>
        </w:drawing>
      </w:r>
      <w:r>
        <w:rPr>
          <w:rFonts w:ascii="Google Sans" w:eastAsia="Google Sans" w:hAnsi="Google Sans" w:cs="Google Sans"/>
          <w:color w:val="1F1F1F"/>
        </w:rPr>
        <w:t xml:space="preserve"> y </w:t>
      </w:r>
      <w:r>
        <w:rPr>
          <w:rFonts w:ascii="Google Sans" w:eastAsia="Google Sans" w:hAnsi="Google Sans" w:cs="Google Sans"/>
          <w:noProof/>
          <w:color w:val="1F1F1F"/>
        </w:rPr>
        <w:drawing>
          <wp:inline distT="19050" distB="19050" distL="19050" distR="19050" wp14:anchorId="62A4714F" wp14:editId="599BDC42">
            <wp:extent cx="165034" cy="264054"/>
            <wp:effectExtent l="0" t="0" r="0" b="0"/>
            <wp:docPr id="5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
                    <a:srcRect/>
                    <a:stretch>
                      <a:fillRect/>
                    </a:stretch>
                  </pic:blipFill>
                  <pic:spPr>
                    <a:xfrm>
                      <a:off x="0" y="0"/>
                      <a:ext cx="165034" cy="264054"/>
                    </a:xfrm>
                    <a:prstGeom prst="rect">
                      <a:avLst/>
                    </a:prstGeom>
                    <a:ln/>
                  </pic:spPr>
                </pic:pic>
              </a:graphicData>
            </a:graphic>
          </wp:inline>
        </w:drawing>
      </w:r>
      <w:r>
        <w:rPr>
          <w:rFonts w:ascii="Google Sans" w:eastAsia="Google Sans" w:hAnsi="Google Sans" w:cs="Google Sans"/>
          <w:color w:val="1F1F1F"/>
        </w:rPr>
        <w:t xml:space="preserve"> de la metodología AISC)</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En este contexto, perfiles de alta demanda como el IR </w:t>
      </w:r>
      <w:r>
        <w:rPr>
          <w:rFonts w:ascii="Google Sans" w:eastAsia="Google Sans" w:hAnsi="Google Sans" w:cs="Google Sans"/>
          <w:noProof/>
          <w:color w:val="1F1F1F"/>
        </w:rPr>
        <w:drawing>
          <wp:inline distT="19050" distB="19050" distL="19050" distR="19050" wp14:anchorId="4B5DB3C8" wp14:editId="64C6D765">
            <wp:extent cx="881725" cy="233710"/>
            <wp:effectExtent l="0" t="0" r="0" b="0"/>
            <wp:docPr id="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881725" cy="233710"/>
                    </a:xfrm>
                    <a:prstGeom prst="rect">
                      <a:avLst/>
                    </a:prstGeom>
                    <a:ln/>
                  </pic:spPr>
                </pic:pic>
              </a:graphicData>
            </a:graphic>
          </wp:inline>
        </w:drawing>
      </w:r>
      <w:r>
        <w:rPr>
          <w:rFonts w:ascii="Google Sans" w:eastAsia="Google Sans" w:hAnsi="Google Sans" w:cs="Google Sans"/>
          <w:color w:val="1F1F1F"/>
        </w:rPr>
        <w:t xml:space="preserve"> sobre placas de </w:t>
      </w:r>
      <w:r>
        <w:rPr>
          <w:rFonts w:ascii="Google Sans" w:eastAsia="Google Sans" w:hAnsi="Google Sans" w:cs="Google Sans"/>
          <w:noProof/>
          <w:color w:val="1F1F1F"/>
        </w:rPr>
        <w:drawing>
          <wp:inline distT="19050" distB="19050" distL="19050" distR="19050" wp14:anchorId="3B42326E" wp14:editId="75957FA6">
            <wp:extent cx="930507" cy="232627"/>
            <wp:effectExtent l="0" t="0" r="0" b="0"/>
            <wp:docPr id="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930507" cy="232627"/>
                    </a:xfrm>
                    <a:prstGeom prst="rect">
                      <a:avLst/>
                    </a:prstGeom>
                    <a:ln/>
                  </pic:spPr>
                </pic:pic>
              </a:graphicData>
            </a:graphic>
          </wp:inline>
        </w:drawing>
      </w:r>
      <w:r>
        <w:rPr>
          <w:rFonts w:ascii="Google Sans" w:eastAsia="Google Sans" w:hAnsi="Google Sans" w:cs="Google Sans"/>
          <w:color w:val="1F1F1F"/>
        </w:rPr>
        <w:t xml:space="preserve"> exigen un control estricto del espesor para evitar fallas prematuras por fluencia </w:t>
      </w:r>
      <w:proofErr w:type="spellStart"/>
      <w:r>
        <w:rPr>
          <w:rFonts w:ascii="Google Sans" w:eastAsia="Google Sans" w:hAnsi="Google Sans" w:cs="Google Sans"/>
          <w:color w:val="1F1F1F"/>
        </w:rPr>
        <w:t>flexionante</w:t>
      </w:r>
      <w:proofErr w:type="spellEnd"/>
      <w:r>
        <w:rPr>
          <w:rFonts w:ascii="Google Sans" w:eastAsia="Google Sans" w:hAnsi="Google Sans" w:cs="Google Sans"/>
          <w:color w:val="1F1F1F"/>
        </w:rPr>
        <w:t xml:space="preserve"> de la placa de acero antes del desarrollo de la capacidad nominal de los anclajes</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w:t>
      </w:r>
    </w:p>
    <w:p w14:paraId="611674EB" w14:textId="77777777" w:rsidR="00AB4063" w:rsidRDefault="00000000">
      <w:pPr>
        <w:pStyle w:val="Ttulo3"/>
        <w:spacing w:before="0" w:line="275" w:lineRule="auto"/>
        <w:rPr>
          <w:rFonts w:ascii="Google Sans" w:eastAsia="Google Sans" w:hAnsi="Google Sans" w:cs="Google Sans"/>
          <w:color w:val="1F1F1F"/>
        </w:rPr>
      </w:pPr>
      <w:r>
        <w:rPr>
          <w:rFonts w:ascii="Google Sans" w:eastAsia="Google Sans" w:hAnsi="Google Sans" w:cs="Google Sans"/>
          <w:color w:val="1F1F1F"/>
        </w:rPr>
        <w:t>1.2 Desarrollo del método CCD para anclajes en concreto</w:t>
      </w:r>
    </w:p>
    <w:p w14:paraId="35904938"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La transición desde los modelos de diseño empíricos hacia teorías físicamente consistentes para la evaluación de anclajes embebidos en concreto se consolidó con la introducción del método de Diseño de la Capacidad del Concreto (conocido internacionalmente como </w:t>
      </w:r>
      <w:r>
        <w:rPr>
          <w:rFonts w:ascii="Google Sans" w:eastAsia="Google Sans" w:hAnsi="Google Sans" w:cs="Google Sans"/>
          <w:i/>
          <w:iCs/>
          <w:color w:val="1F1F1F"/>
        </w:rPr>
        <w:t xml:space="preserve">Concrete </w:t>
      </w:r>
      <w:proofErr w:type="spellStart"/>
      <w:r>
        <w:rPr>
          <w:rFonts w:ascii="Google Sans" w:eastAsia="Google Sans" w:hAnsi="Google Sans" w:cs="Google Sans"/>
          <w:i/>
          <w:iCs/>
          <w:color w:val="1F1F1F"/>
        </w:rPr>
        <w:t>Capacity</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Design</w:t>
      </w:r>
      <w:proofErr w:type="spellEnd"/>
      <w:r>
        <w:rPr>
          <w:rFonts w:ascii="Google Sans" w:eastAsia="Google Sans" w:hAnsi="Google Sans" w:cs="Google Sans"/>
          <w:color w:val="1F1F1F"/>
        </w:rPr>
        <w:t xml:space="preserve"> o método CCD), propuesto por Fuchs, </w:t>
      </w:r>
      <w:proofErr w:type="spellStart"/>
      <w:r>
        <w:rPr>
          <w:rFonts w:ascii="Google Sans" w:eastAsia="Google Sans" w:hAnsi="Google Sans" w:cs="Google Sans"/>
          <w:color w:val="1F1F1F"/>
        </w:rPr>
        <w:t>Eligehausen</w:t>
      </w:r>
      <w:proofErr w:type="spellEnd"/>
      <w:r>
        <w:rPr>
          <w:rFonts w:ascii="Google Sans" w:eastAsia="Google Sans" w:hAnsi="Google Sans" w:cs="Google Sans"/>
          <w:color w:val="1F1F1F"/>
        </w:rPr>
        <w:t xml:space="preserve"> y Breen en 1995</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Antes de la formalización del método CCD, normativas de seguridad como el estándar ACI 349-85 calculaban la resistencia al desprendimiento del concreto utilizando un modelo simplificado de cono de falla con un ángulo de inclinación de </w:t>
      </w:r>
      <w:r>
        <w:rPr>
          <w:rFonts w:ascii="Google Sans" w:eastAsia="Google Sans" w:hAnsi="Google Sans" w:cs="Google Sans"/>
          <w:noProof/>
          <w:color w:val="1F1F1F"/>
        </w:rPr>
        <w:drawing>
          <wp:inline distT="19050" distB="19050" distL="19050" distR="19050" wp14:anchorId="034EED68" wp14:editId="05F66A0E">
            <wp:extent cx="242094" cy="209081"/>
            <wp:effectExtent l="0" t="0" r="0" b="0"/>
            <wp:docPr id="6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42094" cy="209081"/>
                    </a:xfrm>
                    <a:prstGeom prst="rect">
                      <a:avLst/>
                    </a:prstGeom>
                    <a:ln/>
                  </pic:spPr>
                </pic:pic>
              </a:graphicData>
            </a:graphic>
          </wp:inline>
        </w:drawing>
      </w:r>
      <w:r>
        <w:rPr>
          <w:rFonts w:ascii="Google Sans" w:eastAsia="Google Sans" w:hAnsi="Google Sans" w:cs="Google Sans"/>
          <w:color w:val="1F1F1F"/>
        </w:rPr>
        <w:t>, asumiendo que la capacidad última escalaba de manera directamente proporcional al área proyectada del cono, es decir, en función de la profundidad de empotramiento al cuadrado (</w:t>
      </w:r>
      <w:r>
        <w:rPr>
          <w:rFonts w:ascii="Google Sans" w:eastAsia="Google Sans" w:hAnsi="Google Sans" w:cs="Google Sans"/>
          <w:noProof/>
          <w:color w:val="1F1F1F"/>
        </w:rPr>
        <w:drawing>
          <wp:inline distT="19050" distB="19050" distL="19050" distR="19050" wp14:anchorId="594F4233" wp14:editId="50AB8851">
            <wp:extent cx="268717" cy="268717"/>
            <wp:effectExtent l="0" t="0" r="0" b="0"/>
            <wp:docPr id="6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268717" cy="268717"/>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7B55A7C1"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El modelo CCD revolucionó este enfoque al demostrar experimentalmente que el ángulo real de inclinación de la superficie del prisma de fractura por tracción es de aproximadamente </w:t>
      </w:r>
      <w:r>
        <w:rPr>
          <w:rFonts w:ascii="Google Sans" w:eastAsia="Google Sans" w:hAnsi="Google Sans" w:cs="Google Sans"/>
          <w:noProof/>
          <w:color w:val="1F1F1F"/>
        </w:rPr>
        <w:drawing>
          <wp:inline distT="19050" distB="19050" distL="19050" distR="19050" wp14:anchorId="5F996843" wp14:editId="1B41AE34">
            <wp:extent cx="274505" cy="232273"/>
            <wp:effectExtent l="0" t="0" r="0" b="0"/>
            <wp:docPr id="6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274505" cy="232273"/>
                    </a:xfrm>
                    <a:prstGeom prst="rect">
                      <a:avLst/>
                    </a:prstGeom>
                    <a:ln/>
                  </pic:spPr>
                </pic:pic>
              </a:graphicData>
            </a:graphic>
          </wp:inline>
        </w:drawing>
      </w:r>
      <w:r>
        <w:rPr>
          <w:rFonts w:ascii="Google Sans" w:eastAsia="Google Sans" w:hAnsi="Google Sans" w:cs="Google Sans"/>
          <w:color w:val="1F1F1F"/>
        </w:rPr>
        <w:t xml:space="preserve"> respecto a la horizontal</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Esta modificación geométrica redefinió el área proyectada de falla de un anclaje individual en un medio infinito como un cuadrado de base igual a tres veces la profundidad efectiva de empotramiento (</w:t>
      </w:r>
      <w:r>
        <w:rPr>
          <w:rFonts w:ascii="Google Sans" w:eastAsia="Google Sans" w:hAnsi="Google Sans" w:cs="Google Sans"/>
          <w:noProof/>
          <w:color w:val="1F1F1F"/>
        </w:rPr>
        <w:drawing>
          <wp:inline distT="19050" distB="19050" distL="19050" distR="19050" wp14:anchorId="41C4CEE4" wp14:editId="3641DE0A">
            <wp:extent cx="973007" cy="256617"/>
            <wp:effectExtent l="0" t="0" r="0" b="0"/>
            <wp:docPr id="6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6"/>
                    <a:srcRect/>
                    <a:stretch>
                      <a:fillRect/>
                    </a:stretch>
                  </pic:blipFill>
                  <pic:spPr>
                    <a:xfrm>
                      <a:off x="0" y="0"/>
                      <a:ext cx="973007" cy="256617"/>
                    </a:xfrm>
                    <a:prstGeom prst="rect">
                      <a:avLst/>
                    </a:prstGeom>
                    <a:ln/>
                  </pic:spPr>
                </pic:pic>
              </a:graphicData>
            </a:graphic>
          </wp:inline>
        </w:drawing>
      </w:r>
      <w:r>
        <w:rPr>
          <w:rFonts w:ascii="Google Sans" w:eastAsia="Google Sans" w:hAnsi="Google Sans" w:cs="Google Sans"/>
          <w:color w:val="1F1F1F"/>
        </w:rPr>
        <w:t>), resultando en un área de proyección básica equivalente a</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2011A315"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17EFFDFA" wp14:editId="6CEF1937">
            <wp:extent cx="5905500" cy="687361"/>
            <wp:effectExtent l="0" t="0" r="0" b="0"/>
            <wp:docPr id="6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7"/>
                    <a:srcRect/>
                    <a:stretch>
                      <a:fillRect/>
                    </a:stretch>
                  </pic:blipFill>
                  <pic:spPr>
                    <a:xfrm>
                      <a:off x="0" y="0"/>
                      <a:ext cx="5905500" cy="687361"/>
                    </a:xfrm>
                    <a:prstGeom prst="rect">
                      <a:avLst/>
                    </a:prstGeom>
                    <a:ln/>
                  </pic:spPr>
                </pic:pic>
              </a:graphicData>
            </a:graphic>
          </wp:inline>
        </w:drawing>
      </w:r>
    </w:p>
    <w:p w14:paraId="5FAA1BCB"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Asimismo, el método CCD incorporó los principios de la mecánica de fractura lineal, reconociendo el denominado "efecto de escala" (</w:t>
      </w:r>
      <w:proofErr w:type="spellStart"/>
      <w:r>
        <w:rPr>
          <w:rFonts w:ascii="Google Sans" w:eastAsia="Google Sans" w:hAnsi="Google Sans" w:cs="Google Sans"/>
          <w:i/>
          <w:iCs/>
          <w:color w:val="1F1F1F"/>
        </w:rPr>
        <w:t>size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effect</w:t>
      </w:r>
      <w:proofErr w:type="spellEnd"/>
      <w:r>
        <w:rPr>
          <w:rFonts w:ascii="Google Sans" w:eastAsia="Google Sans" w:hAnsi="Google Sans" w:cs="Google Sans"/>
          <w:color w:val="1F1F1F"/>
        </w:rPr>
        <w:t xml:space="preserve">) en materiales </w:t>
      </w:r>
      <w:proofErr w:type="spellStart"/>
      <w:r>
        <w:rPr>
          <w:rFonts w:ascii="Google Sans" w:eastAsia="Google Sans" w:hAnsi="Google Sans" w:cs="Google Sans"/>
          <w:color w:val="1F1F1F"/>
        </w:rPr>
        <w:t>cuasifrágiles</w:t>
      </w:r>
      <w:proofErr w:type="spellEnd"/>
      <w:r>
        <w:rPr>
          <w:rFonts w:ascii="Google Sans" w:eastAsia="Google Sans" w:hAnsi="Google Sans" w:cs="Google Sans"/>
          <w:color w:val="1F1F1F"/>
        </w:rPr>
        <w:t xml:space="preserve"> como el concreto</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Bajo esta premisa, la resistencia nominal al cono de concreto en tensión (</w:t>
      </w:r>
      <w:r>
        <w:rPr>
          <w:rFonts w:ascii="Google Sans" w:eastAsia="Google Sans" w:hAnsi="Google Sans" w:cs="Google Sans"/>
          <w:noProof/>
          <w:color w:val="1F1F1F"/>
        </w:rPr>
        <w:drawing>
          <wp:inline distT="19050" distB="19050" distL="19050" distR="19050" wp14:anchorId="2BA73211" wp14:editId="48387CFC">
            <wp:extent cx="226053" cy="258346"/>
            <wp:effectExtent l="0" t="0" r="0" b="0"/>
            <wp:docPr id="7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8"/>
                    <a:srcRect/>
                    <a:stretch>
                      <a:fillRect/>
                    </a:stretch>
                  </pic:blipFill>
                  <pic:spPr>
                    <a:xfrm>
                      <a:off x="0" y="0"/>
                      <a:ext cx="226053" cy="258346"/>
                    </a:xfrm>
                    <a:prstGeom prst="rect">
                      <a:avLst/>
                    </a:prstGeom>
                    <a:ln/>
                  </pic:spPr>
                </pic:pic>
              </a:graphicData>
            </a:graphic>
          </wp:inline>
        </w:drawing>
      </w:r>
      <w:r>
        <w:rPr>
          <w:rFonts w:ascii="Google Sans" w:eastAsia="Google Sans" w:hAnsi="Google Sans" w:cs="Google Sans"/>
          <w:color w:val="1F1F1F"/>
        </w:rPr>
        <w:t>) para un anclaje individual colado en sitio, alejado de bordes libres y en concreto no agrietado, no escala proporcionalmente al área proyectada (</w:t>
      </w:r>
      <w:r>
        <w:rPr>
          <w:rFonts w:ascii="Google Sans" w:eastAsia="Google Sans" w:hAnsi="Google Sans" w:cs="Google Sans"/>
          <w:noProof/>
          <w:color w:val="1F1F1F"/>
        </w:rPr>
        <w:drawing>
          <wp:inline distT="19050" distB="19050" distL="19050" distR="19050" wp14:anchorId="3A1F9BF9" wp14:editId="69AF83C9">
            <wp:extent cx="268717" cy="268717"/>
            <wp:effectExtent l="0" t="0" r="0" b="0"/>
            <wp:docPr id="7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4"/>
                    <a:srcRect/>
                    <a:stretch>
                      <a:fillRect/>
                    </a:stretch>
                  </pic:blipFill>
                  <pic:spPr>
                    <a:xfrm>
                      <a:off x="0" y="0"/>
                      <a:ext cx="268717" cy="268717"/>
                    </a:xfrm>
                    <a:prstGeom prst="rect">
                      <a:avLst/>
                    </a:prstGeom>
                    <a:ln/>
                  </pic:spPr>
                </pic:pic>
              </a:graphicData>
            </a:graphic>
          </wp:inline>
        </w:drawing>
      </w:r>
      <w:r>
        <w:rPr>
          <w:rFonts w:ascii="Google Sans" w:eastAsia="Google Sans" w:hAnsi="Google Sans" w:cs="Google Sans"/>
          <w:color w:val="1F1F1F"/>
        </w:rPr>
        <w:t xml:space="preserve">), sino a la profundidad de </w:t>
      </w:r>
      <w:proofErr w:type="gramStart"/>
      <w:r>
        <w:rPr>
          <w:rFonts w:ascii="Google Sans" w:eastAsia="Google Sans" w:hAnsi="Google Sans" w:cs="Google Sans"/>
          <w:color w:val="1F1F1F"/>
        </w:rPr>
        <w:t>empotramiento elevada</w:t>
      </w:r>
      <w:proofErr w:type="gramEnd"/>
      <w:r>
        <w:rPr>
          <w:rFonts w:ascii="Google Sans" w:eastAsia="Google Sans" w:hAnsi="Google Sans" w:cs="Google Sans"/>
          <w:color w:val="1F1F1F"/>
        </w:rPr>
        <w:t xml:space="preserve"> a la potencia </w:t>
      </w:r>
      <w:r>
        <w:rPr>
          <w:rFonts w:ascii="Google Sans" w:eastAsia="Google Sans" w:hAnsi="Google Sans" w:cs="Google Sans"/>
          <w:noProof/>
          <w:color w:val="1F1F1F"/>
        </w:rPr>
        <w:drawing>
          <wp:inline distT="19050" distB="19050" distL="19050" distR="19050" wp14:anchorId="0D5F982E" wp14:editId="275DCE3E">
            <wp:extent cx="250362" cy="239476"/>
            <wp:effectExtent l="0" t="0" r="0" b="0"/>
            <wp:docPr id="7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250362" cy="239476"/>
                    </a:xfrm>
                    <a:prstGeom prst="rect">
                      <a:avLst/>
                    </a:prstGeom>
                    <a:ln/>
                  </pic:spPr>
                </pic:pic>
              </a:graphicData>
            </a:graphic>
          </wp:inline>
        </w:drawing>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1BF9194F"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4BDD679" wp14:editId="11D9B168">
            <wp:extent cx="5905500" cy="697043"/>
            <wp:effectExtent l="0" t="0" r="0" b="0"/>
            <wp:docPr id="7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a:stretch>
                      <a:fillRect/>
                    </a:stretch>
                  </pic:blipFill>
                  <pic:spPr>
                    <a:xfrm>
                      <a:off x="0" y="0"/>
                      <a:ext cx="5905500" cy="697043"/>
                    </a:xfrm>
                    <a:prstGeom prst="rect">
                      <a:avLst/>
                    </a:prstGeom>
                    <a:ln/>
                  </pic:spPr>
                </pic:pic>
              </a:graphicData>
            </a:graphic>
          </wp:inline>
        </w:drawing>
      </w:r>
    </w:p>
    <w:p w14:paraId="3E4CA804"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Donde </w:t>
      </w:r>
      <w:r>
        <w:rPr>
          <w:rFonts w:ascii="Google Sans" w:eastAsia="Google Sans" w:hAnsi="Google Sans" w:cs="Google Sans"/>
          <w:noProof/>
          <w:color w:val="1F1F1F"/>
        </w:rPr>
        <w:drawing>
          <wp:inline distT="19050" distB="19050" distL="19050" distR="19050" wp14:anchorId="6777A743" wp14:editId="7458B64A">
            <wp:extent cx="171318" cy="256976"/>
            <wp:effectExtent l="0" t="0" r="0" b="0"/>
            <wp:docPr id="7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171318" cy="256976"/>
                    </a:xfrm>
                    <a:prstGeom prst="rect">
                      <a:avLst/>
                    </a:prstGeom>
                    <a:ln/>
                  </pic:spPr>
                </pic:pic>
              </a:graphicData>
            </a:graphic>
          </wp:inline>
        </w:drawing>
      </w:r>
      <w:r>
        <w:rPr>
          <w:rFonts w:ascii="Google Sans" w:eastAsia="Google Sans" w:hAnsi="Google Sans" w:cs="Google Sans"/>
          <w:color w:val="1F1F1F"/>
        </w:rPr>
        <w:t xml:space="preserve"> es un coeficiente de calibración empírica (</w:t>
      </w:r>
      <w:r>
        <w:rPr>
          <w:rFonts w:ascii="Google Sans" w:eastAsia="Google Sans" w:hAnsi="Google Sans" w:cs="Google Sans"/>
          <w:noProof/>
          <w:color w:val="1F1F1F"/>
        </w:rPr>
        <w:drawing>
          <wp:inline distT="19050" distB="19050" distL="19050" distR="19050" wp14:anchorId="0A5625E1" wp14:editId="25F7D8EB">
            <wp:extent cx="195957" cy="239503"/>
            <wp:effectExtent l="0" t="0" r="0" b="0"/>
            <wp:docPr id="7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2"/>
                    <a:srcRect/>
                    <a:stretch>
                      <a:fillRect/>
                    </a:stretch>
                  </pic:blipFill>
                  <pic:spPr>
                    <a:xfrm>
                      <a:off x="0" y="0"/>
                      <a:ext cx="195957" cy="239503"/>
                    </a:xfrm>
                    <a:prstGeom prst="rect">
                      <a:avLst/>
                    </a:prstGeom>
                    <a:ln/>
                  </pic:spPr>
                </pic:pic>
              </a:graphicData>
            </a:graphic>
          </wp:inline>
        </w:drawing>
      </w:r>
      <w:r>
        <w:rPr>
          <w:rFonts w:ascii="Google Sans" w:eastAsia="Google Sans" w:hAnsi="Google Sans" w:cs="Google Sans"/>
          <w:color w:val="1F1F1F"/>
        </w:rPr>
        <w:t xml:space="preserve"> para anclajes colados en sitio y </w:t>
      </w:r>
      <w:r>
        <w:rPr>
          <w:rFonts w:ascii="Google Sans" w:eastAsia="Google Sans" w:hAnsi="Google Sans" w:cs="Google Sans"/>
          <w:noProof/>
          <w:color w:val="1F1F1F"/>
        </w:rPr>
        <w:drawing>
          <wp:inline distT="19050" distB="19050" distL="19050" distR="19050" wp14:anchorId="30498158" wp14:editId="0EF3DBDF">
            <wp:extent cx="98061" cy="269667"/>
            <wp:effectExtent l="0" t="0" r="0" b="0"/>
            <wp:docPr id="7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98061" cy="269667"/>
                    </a:xfrm>
                    <a:prstGeom prst="rect">
                      <a:avLst/>
                    </a:prstGeom>
                    <a:ln/>
                  </pic:spPr>
                </pic:pic>
              </a:graphicData>
            </a:graphic>
          </wp:inline>
        </w:drawing>
      </w:r>
      <w:r>
        <w:rPr>
          <w:rFonts w:ascii="Google Sans" w:eastAsia="Google Sans" w:hAnsi="Google Sans" w:cs="Google Sans"/>
          <w:color w:val="1F1F1F"/>
        </w:rPr>
        <w:t xml:space="preserve"> para sistemas </w:t>
      </w:r>
      <w:proofErr w:type="spellStart"/>
      <w:r>
        <w:rPr>
          <w:rFonts w:ascii="Google Sans" w:eastAsia="Google Sans" w:hAnsi="Google Sans" w:cs="Google Sans"/>
          <w:color w:val="1F1F1F"/>
        </w:rPr>
        <w:t>postinstalados</w:t>
      </w:r>
      <w:proofErr w:type="spellEnd"/>
      <w:r>
        <w:rPr>
          <w:rFonts w:ascii="Google Sans" w:eastAsia="Google Sans" w:hAnsi="Google Sans" w:cs="Google Sans"/>
          <w:color w:val="1F1F1F"/>
        </w:rPr>
        <w:t xml:space="preserve">) y </w:t>
      </w:r>
      <w:r>
        <w:rPr>
          <w:rFonts w:ascii="Google Sans" w:eastAsia="Google Sans" w:hAnsi="Google Sans" w:cs="Google Sans"/>
          <w:noProof/>
          <w:color w:val="1F1F1F"/>
        </w:rPr>
        <w:drawing>
          <wp:inline distT="19050" distB="19050" distL="19050" distR="19050" wp14:anchorId="3C46B7C1" wp14:editId="0004345E">
            <wp:extent cx="165200" cy="264320"/>
            <wp:effectExtent l="0" t="0" r="0" b="0"/>
            <wp:docPr id="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165200" cy="264320"/>
                    </a:xfrm>
                    <a:prstGeom prst="rect">
                      <a:avLst/>
                    </a:prstGeom>
                    <a:ln/>
                  </pic:spPr>
                </pic:pic>
              </a:graphicData>
            </a:graphic>
          </wp:inline>
        </w:drawing>
      </w:r>
      <w:r>
        <w:rPr>
          <w:rFonts w:ascii="Google Sans" w:eastAsia="Google Sans" w:hAnsi="Google Sans" w:cs="Google Sans"/>
          <w:color w:val="1F1F1F"/>
        </w:rPr>
        <w:t xml:space="preserve"> representa la resistencia a la compresión especificada del concreto</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El método CCD introdujo formulaciones racionales para penalizar esta capacidad básica mediante factores multiplicativos que consideran de forma sistemática la proximidad a bordes libres (</w:t>
      </w:r>
      <w:r>
        <w:rPr>
          <w:rFonts w:ascii="Google Sans" w:eastAsia="Google Sans" w:hAnsi="Google Sans" w:cs="Google Sans"/>
          <w:noProof/>
          <w:color w:val="1F1F1F"/>
        </w:rPr>
        <w:drawing>
          <wp:inline distT="19050" distB="19050" distL="19050" distR="19050" wp14:anchorId="3C59B80A" wp14:editId="58F632D2">
            <wp:extent cx="435901" cy="255162"/>
            <wp:effectExtent l="0" t="0" r="0" b="0"/>
            <wp:docPr id="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435901" cy="255162"/>
                    </a:xfrm>
                    <a:prstGeom prst="rect">
                      <a:avLst/>
                    </a:prstGeom>
                    <a:ln/>
                  </pic:spPr>
                </pic:pic>
              </a:graphicData>
            </a:graphic>
          </wp:inline>
        </w:drawing>
      </w:r>
      <w:r>
        <w:rPr>
          <w:rFonts w:ascii="Google Sans" w:eastAsia="Google Sans" w:hAnsi="Google Sans" w:cs="Google Sans"/>
          <w:color w:val="1F1F1F"/>
        </w:rPr>
        <w:t xml:space="preserve">), el efecto de grupo de anclas con espaciamientos menores a </w:t>
      </w:r>
      <w:r>
        <w:rPr>
          <w:rFonts w:ascii="Google Sans" w:eastAsia="Google Sans" w:hAnsi="Google Sans" w:cs="Google Sans"/>
          <w:noProof/>
          <w:color w:val="1F1F1F"/>
        </w:rPr>
        <w:drawing>
          <wp:inline distT="19050" distB="19050" distL="19050" distR="19050" wp14:anchorId="78088C29" wp14:editId="7AF5F3FB">
            <wp:extent cx="366778" cy="251505"/>
            <wp:effectExtent l="0" t="0" r="0" b="0"/>
            <wp:docPr id="3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366778" cy="251505"/>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89DE463" wp14:editId="6C4F7BB6">
            <wp:extent cx="423995" cy="254397"/>
            <wp:effectExtent l="0" t="0" r="0" b="0"/>
            <wp:docPr id="3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423995" cy="254397"/>
                    </a:xfrm>
                    <a:prstGeom prst="rect">
                      <a:avLst/>
                    </a:prstGeom>
                    <a:ln/>
                  </pic:spPr>
                </pic:pic>
              </a:graphicData>
            </a:graphic>
          </wp:inline>
        </w:drawing>
      </w:r>
      <w:r>
        <w:rPr>
          <w:rFonts w:ascii="Google Sans" w:eastAsia="Google Sans" w:hAnsi="Google Sans" w:cs="Google Sans"/>
          <w:color w:val="1F1F1F"/>
        </w:rPr>
        <w:t xml:space="preserve"> y la relación de áreas proyectadas </w:t>
      </w:r>
      <w:r>
        <w:rPr>
          <w:rFonts w:ascii="Google Sans" w:eastAsia="Google Sans" w:hAnsi="Google Sans" w:cs="Google Sans"/>
          <w:noProof/>
          <w:color w:val="1F1F1F"/>
        </w:rPr>
        <w:drawing>
          <wp:inline distT="19050" distB="19050" distL="19050" distR="19050" wp14:anchorId="4049D57A" wp14:editId="6B8F7392">
            <wp:extent cx="846833" cy="254050"/>
            <wp:effectExtent l="0" t="0" r="0" b="0"/>
            <wp:docPr id="4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846833" cy="254050"/>
                    </a:xfrm>
                    <a:prstGeom prst="rect">
                      <a:avLst/>
                    </a:prstGeom>
                    <a:ln/>
                  </pic:spPr>
                </pic:pic>
              </a:graphicData>
            </a:graphic>
          </wp:inline>
        </w:drawing>
      </w:r>
      <w:r>
        <w:rPr>
          <w:rFonts w:ascii="Google Sans" w:eastAsia="Google Sans" w:hAnsi="Google Sans" w:cs="Google Sans"/>
          <w:color w:val="1F1F1F"/>
        </w:rPr>
        <w:t>), y la presencia de agrietamiento por flexión en el concreto circundante (</w:t>
      </w:r>
      <w:r>
        <w:rPr>
          <w:rFonts w:ascii="Google Sans" w:eastAsia="Google Sans" w:hAnsi="Google Sans" w:cs="Google Sans"/>
          <w:noProof/>
          <w:color w:val="1F1F1F"/>
        </w:rPr>
        <w:drawing>
          <wp:inline distT="19050" distB="19050" distL="19050" distR="19050" wp14:anchorId="7951A877" wp14:editId="4CB8C3F5">
            <wp:extent cx="359998" cy="254116"/>
            <wp:effectExtent l="0" t="0" r="0" b="0"/>
            <wp:docPr id="4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9"/>
                    <a:srcRect/>
                    <a:stretch>
                      <a:fillRect/>
                    </a:stretch>
                  </pic:blipFill>
                  <pic:spPr>
                    <a:xfrm>
                      <a:off x="0" y="0"/>
                      <a:ext cx="359998" cy="254116"/>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1DD683C3"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742690A" wp14:editId="79C49911">
            <wp:extent cx="5905500" cy="871303"/>
            <wp:effectExtent l="0" t="0" r="0" b="0"/>
            <wp:docPr id="4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5905500" cy="871303"/>
                    </a:xfrm>
                    <a:prstGeom prst="rect">
                      <a:avLst/>
                    </a:prstGeom>
                    <a:ln/>
                  </pic:spPr>
                </pic:pic>
              </a:graphicData>
            </a:graphic>
          </wp:inline>
        </w:drawing>
      </w:r>
    </w:p>
    <w:p w14:paraId="49898F4E"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Este modelo analítico demostró una consistencia estadística superior al evaluar bases de datos con más de 1200 ensayos en Estados Unidos y Europa, mitigando el carácter no conservador del antiguo modelo de </w:t>
      </w:r>
      <w:r>
        <w:rPr>
          <w:rFonts w:ascii="Google Sans" w:eastAsia="Google Sans" w:hAnsi="Google Sans" w:cs="Google Sans"/>
          <w:noProof/>
          <w:color w:val="1F1F1F"/>
        </w:rPr>
        <w:drawing>
          <wp:inline distT="19050" distB="19050" distL="19050" distR="19050" wp14:anchorId="06312BB9" wp14:editId="27670624">
            <wp:extent cx="242094" cy="209081"/>
            <wp:effectExtent l="0" t="0" r="0" b="0"/>
            <wp:docPr id="4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42094" cy="209081"/>
                    </a:xfrm>
                    <a:prstGeom prst="rect">
                      <a:avLst/>
                    </a:prstGeom>
                    <a:ln/>
                  </pic:spPr>
                </pic:pic>
              </a:graphicData>
            </a:graphic>
          </wp:inline>
        </w:drawing>
      </w:r>
      <w:r>
        <w:rPr>
          <w:rFonts w:ascii="Google Sans" w:eastAsia="Google Sans" w:hAnsi="Google Sans" w:cs="Google Sans"/>
          <w:color w:val="1F1F1F"/>
        </w:rPr>
        <w:t xml:space="preserve"> para anclajes con profundidades de empotramiento elevadas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14:paraId="3D4B7768" w14:textId="77777777" w:rsidR="00AB4063" w:rsidRDefault="00000000">
      <w:pPr>
        <w:pStyle w:val="Ttulo3"/>
        <w:spacing w:before="0" w:line="275" w:lineRule="auto"/>
        <w:rPr>
          <w:rFonts w:ascii="Google Sans" w:eastAsia="Google Sans" w:hAnsi="Google Sans" w:cs="Google Sans"/>
          <w:color w:val="1F1F1F"/>
        </w:rPr>
      </w:pPr>
      <w:r>
        <w:rPr>
          <w:rFonts w:ascii="Google Sans" w:eastAsia="Google Sans" w:hAnsi="Google Sans" w:cs="Google Sans"/>
          <w:color w:val="1F1F1F"/>
        </w:rPr>
        <w:t>1.3 Estudios experimentales y numéricos sobre anclajes en concreto</w:t>
      </w:r>
    </w:p>
    <w:p w14:paraId="1330A2FB"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La caracterización del comportamiento último de anclajes embebidos ha sido objeto de extensas campañas experimentales y simulaciones numéricas tridimensionales por elementos finitos</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Las investigaciones se han centrado en aislar los diferentes modos de falla límites que compiten en una conexión de placa base, clasificándolos en fallas del acero del perno (fluencia o ruptura por tensión y cortante) y fallas frágiles del concreto de soporte (arrancamiento de cono por tensión, arrancamiento lateral por cortante en bordes libres, desprendimiento por palanca o </w:t>
      </w:r>
      <w:proofErr w:type="spellStart"/>
      <w:r>
        <w:rPr>
          <w:rFonts w:ascii="Google Sans" w:eastAsia="Google Sans" w:hAnsi="Google Sans" w:cs="Google Sans"/>
          <w:i/>
          <w:iCs/>
          <w:color w:val="1F1F1F"/>
        </w:rPr>
        <w:t>pryout</w:t>
      </w:r>
      <w:proofErr w:type="spellEnd"/>
      <w:r>
        <w:rPr>
          <w:rFonts w:ascii="Google Sans" w:eastAsia="Google Sans" w:hAnsi="Google Sans" w:cs="Google Sans"/>
          <w:color w:val="1F1F1F"/>
        </w:rPr>
        <w:t>, y hendimiento)</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4BE934A0"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Los estudios experimentales en dados de concreto reforzado han evidenciado que el comportamiento de los pernos de anclaje difiere sustancialmente entre el concreto simple y el concreto confinado mediante acero de refuerzo transversal</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Las investigaciones desarrolladas bajo el consorcio NEES (</w:t>
      </w:r>
      <w:r>
        <w:rPr>
          <w:rFonts w:ascii="Google Sans" w:eastAsia="Google Sans" w:hAnsi="Google Sans" w:cs="Google Sans"/>
          <w:i/>
          <w:iCs/>
          <w:color w:val="1F1F1F"/>
        </w:rPr>
        <w:t xml:space="preserve">Network </w:t>
      </w:r>
      <w:proofErr w:type="spellStart"/>
      <w:r>
        <w:rPr>
          <w:rFonts w:ascii="Google Sans" w:eastAsia="Google Sans" w:hAnsi="Google Sans" w:cs="Google Sans"/>
          <w:i/>
          <w:iCs/>
          <w:color w:val="1F1F1F"/>
        </w:rPr>
        <w:t>for</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Earthquake</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Engineering</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Simulation</w:t>
      </w:r>
      <w:proofErr w:type="spellEnd"/>
      <w:r>
        <w:rPr>
          <w:rFonts w:ascii="Google Sans" w:eastAsia="Google Sans" w:hAnsi="Google Sans" w:cs="Google Sans"/>
          <w:color w:val="1F1F1F"/>
        </w:rPr>
        <w:t>) demostraron que, en pedestales con distancias al borde reducidas, la resistencia al cono de concreto por cortante se encuentra severamente limitada, manifestando una falla frágil y súbita mucho antes de desarrollar la capacidad nominal del acero del perno</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Para resolver esta deficiencia, se evaluó la adición de refuerzo de anclaje, compuesto por estribos cerrados de confinamiento colocados en la zona superior del pedestal</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w:t>
      </w:r>
    </w:p>
    <w:p w14:paraId="4C94B5DE"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flujo de transferencia de carga en pedestales reforzados se ha modelado analíticamente mediante el método de puntal y tensor (</w:t>
      </w:r>
      <w:proofErr w:type="spellStart"/>
      <w:r>
        <w:rPr>
          <w:rFonts w:ascii="Google Sans" w:eastAsia="Google Sans" w:hAnsi="Google Sans" w:cs="Google Sans"/>
          <w:i/>
          <w:iCs/>
          <w:color w:val="1F1F1F"/>
        </w:rPr>
        <w:t>strut</w:t>
      </w:r>
      <w:proofErr w:type="spellEnd"/>
      <w:r>
        <w:rPr>
          <w:rFonts w:ascii="Google Sans" w:eastAsia="Google Sans" w:hAnsi="Google Sans" w:cs="Google Sans"/>
          <w:i/>
          <w:iCs/>
          <w:color w:val="1F1F1F"/>
        </w:rPr>
        <w:t>-and-</w:t>
      </w:r>
      <w:proofErr w:type="spellStart"/>
      <w:r>
        <w:rPr>
          <w:rFonts w:ascii="Google Sans" w:eastAsia="Google Sans" w:hAnsi="Google Sans" w:cs="Google Sans"/>
          <w:i/>
          <w:iCs/>
          <w:color w:val="1F1F1F"/>
        </w:rPr>
        <w:t>tie</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Bajo esta aproximación, una vez que el concreto experimenta el agrietamiento inicial que delimita el prisma de desprendimiento, la fuerza de tensión del ancla es transferida por adherencia mecánica hacia los estribos verticales y horizontales que cruzan la superficie de la grieta</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Para que este mecanismo sea efectivo:</w:t>
      </w:r>
    </w:p>
    <w:p w14:paraId="0011D407" w14:textId="77777777" w:rsidR="00AB406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El refuerzo transversal de confinamiento debe colocarse dentro de una distancia menor o igual a la profundidad de empotramiento efectiva (</w:t>
      </w:r>
      <w:r>
        <w:rPr>
          <w:rFonts w:ascii="Google Sans" w:eastAsia="Google Sans" w:hAnsi="Google Sans" w:cs="Google Sans"/>
          <w:noProof/>
          <w:color w:val="1F1F1F"/>
        </w:rPr>
        <w:drawing>
          <wp:inline distT="19050" distB="19050" distL="19050" distR="19050" wp14:anchorId="366353D1" wp14:editId="1B93505F">
            <wp:extent cx="268717" cy="257969"/>
            <wp:effectExtent l="0" t="0" r="0" b="0"/>
            <wp:docPr id="4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268717" cy="257969"/>
                    </a:xfrm>
                    <a:prstGeom prst="rect">
                      <a:avLst/>
                    </a:prstGeom>
                    <a:ln/>
                  </pic:spPr>
                </pic:pic>
              </a:graphicData>
            </a:graphic>
          </wp:inline>
        </w:drawing>
      </w:r>
      <w:r>
        <w:rPr>
          <w:rFonts w:ascii="Google Sans" w:eastAsia="Google Sans" w:hAnsi="Google Sans" w:cs="Google Sans"/>
          <w:color w:val="1F1F1F"/>
        </w:rPr>
        <w:t>) medida desde el eje del perno de anclaje</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w:t>
      </w:r>
    </w:p>
    <w:p w14:paraId="46FFC3DE" w14:textId="77777777" w:rsidR="00AB406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 xml:space="preserve">Las barras de refuerzo deben poseer una longitud de desarrollo suficiente tanto por encima como por debajo del plano de falla de </w:t>
      </w:r>
      <w:r>
        <w:rPr>
          <w:rFonts w:ascii="Google Sans" w:eastAsia="Google Sans" w:hAnsi="Google Sans" w:cs="Google Sans"/>
          <w:noProof/>
          <w:color w:val="1F1F1F"/>
        </w:rPr>
        <w:drawing>
          <wp:inline distT="19050" distB="19050" distL="19050" distR="19050" wp14:anchorId="7D7EFF03" wp14:editId="0C0A0044">
            <wp:extent cx="274505" cy="232273"/>
            <wp:effectExtent l="0" t="0" r="0" b="0"/>
            <wp:docPr id="4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274505" cy="232273"/>
                    </a:xfrm>
                    <a:prstGeom prst="rect">
                      <a:avLst/>
                    </a:prstGeom>
                    <a:ln/>
                  </pic:spPr>
                </pic:pic>
              </a:graphicData>
            </a:graphic>
          </wp:inline>
        </w:drawing>
      </w:r>
      <w:r>
        <w:rPr>
          <w:rFonts w:ascii="Google Sans" w:eastAsia="Google Sans" w:hAnsi="Google Sans" w:cs="Google Sans"/>
          <w:color w:val="1F1F1F"/>
        </w:rPr>
        <w:t xml:space="preserve"> para evitar fallas por pérdida de adherencia antes de alcanzar el límite de fluencia del acero</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w:t>
      </w:r>
    </w:p>
    <w:p w14:paraId="5D0A05BF" w14:textId="77777777" w:rsidR="00AB4063"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El confinamiento lateral con estribos incrementa la ductilidad de la conexión bajo cargas cíclicas, permitiendo que un porcentaje significativo de la energía sísmica sea disipada por la deformación plástica del perno de anclaje, evitando el colapso frágil del pedestal</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w:t>
      </w:r>
    </w:p>
    <w:p w14:paraId="648B5FA7" w14:textId="77777777" w:rsidR="00AB4063" w:rsidRDefault="00000000">
      <w:pPr>
        <w:pStyle w:val="Ttulo3"/>
        <w:spacing w:before="0" w:line="275" w:lineRule="auto"/>
        <w:rPr>
          <w:rFonts w:ascii="Google Sans" w:eastAsia="Google Sans" w:hAnsi="Google Sans" w:cs="Google Sans"/>
          <w:color w:val="1F1F1F"/>
        </w:rPr>
      </w:pPr>
      <w:r>
        <w:rPr>
          <w:rFonts w:ascii="Google Sans" w:eastAsia="Google Sans" w:hAnsi="Google Sans" w:cs="Google Sans"/>
          <w:color w:val="1F1F1F"/>
        </w:rPr>
        <w:t>1.4 Investigaciones sobre placas base sometidas a cargas sísmicas</w:t>
      </w:r>
    </w:p>
    <w:p w14:paraId="51E17FC1"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desempeño de las conexiones columna-cimentación durante sismos severos ha impulsado una reevaluación de los criterios de diseño elásticos clásicos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Tradicionalmente, las conexiones de placa base expuestas se diseñaban asumiendo un comportamiento articulado pura para cargas de gravedad, o empotrado pura para resistir acciones laterales en marcos rígidos</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Sin embargo, la evidencia analítica y de instrumentación en edificios reales ha demostrado que estas conexiones operan en un estado </w:t>
      </w:r>
      <w:proofErr w:type="spellStart"/>
      <w:r>
        <w:rPr>
          <w:rFonts w:ascii="Google Sans" w:eastAsia="Google Sans" w:hAnsi="Google Sans" w:cs="Google Sans"/>
          <w:color w:val="1F1F1F"/>
        </w:rPr>
        <w:t>semi-rígido</w:t>
      </w:r>
      <w:proofErr w:type="spellEnd"/>
      <w:r>
        <w:rPr>
          <w:rFonts w:ascii="Google Sans" w:eastAsia="Google Sans" w:hAnsi="Google Sans" w:cs="Google Sans"/>
          <w:color w:val="1F1F1F"/>
        </w:rPr>
        <w:t xml:space="preserve">, donde la flexibilidad de la placa base, el alargamiento </w:t>
      </w:r>
      <w:proofErr w:type="spellStart"/>
      <w:r>
        <w:rPr>
          <w:rFonts w:ascii="Google Sans" w:eastAsia="Google Sans" w:hAnsi="Google Sans" w:cs="Google Sans"/>
          <w:color w:val="1F1F1F"/>
        </w:rPr>
        <w:t>elasto</w:t>
      </w:r>
      <w:proofErr w:type="spellEnd"/>
      <w:r>
        <w:rPr>
          <w:rFonts w:ascii="Google Sans" w:eastAsia="Google Sans" w:hAnsi="Google Sans" w:cs="Google Sans"/>
          <w:color w:val="1F1F1F"/>
        </w:rPr>
        <w:t>-plástico de las anclas y el aplastamiento del mortero de nivelación (</w:t>
      </w:r>
      <w:proofErr w:type="spellStart"/>
      <w:r>
        <w:rPr>
          <w:rFonts w:ascii="Google Sans" w:eastAsia="Google Sans" w:hAnsi="Google Sans" w:cs="Google Sans"/>
          <w:i/>
          <w:iCs/>
          <w:color w:val="1F1F1F"/>
        </w:rPr>
        <w:t>grout</w:t>
      </w:r>
      <w:proofErr w:type="spellEnd"/>
      <w:r>
        <w:rPr>
          <w:rFonts w:ascii="Google Sans" w:eastAsia="Google Sans" w:hAnsi="Google Sans" w:cs="Google Sans"/>
          <w:color w:val="1F1F1F"/>
        </w:rPr>
        <w:t>) interactúan dinámicamente con la superestructura, modificando los periodos fundamentales de vibración y la distribución de momentos en el primer entrepiso</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52EEF324"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Investigadores líderes como Ahmad S. Hassan y Amit M. </w:t>
      </w:r>
      <w:proofErr w:type="spellStart"/>
      <w:r>
        <w:rPr>
          <w:rFonts w:ascii="Google Sans" w:eastAsia="Google Sans" w:hAnsi="Google Sans" w:cs="Google Sans"/>
          <w:color w:val="1F1F1F"/>
        </w:rPr>
        <w:t>Kanvinde</w:t>
      </w:r>
      <w:proofErr w:type="spellEnd"/>
      <w:r>
        <w:rPr>
          <w:rFonts w:ascii="Google Sans" w:eastAsia="Google Sans" w:hAnsi="Google Sans" w:cs="Google Sans"/>
          <w:color w:val="1F1F1F"/>
        </w:rPr>
        <w:t xml:space="preserve"> han realizado ensayos a gran escala sobre conexiones de placas base expuestas (EBP) y embebidas (ECB) sujetas a protocolos de carga cíclica severa (como el protocolo ATC-SAC) combinada con carga axial de compresión</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Sus hallazgos demuestran que las conexiones EBP diseñadas convencionalmente son susceptibles de experimentar una degradación severa de rigidez rotacional debido al aplastamiento localizado del </w:t>
      </w:r>
      <w:proofErr w:type="spellStart"/>
      <w:r>
        <w:rPr>
          <w:rFonts w:ascii="Google Sans" w:eastAsia="Google Sans" w:hAnsi="Google Sans" w:cs="Google Sans"/>
          <w:i/>
          <w:iCs/>
          <w:color w:val="1F1F1F"/>
        </w:rPr>
        <w:t>grout</w:t>
      </w:r>
      <w:proofErr w:type="spellEnd"/>
      <w:r>
        <w:rPr>
          <w:rFonts w:ascii="Google Sans" w:eastAsia="Google Sans" w:hAnsi="Google Sans" w:cs="Google Sans"/>
          <w:color w:val="1F1F1F"/>
        </w:rPr>
        <w:t xml:space="preserve"> de nivelación y el concreto del dado</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Además, la deformación plástica residual de las anclas de tracción genera una holgura permanente que, al invertirse el ciclo sísmico, produce un fenómeno de "</w:t>
      </w:r>
      <w:proofErr w:type="spellStart"/>
      <w:r>
        <w:rPr>
          <w:rFonts w:ascii="Google Sans" w:eastAsia="Google Sans" w:hAnsi="Google Sans" w:cs="Google Sans"/>
          <w:color w:val="1F1F1F"/>
        </w:rPr>
        <w:t>pellizcamiento</w:t>
      </w:r>
      <w:proofErr w:type="spellEnd"/>
      <w:r>
        <w:rPr>
          <w:rFonts w:ascii="Google Sans" w:eastAsia="Google Sans" w:hAnsi="Google Sans" w:cs="Google Sans"/>
          <w:color w:val="1F1F1F"/>
        </w:rPr>
        <w:t>" (</w:t>
      </w:r>
      <w:proofErr w:type="spellStart"/>
      <w:r>
        <w:rPr>
          <w:rFonts w:ascii="Google Sans" w:eastAsia="Google Sans" w:hAnsi="Google Sans" w:cs="Google Sans"/>
          <w:i/>
          <w:iCs/>
          <w:color w:val="1F1F1F"/>
        </w:rPr>
        <w:t>pinched</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hysteresis</w:t>
      </w:r>
      <w:proofErr w:type="spellEnd"/>
      <w:r>
        <w:rPr>
          <w:rFonts w:ascii="Google Sans" w:eastAsia="Google Sans" w:hAnsi="Google Sans" w:cs="Google Sans"/>
          <w:color w:val="1F1F1F"/>
        </w:rPr>
        <w:t>) en las curvas de momento-rotación, reduciendo drásticamente la capacidad de disipación de energía de la conexión</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w:t>
      </w:r>
    </w:p>
    <w:p w14:paraId="33F298BA"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Para contrarrestar estos efectos, se ha investigado el uso de "anclajes dúctiles" con longitud de estiramiento libre (</w:t>
      </w:r>
      <w:proofErr w:type="spellStart"/>
      <w:r>
        <w:rPr>
          <w:rFonts w:ascii="Google Sans" w:eastAsia="Google Sans" w:hAnsi="Google Sans" w:cs="Google Sans"/>
          <w:i/>
          <w:iCs/>
          <w:color w:val="1F1F1F"/>
        </w:rPr>
        <w:t>stretch</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length</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Al aislar mecánicamente un tramo del perno de anclaje de la adherencia con el concreto mediante fundas de polietileno o reducir el diámetro del vástago de forma controlada (</w:t>
      </w:r>
      <w:proofErr w:type="spellStart"/>
      <w:r>
        <w:rPr>
          <w:rFonts w:ascii="Google Sans" w:eastAsia="Google Sans" w:hAnsi="Google Sans" w:cs="Google Sans"/>
          <w:i/>
          <w:iCs/>
          <w:color w:val="1F1F1F"/>
        </w:rPr>
        <w:t>upset</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thread</w:t>
      </w:r>
      <w:proofErr w:type="spellEnd"/>
      <w:r>
        <w:rPr>
          <w:rFonts w:ascii="Google Sans" w:eastAsia="Google Sans" w:hAnsi="Google Sans" w:cs="Google Sans"/>
          <w:color w:val="1F1F1F"/>
        </w:rPr>
        <w:t>), se promueve una fluencia plástica uniforme a lo largo del perno, logrando una excelente disipación de energía sin inducir la ruptura frágil del concreto por arrancamiento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En conexiones embebidas (ECB), se ha evidenciado que las barras de refuerzo horizontales soldadas directamente a las columnas de acero incrementan sustancialmente la capacidad nominal de momento, pero generan un campo de tracción local que debilita el confinamiento del bloque de concreto</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 La adición de estribos verticales densos en el pedestal mitiga esta degradación, lo que valida la necesidad de estudiar de forma integral el sistema conjunto de acero y concreto bajo los principios del diseño por capacidad</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w:t>
      </w:r>
    </w:p>
    <w:p w14:paraId="7CD9D994" w14:textId="77777777" w:rsidR="00AB4063" w:rsidRDefault="00000000">
      <w:pPr>
        <w:pStyle w:val="Ttulo3"/>
        <w:spacing w:before="0" w:line="275" w:lineRule="auto"/>
        <w:rPr>
          <w:rFonts w:ascii="Google Sans" w:eastAsia="Google Sans" w:hAnsi="Google Sans" w:cs="Google Sans"/>
          <w:color w:val="1F1F1F"/>
        </w:rPr>
      </w:pPr>
      <w:r>
        <w:rPr>
          <w:rFonts w:ascii="Google Sans" w:eastAsia="Google Sans" w:hAnsi="Google Sans" w:cs="Google Sans"/>
          <w:color w:val="1F1F1F"/>
        </w:rPr>
        <w:t>1.5 Comparaciones normativas y actualizaciones de códigos</w:t>
      </w:r>
    </w:p>
    <w:p w14:paraId="4C7D03F1"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La evolución de los reglamentos de diseño estructural refleja la incorporación progresiva de los hallazgos de la mecánica de fractura y el diseño sísmico por desempeño</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En México, el diseño de conexiones de acero a cimentaciones de concreto se rige por la interacción obligatoria de las Normas Técnicas Complementarias para el Diseño y Construcción de Estructuras de Acero (NTC-DCEA) y de Concreto (NTC-DCEC) del Reglamento de Construcciones de la Ciudad de México</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730D1415"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La publicación de la actualización normativa de 2023 (NTC-2023) introdujo modificaciones de gran calado respecto a la versión previa de 2017 (NTC-2017)</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Mientras que las disposiciones de la NTC-2017 presentaban lagunas metodológicas en la evaluación analítica del arrancamiento del concreto, forzando a los diseñadores locales a adoptar de forma indirecta las ecuaciones del ACI 318 o guías de la AISC</w:t>
      </w:r>
      <w:r>
        <w:rPr>
          <w:rFonts w:ascii="Google Sans" w:eastAsia="Google Sans" w:hAnsi="Google Sans" w:cs="Google Sans"/>
          <w:color w:val="444746"/>
          <w:sz w:val="24"/>
          <w:szCs w:val="24"/>
          <w:vertAlign w:val="superscript"/>
        </w:rPr>
        <w:t>12</w:t>
      </w:r>
      <w:r>
        <w:rPr>
          <w:rFonts w:ascii="Google Sans" w:eastAsia="Google Sans" w:hAnsi="Google Sans" w:cs="Google Sans"/>
          <w:color w:val="1F1F1F"/>
        </w:rPr>
        <w:t>, las NTC-2023 incorporan de forma explícita y sistemática el método CCD dentro de su cuerpo regulatorio</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57C85A2C"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La principal divergencia técnica radica en el tratamiento del confinamiento transversal en pedestales de concreto</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La NTC-Concreto 2023 formaliza ecuaciones analíticas para cuantificar el aporte de los estribos cerrados de confinamiento sobre la resistencia última de los anclajes, introduciendo dos factores clave:</w:t>
      </w:r>
    </w:p>
    <w:p w14:paraId="3C381D3B" w14:textId="77777777" w:rsidR="00AB4063"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 xml:space="preserve">Factor </w:t>
      </w:r>
      <w:r>
        <w:rPr>
          <w:rFonts w:ascii="Google Sans" w:eastAsia="Google Sans" w:hAnsi="Google Sans" w:cs="Google Sans"/>
          <w:b/>
          <w:bCs/>
          <w:noProof/>
          <w:color w:val="1F1F1F"/>
        </w:rPr>
        <w:drawing>
          <wp:inline distT="19050" distB="19050" distL="19050" distR="19050" wp14:anchorId="76B8F303" wp14:editId="304FB0C7">
            <wp:extent cx="272190" cy="251253"/>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272190" cy="251253"/>
                    </a:xfrm>
                    <a:prstGeom prst="rect">
                      <a:avLst/>
                    </a:prstGeom>
                    <a:ln/>
                  </pic:spPr>
                </pic:pic>
              </a:graphicData>
            </a:graphic>
          </wp:inline>
        </w:drawing>
      </w:r>
      <w:r>
        <w:rPr>
          <w:rFonts w:ascii="Google Sans" w:eastAsia="Google Sans" w:hAnsi="Google Sans" w:cs="Google Sans"/>
          <w:color w:val="1F1F1F"/>
        </w:rPr>
        <w:t>: Coeficiente que cuantifica analíticamente el aporte a la resistencia al cono de concreto en tensión debido a la presencia de estribos que cruzan la superficie de falla potencial, donde la dirección de la fuerza se moviliza a través del cortante en las ramas de los estribos (</w:t>
      </w:r>
      <w:r>
        <w:rPr>
          <w:rFonts w:ascii="Google Sans" w:eastAsia="Google Sans" w:hAnsi="Google Sans" w:cs="Google Sans"/>
          <w:noProof/>
          <w:color w:val="1F1F1F"/>
        </w:rPr>
        <w:drawing>
          <wp:inline distT="19050" distB="19050" distL="19050" distR="19050" wp14:anchorId="7C3D9157" wp14:editId="60FDA8A5">
            <wp:extent cx="1232135" cy="254924"/>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1232135" cy="254924"/>
                    </a:xfrm>
                    <a:prstGeom prst="rect">
                      <a:avLst/>
                    </a:prstGeom>
                    <a:ln/>
                  </pic:spPr>
                </pic:pic>
              </a:graphicData>
            </a:graphic>
          </wp:inline>
        </w:drawing>
      </w:r>
      <w:r>
        <w:rPr>
          <w:rFonts w:ascii="Google Sans" w:eastAsia="Google Sans" w:hAnsi="Google Sans" w:cs="Google Sans"/>
          <w:color w:val="1F1F1F"/>
        </w:rPr>
        <w:t xml:space="preserve"> o según las ecuaciones calibradas de la norma)</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4FC632B4" w14:textId="77777777" w:rsidR="00AB4063"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 xml:space="preserve">Factor </w:t>
      </w:r>
      <w:r>
        <w:rPr>
          <w:rFonts w:ascii="Google Sans" w:eastAsia="Google Sans" w:hAnsi="Google Sans" w:cs="Google Sans"/>
          <w:b/>
          <w:bCs/>
          <w:noProof/>
          <w:color w:val="1F1F1F"/>
        </w:rPr>
        <w:drawing>
          <wp:inline distT="19050" distB="19050" distL="19050" distR="19050" wp14:anchorId="7E3BAD76" wp14:editId="527A7ACE">
            <wp:extent cx="293853" cy="261203"/>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93853" cy="261203"/>
                    </a:xfrm>
                    <a:prstGeom prst="rect">
                      <a:avLst/>
                    </a:prstGeom>
                    <a:ln/>
                  </pic:spPr>
                </pic:pic>
              </a:graphicData>
            </a:graphic>
          </wp:inline>
        </w:drawing>
      </w:r>
      <w:r>
        <w:rPr>
          <w:rFonts w:ascii="Google Sans" w:eastAsia="Google Sans" w:hAnsi="Google Sans" w:cs="Google Sans"/>
          <w:color w:val="1F1F1F"/>
        </w:rPr>
        <w:t xml:space="preserve">: Coeficiente que modela el aporte </w:t>
      </w:r>
      <w:proofErr w:type="spellStart"/>
      <w:r>
        <w:rPr>
          <w:rFonts w:ascii="Google Sans" w:eastAsia="Google Sans" w:hAnsi="Google Sans" w:cs="Google Sans"/>
          <w:color w:val="1F1F1F"/>
        </w:rPr>
        <w:t>resistencial</w:t>
      </w:r>
      <w:proofErr w:type="spellEnd"/>
      <w:r>
        <w:rPr>
          <w:rFonts w:ascii="Google Sans" w:eastAsia="Google Sans" w:hAnsi="Google Sans" w:cs="Google Sans"/>
          <w:color w:val="1F1F1F"/>
        </w:rPr>
        <w:t xml:space="preserve"> proporcionado por la capacidad a tensión de los estribos cerrados para resistir el arrancamiento por cortante hacia el borde libre del pedestal</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01940E2B"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Adicionalmente, las NTC-2023 restringen drásticamente las distancias mínimas al borde libre (</w:t>
      </w:r>
      <w:r>
        <w:rPr>
          <w:rFonts w:ascii="Google Sans" w:eastAsia="Google Sans" w:hAnsi="Google Sans" w:cs="Google Sans"/>
          <w:noProof/>
          <w:color w:val="1F1F1F"/>
        </w:rPr>
        <w:drawing>
          <wp:inline distT="19050" distB="19050" distL="19050" distR="19050" wp14:anchorId="3FC62340" wp14:editId="2F43361A">
            <wp:extent cx="344454" cy="258341"/>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344454" cy="258341"/>
                    </a:xfrm>
                    <a:prstGeom prst="rect">
                      <a:avLst/>
                    </a:prstGeom>
                    <a:ln/>
                  </pic:spPr>
                </pic:pic>
              </a:graphicData>
            </a:graphic>
          </wp:inline>
        </w:drawing>
      </w:r>
      <w:r>
        <w:rPr>
          <w:rFonts w:ascii="Google Sans" w:eastAsia="Google Sans" w:hAnsi="Google Sans" w:cs="Google Sans"/>
          <w:color w:val="1F1F1F"/>
        </w:rPr>
        <w:t>) y los espaciamientos entre anclas en zonas de alta demanda sísmica, exigiendo la verificación obligatoria del diseño por capacidad</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Bajo este enfoque, la conexión cimiento-columna debe dimensionarse para resistir las acciones sísmicas amplificadas por los factores de </w:t>
      </w:r>
      <w:proofErr w:type="spellStart"/>
      <w:r>
        <w:rPr>
          <w:rFonts w:ascii="Google Sans" w:eastAsia="Google Sans" w:hAnsi="Google Sans" w:cs="Google Sans"/>
          <w:color w:val="1F1F1F"/>
        </w:rPr>
        <w:t>sobre-resistencia</w:t>
      </w:r>
      <w:proofErr w:type="spellEnd"/>
      <w:r>
        <w:rPr>
          <w:rFonts w:ascii="Google Sans" w:eastAsia="Google Sans" w:hAnsi="Google Sans" w:cs="Google Sans"/>
          <w:color w:val="1F1F1F"/>
        </w:rPr>
        <w:t xml:space="preserve"> de la estructura, o bien para soportar la máxima fuerza que la columna de acero puede transferir en su condición de fluencia y endurecimiento por deformación, garantizando que el modo de falla que controle la conexión sea dúctil (fluencia de las anclas o de la placa de acero) y no frágil (</w:t>
      </w:r>
      <w:proofErr w:type="spellStart"/>
      <w:r>
        <w:rPr>
          <w:rFonts w:ascii="Google Sans" w:eastAsia="Google Sans" w:hAnsi="Google Sans" w:cs="Google Sans"/>
          <w:color w:val="1F1F1F"/>
        </w:rPr>
        <w:t>breakout</w:t>
      </w:r>
      <w:proofErr w:type="spellEnd"/>
      <w:r>
        <w:rPr>
          <w:rFonts w:ascii="Google Sans" w:eastAsia="Google Sans" w:hAnsi="Google Sans" w:cs="Google Sans"/>
          <w:color w:val="1F1F1F"/>
        </w:rPr>
        <w:t xml:space="preserve"> de concreto)</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p w14:paraId="27F034E1" w14:textId="77777777" w:rsidR="00AB4063" w:rsidRDefault="00000000">
      <w:pPr>
        <w:pStyle w:val="Ttulo3"/>
        <w:spacing w:before="0" w:line="275" w:lineRule="auto"/>
        <w:rPr>
          <w:rFonts w:ascii="Google Sans" w:eastAsia="Google Sans" w:hAnsi="Google Sans" w:cs="Google Sans"/>
          <w:color w:val="1F1F1F"/>
        </w:rPr>
      </w:pPr>
      <w:r>
        <w:rPr>
          <w:rFonts w:ascii="Google Sans" w:eastAsia="Google Sans" w:hAnsi="Google Sans" w:cs="Google Sans"/>
          <w:color w:val="1F1F1F"/>
        </w:rPr>
        <w:t>1.6 Estudios paramétricos relacionados</w:t>
      </w:r>
    </w:p>
    <w:p w14:paraId="45296A7D"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Para comprender la sensibilidad de las conexiones columna-cimentación frente a variaciones de diseño, diversos investigadores han recurrido a análisis paramétricos numéricos y analíticos</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Estos estudios permiten mapear el comportamiento no lineal de la junta variando de manera controlada parámetros tanto de la placa de acero como del pedestal de concreto</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p w14:paraId="60E71F14"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Investigaciones paramétricas internacionales, como las conducidas por He et al. (2023) y Nawar et al. (2021), han evaluado la influencia de variables críticas como el espesor de la placa base (</w:t>
      </w:r>
      <w:r>
        <w:rPr>
          <w:rFonts w:ascii="Google Sans" w:eastAsia="Google Sans" w:hAnsi="Google Sans" w:cs="Google Sans"/>
          <w:noProof/>
          <w:color w:val="1F1F1F"/>
        </w:rPr>
        <w:drawing>
          <wp:inline distT="19050" distB="19050" distL="19050" distR="19050" wp14:anchorId="407F53D8" wp14:editId="6FC05B7C">
            <wp:extent cx="131961" cy="230932"/>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31961" cy="230932"/>
                    </a:xfrm>
                    <a:prstGeom prst="rect">
                      <a:avLst/>
                    </a:prstGeom>
                    <a:ln/>
                  </pic:spPr>
                </pic:pic>
              </a:graphicData>
            </a:graphic>
          </wp:inline>
        </w:drawing>
      </w:r>
      <w:r>
        <w:rPr>
          <w:rFonts w:ascii="Google Sans" w:eastAsia="Google Sans" w:hAnsi="Google Sans" w:cs="Google Sans"/>
          <w:color w:val="1F1F1F"/>
        </w:rPr>
        <w:t>), el diámetro de los pernos de anclaje (</w:t>
      </w:r>
      <w:r>
        <w:rPr>
          <w:rFonts w:ascii="Google Sans" w:eastAsia="Google Sans" w:hAnsi="Google Sans" w:cs="Google Sans"/>
          <w:noProof/>
          <w:color w:val="1F1F1F"/>
        </w:rPr>
        <w:drawing>
          <wp:inline distT="19050" distB="19050" distL="19050" distR="19050" wp14:anchorId="418291F8" wp14:editId="49269C8D">
            <wp:extent cx="178263" cy="251666"/>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178263" cy="251666"/>
                    </a:xfrm>
                    <a:prstGeom prst="rect">
                      <a:avLst/>
                    </a:prstGeom>
                    <a:ln/>
                  </pic:spPr>
                </pic:pic>
              </a:graphicData>
            </a:graphic>
          </wp:inline>
        </w:drawing>
      </w:r>
      <w:r>
        <w:rPr>
          <w:rFonts w:ascii="Google Sans" w:eastAsia="Google Sans" w:hAnsi="Google Sans" w:cs="Google Sans"/>
          <w:color w:val="1F1F1F"/>
        </w:rPr>
        <w:t>), la resistencia del concreto (</w:t>
      </w:r>
      <w:r>
        <w:rPr>
          <w:rFonts w:ascii="Google Sans" w:eastAsia="Google Sans" w:hAnsi="Google Sans" w:cs="Google Sans"/>
          <w:noProof/>
          <w:color w:val="1F1F1F"/>
        </w:rPr>
        <w:drawing>
          <wp:inline distT="19050" distB="19050" distL="19050" distR="19050" wp14:anchorId="6950B5AC" wp14:editId="58566944">
            <wp:extent cx="165200" cy="264320"/>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165200" cy="264320"/>
                    </a:xfrm>
                    <a:prstGeom prst="rect">
                      <a:avLst/>
                    </a:prstGeom>
                    <a:ln/>
                  </pic:spPr>
                </pic:pic>
              </a:graphicData>
            </a:graphic>
          </wp:inline>
        </w:drawing>
      </w:r>
      <w:r>
        <w:rPr>
          <w:rFonts w:ascii="Google Sans" w:eastAsia="Google Sans" w:hAnsi="Google Sans" w:cs="Google Sans"/>
          <w:color w:val="1F1F1F"/>
        </w:rPr>
        <w:t>), el nivel de carga axial de compresión y la profundidad de empotramiento efectiva (</w:t>
      </w:r>
      <w:r>
        <w:rPr>
          <w:rFonts w:ascii="Google Sans" w:eastAsia="Google Sans" w:hAnsi="Google Sans" w:cs="Google Sans"/>
          <w:noProof/>
          <w:color w:val="1F1F1F"/>
        </w:rPr>
        <w:drawing>
          <wp:inline distT="19050" distB="19050" distL="19050" distR="19050" wp14:anchorId="0611311F" wp14:editId="5C961673">
            <wp:extent cx="268717" cy="257969"/>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268717" cy="257969"/>
                    </a:xfrm>
                    <a:prstGeom prst="rect">
                      <a:avLst/>
                    </a:prstGeom>
                    <a:ln/>
                  </pic:spPr>
                </pic:pic>
              </a:graphicData>
            </a:graphic>
          </wp:inline>
        </w:drawing>
      </w:r>
      <w:r>
        <w:rPr>
          <w:rFonts w:ascii="Google Sans" w:eastAsia="Google Sans" w:hAnsi="Google Sans" w:cs="Google Sans"/>
          <w:color w:val="1F1F1F"/>
        </w:rPr>
        <w:t>) sobre la rigidez rotacional inicial y la ductilidad última</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Los resultados numéricos coinciden en que la rigidez rotacional inicial es altamente sensible al espesor de la placa base en placas delgadas, pero experimenta un efecto de meseta o saturación al alcanzar un espesor umbral donde la placa adquiere un comportamiento rígido</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A partir de este límite, la rigidez rotacional pasa a ser gobernada predominantemente por el diámetro y la longitud elástica de los pernos de anclaje, así como por el módulo de elasticidad del concreto (</w:t>
      </w:r>
      <w:r>
        <w:rPr>
          <w:rFonts w:ascii="Google Sans" w:eastAsia="Google Sans" w:hAnsi="Google Sans" w:cs="Google Sans"/>
          <w:noProof/>
          <w:color w:val="1F1F1F"/>
        </w:rPr>
        <w:drawing>
          <wp:inline distT="19050" distB="19050" distL="19050" distR="19050" wp14:anchorId="04E82FB8" wp14:editId="5A7B5592">
            <wp:extent cx="1016327" cy="254082"/>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1016327" cy="254082"/>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p w14:paraId="1DA0265F"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Asimismo, estudios de sensibilidad para el arrancamiento del concreto en tensión y cortante demuestran que la distancia mínima al borde libre (</w:t>
      </w:r>
      <w:r>
        <w:rPr>
          <w:rFonts w:ascii="Google Sans" w:eastAsia="Google Sans" w:hAnsi="Google Sans" w:cs="Google Sans"/>
          <w:noProof/>
          <w:color w:val="1F1F1F"/>
        </w:rPr>
        <w:drawing>
          <wp:inline distT="19050" distB="19050" distL="19050" distR="19050" wp14:anchorId="488EB6ED" wp14:editId="260C89BA">
            <wp:extent cx="344454" cy="258341"/>
            <wp:effectExtent l="0" t="0" r="0"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344454" cy="258341"/>
                    </a:xfrm>
                    <a:prstGeom prst="rect">
                      <a:avLst/>
                    </a:prstGeom>
                    <a:ln/>
                  </pic:spPr>
                </pic:pic>
              </a:graphicData>
            </a:graphic>
          </wp:inline>
        </w:drawing>
      </w:r>
      <w:r>
        <w:rPr>
          <w:rFonts w:ascii="Google Sans" w:eastAsia="Google Sans" w:hAnsi="Google Sans" w:cs="Google Sans"/>
          <w:color w:val="1F1F1F"/>
        </w:rPr>
        <w:t>) es el parámetro más influyente en la resistencia del cono de cortante, mostrando reducciones logarítmicas de capacidad a medida que el anclaje se aproxima al borde del pedestal</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En estos escenarios, el espaciamiento del refuerzo transversal de confinamiento (estribos) surge como la variable de control más eficiente para restaurar la capacidad perdida por efectos de borde</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No obstante, a pesar de la disponibilidad de estos estudios paramétricos en el ámbito internacional bajo normativas ACI o Eurocódigos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existe una carencia absoluta de análisis paramétricos sistemáticos orientados a evaluar y comparar el impacto de la transición normativa NTC-2017 vs NTC-2023 en México</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xml:space="preserve">, especialmente bajo solicitaciones de </w:t>
      </w:r>
      <w:proofErr w:type="spellStart"/>
      <w:r>
        <w:rPr>
          <w:rFonts w:ascii="Google Sans" w:eastAsia="Google Sans" w:hAnsi="Google Sans" w:cs="Google Sans"/>
          <w:color w:val="1F1F1F"/>
        </w:rPr>
        <w:t>flexocompresión</w:t>
      </w:r>
      <w:proofErr w:type="spellEnd"/>
      <w:r>
        <w:rPr>
          <w:rFonts w:ascii="Google Sans" w:eastAsia="Google Sans" w:hAnsi="Google Sans" w:cs="Google Sans"/>
          <w:color w:val="1F1F1F"/>
        </w:rPr>
        <w:t xml:space="preserve"> con gran excentricidad, donde coexisten de manera simultánea estados de esfuerzos críticos de tensión en el sistema de anclaje y de compresión/confinamiento en la interfaz de soporte</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23ECD7C4" w14:textId="77777777" w:rsidR="00AB4063" w:rsidRDefault="00000000">
      <w:pPr>
        <w:pStyle w:val="Ttulo3"/>
        <w:spacing w:before="0" w:line="275" w:lineRule="auto"/>
        <w:rPr>
          <w:rFonts w:ascii="Google Sans" w:eastAsia="Google Sans" w:hAnsi="Google Sans" w:cs="Google Sans"/>
          <w:color w:val="1F1F1F"/>
        </w:rPr>
      </w:pPr>
      <w:r>
        <w:rPr>
          <w:rFonts w:ascii="Google Sans" w:eastAsia="Google Sans" w:hAnsi="Google Sans" w:cs="Google Sans"/>
          <w:color w:val="1F1F1F"/>
        </w:rPr>
        <w:t>1.7 Matriz comparativa de la literatura analizada</w:t>
      </w:r>
    </w:p>
    <w:p w14:paraId="501E3818"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Para sistematizar críticamente las investigaciones más relevantes del estado del arte y sustentar el vacío de conocimiento que justifica esta tesis, se presenta la siguiente matriz comparativa detallada:</w:t>
      </w:r>
    </w:p>
    <w:p w14:paraId="325ACBE8" w14:textId="77777777" w:rsidR="00AB4063" w:rsidRDefault="00AB4063">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AB4063" w14:paraId="28918522" w14:textId="77777777">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04D5F4B" w14:textId="77777777" w:rsidR="00AB40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Referencia Completa (APA 7)</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34D9C30" w14:textId="77777777" w:rsidR="00AB40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Tema Principal del Trabajo</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36D8C0C" w14:textId="77777777" w:rsidR="00AB40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Metodología Utilizada</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CA25B16" w14:textId="77777777" w:rsidR="00AB40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Variables de Estudio</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B8D33B5" w14:textId="77777777" w:rsidR="00AB40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Resultados o Conclusiones Principales</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30582FE" w14:textId="77777777" w:rsidR="00AB40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Relación Directa con la Tesis</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57F14C0" w14:textId="77777777" w:rsidR="00AB40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Limitación o Vacío Identificado</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4BF8B8" w14:textId="77777777" w:rsidR="00AB4063"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Cómo Ayuda a Justificar la Tesis</w:t>
            </w:r>
          </w:p>
        </w:tc>
      </w:tr>
      <w:tr w:rsidR="00AB4063" w14:paraId="71363FDE" w14:textId="77777777">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1AD3E78"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Fuchs, W., Eligehausen, R., &amp; Breen, J. E. (1995).</w:t>
            </w:r>
            <w:r>
              <w:rPr>
                <w:rFonts w:ascii="Google Sans" w:eastAsia="Google Sans" w:hAnsi="Google Sans" w:cs="Google Sans"/>
                <w:color w:val="1F1F1F"/>
              </w:rPr>
              <w:t xml:space="preserve"> Concrete </w:t>
            </w:r>
            <w:proofErr w:type="spellStart"/>
            <w:r>
              <w:rPr>
                <w:rFonts w:ascii="Google Sans" w:eastAsia="Google Sans" w:hAnsi="Google Sans" w:cs="Google Sans"/>
                <w:color w:val="1F1F1F"/>
              </w:rPr>
              <w:t>Capacity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Design</w:t>
            </w:r>
            <w:proofErr w:type="spellEnd"/>
            <w:r>
              <w:rPr>
                <w:rFonts w:ascii="Google Sans" w:eastAsia="Google Sans" w:hAnsi="Google Sans" w:cs="Google Sans"/>
                <w:color w:val="1F1F1F"/>
              </w:rPr>
              <w:t xml:space="preserve"> (CCD) </w:t>
            </w:r>
            <w:proofErr w:type="spellStart"/>
            <w:r>
              <w:rPr>
                <w:rFonts w:ascii="Google Sans" w:eastAsia="Google Sans" w:hAnsi="Google Sans" w:cs="Google Sans"/>
                <w:color w:val="1F1F1F"/>
              </w:rPr>
              <w:t>Approach</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for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Fastening</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to</w:t>
            </w:r>
            <w:proofErr w:type="spellEnd"/>
            <w:r>
              <w:rPr>
                <w:rFonts w:ascii="Google Sans" w:eastAsia="Google Sans" w:hAnsi="Google Sans" w:cs="Google Sans"/>
                <w:color w:val="1F1F1F"/>
              </w:rPr>
              <w:t xml:space="preserve"> Concrete. </w:t>
            </w:r>
            <w:r>
              <w:rPr>
                <w:rFonts w:ascii="Google Sans" w:eastAsia="Google Sans" w:hAnsi="Google Sans" w:cs="Google Sans"/>
                <w:i/>
                <w:iCs/>
                <w:color w:val="1F1F1F"/>
              </w:rPr>
              <w:t xml:space="preserve">ACI </w:t>
            </w:r>
            <w:proofErr w:type="spellStart"/>
            <w:r>
              <w:rPr>
                <w:rFonts w:ascii="Google Sans" w:eastAsia="Google Sans" w:hAnsi="Google Sans" w:cs="Google Sans"/>
                <w:i/>
                <w:iCs/>
                <w:color w:val="1F1F1F"/>
              </w:rPr>
              <w:t>Structural</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Journal</w:t>
            </w:r>
            <w:proofErr w:type="spellEnd"/>
            <w:r>
              <w:rPr>
                <w:rFonts w:ascii="Google Sans" w:eastAsia="Google Sans" w:hAnsi="Google Sans" w:cs="Google Sans"/>
                <w:color w:val="1F1F1F"/>
              </w:rPr>
              <w:t>, 92(1), 73-94</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E42689F"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Formulación e introducción del método CCD para el diseño de anclajes en concreto</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4B46C4F"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Analítica y comparativa con bases de datos experimentales de más de 1200 ensayos</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8ABF6A7"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A0C6010" wp14:editId="57CE2831">
                  <wp:extent cx="268717" cy="257969"/>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268717" cy="257969"/>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AE8CC99" wp14:editId="6FFDD987">
                  <wp:extent cx="165200" cy="26432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165200" cy="264320"/>
                          </a:xfrm>
                          <a:prstGeom prst="rect">
                            <a:avLst/>
                          </a:prstGeom>
                          <a:ln/>
                        </pic:spPr>
                      </pic:pic>
                    </a:graphicData>
                  </a:graphic>
                </wp:inline>
              </w:drawing>
            </w:r>
            <w:r>
              <w:rPr>
                <w:rFonts w:ascii="Google Sans" w:eastAsia="Google Sans" w:hAnsi="Google Sans" w:cs="Google Sans"/>
                <w:color w:val="1F1F1F"/>
              </w:rPr>
              <w:t>, distancia al borde, espaciamiento entre anclajes, cargas de tensión y cortante</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8224A80"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El método CCD predice de forma precisa la falla por cono de concreto, superando las deficiencias no conservadoras del modelo clásico de </w:t>
            </w:r>
            <w:r>
              <w:rPr>
                <w:rFonts w:ascii="Google Sans" w:eastAsia="Google Sans" w:hAnsi="Google Sans" w:cs="Google Sans"/>
                <w:noProof/>
                <w:color w:val="1F1F1F"/>
              </w:rPr>
              <w:drawing>
                <wp:inline distT="19050" distB="19050" distL="19050" distR="19050" wp14:anchorId="788F08F9" wp14:editId="22583F41">
                  <wp:extent cx="242094" cy="209081"/>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42094" cy="209081"/>
                          </a:xfrm>
                          <a:prstGeom prst="rect">
                            <a:avLst/>
                          </a:prstGeom>
                          <a:ln/>
                        </pic:spPr>
                      </pic:pic>
                    </a:graphicData>
                  </a:graphic>
                </wp:inline>
              </w:drawing>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690BE35"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Define el modelo matemático base adoptado por las NTC-2023 para evaluar la resistencia al arrancamiento del concreto (</w:t>
            </w:r>
            <w:r>
              <w:rPr>
                <w:rFonts w:ascii="Google Sans" w:eastAsia="Google Sans" w:hAnsi="Google Sans" w:cs="Google Sans"/>
                <w:noProof/>
                <w:color w:val="1F1F1F"/>
              </w:rPr>
              <w:drawing>
                <wp:inline distT="19050" distB="19050" distL="19050" distR="19050" wp14:anchorId="2E7F71C3" wp14:editId="6A3C14D0">
                  <wp:extent cx="208194" cy="262981"/>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208194" cy="262981"/>
                          </a:xfrm>
                          <a:prstGeom prst="rect">
                            <a:avLst/>
                          </a:prstGeom>
                          <a:ln/>
                        </pic:spPr>
                      </pic:pic>
                    </a:graphicData>
                  </a:graphic>
                </wp:inline>
              </w:drawing>
            </w:r>
            <w:r>
              <w:rPr>
                <w:rFonts w:ascii="Google Sans" w:eastAsia="Google Sans" w:hAnsi="Google Sans" w:cs="Google Sans"/>
                <w:color w:val="1F1F1F"/>
              </w:rPr>
              <w:t xml:space="preserve"> y </w:t>
            </w:r>
            <w:r>
              <w:rPr>
                <w:rFonts w:ascii="Google Sans" w:eastAsia="Google Sans" w:hAnsi="Google Sans" w:cs="Google Sans"/>
                <w:noProof/>
                <w:color w:val="1F1F1F"/>
              </w:rPr>
              <w:drawing>
                <wp:inline distT="19050" distB="19050" distL="19050" distR="19050" wp14:anchorId="1DF75AA3" wp14:editId="355CE859">
                  <wp:extent cx="229856" cy="26269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229856" cy="26269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9DDC974"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modelo original se calibró para concreto simple (sin considerar el aporte directo de estribos cerrados de confinamiento estructural)</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C862494"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Justifica la necesidad de evaluar los coeficientes analíticos de confinamiento (</w:t>
            </w:r>
            <w:r>
              <w:rPr>
                <w:rFonts w:ascii="Google Sans" w:eastAsia="Google Sans" w:hAnsi="Google Sans" w:cs="Google Sans"/>
                <w:noProof/>
                <w:color w:val="1F1F1F"/>
              </w:rPr>
              <w:drawing>
                <wp:inline distT="19050" distB="19050" distL="19050" distR="19050" wp14:anchorId="484A5C99" wp14:editId="67CF313F">
                  <wp:extent cx="272190" cy="251253"/>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272190" cy="251253"/>
                          </a:xfrm>
                          <a:prstGeom prst="rect">
                            <a:avLst/>
                          </a:prstGeom>
                          <a:ln/>
                        </pic:spPr>
                      </pic:pic>
                    </a:graphicData>
                  </a:graphic>
                </wp:inline>
              </w:drawing>
            </w:r>
            <w:r>
              <w:rPr>
                <w:rFonts w:ascii="Google Sans" w:eastAsia="Google Sans" w:hAnsi="Google Sans" w:cs="Google Sans"/>
                <w:color w:val="1F1F1F"/>
              </w:rPr>
              <w:t xml:space="preserve"> y </w:t>
            </w:r>
            <w:r>
              <w:rPr>
                <w:rFonts w:ascii="Google Sans" w:eastAsia="Google Sans" w:hAnsi="Google Sans" w:cs="Google Sans"/>
                <w:noProof/>
                <w:color w:val="1F1F1F"/>
              </w:rPr>
              <w:drawing>
                <wp:inline distT="19050" distB="19050" distL="19050" distR="19050" wp14:anchorId="12A12BA9" wp14:editId="4C14A9D7">
                  <wp:extent cx="293853" cy="261203"/>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93853" cy="261203"/>
                          </a:xfrm>
                          <a:prstGeom prst="rect">
                            <a:avLst/>
                          </a:prstGeom>
                          <a:ln/>
                        </pic:spPr>
                      </pic:pic>
                    </a:graphicData>
                  </a:graphic>
                </wp:inline>
              </w:drawing>
            </w:r>
            <w:r>
              <w:rPr>
                <w:rFonts w:ascii="Google Sans" w:eastAsia="Google Sans" w:hAnsi="Google Sans" w:cs="Google Sans"/>
                <w:color w:val="1F1F1F"/>
              </w:rPr>
              <w:t>) introducidos en la norma mexicana moderna</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tc>
      </w:tr>
      <w:tr w:rsidR="00AB4063" w14:paraId="0B7DB625" w14:textId="77777777">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93D1C76"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Fisher, J. M., &amp; Kloiber, L. A. (2006).</w:t>
            </w:r>
            <w:r>
              <w:rPr>
                <w:rFonts w:ascii="Google Sans" w:eastAsia="Google Sans" w:hAnsi="Google Sans" w:cs="Google Sans"/>
                <w:color w:val="1F1F1F"/>
              </w:rPr>
              <w:t xml:space="preserve"> </w:t>
            </w:r>
            <w:r>
              <w:rPr>
                <w:rFonts w:ascii="Google Sans" w:eastAsia="Google Sans" w:hAnsi="Google Sans" w:cs="Google Sans"/>
                <w:i/>
                <w:iCs/>
                <w:color w:val="1F1F1F"/>
              </w:rPr>
              <w:t>Base Plate and Anchor Rod Design</w:t>
            </w:r>
            <w:r>
              <w:rPr>
                <w:rFonts w:ascii="Google Sans" w:eastAsia="Google Sans" w:hAnsi="Google Sans" w:cs="Google Sans"/>
                <w:color w:val="1F1F1F"/>
              </w:rPr>
              <w:t xml:space="preserve"> (Steel </w:t>
            </w:r>
            <w:proofErr w:type="spellStart"/>
            <w:r>
              <w:rPr>
                <w:rFonts w:ascii="Google Sans" w:eastAsia="Google Sans" w:hAnsi="Google Sans" w:cs="Google Sans"/>
                <w:color w:val="1F1F1F"/>
              </w:rPr>
              <w:t>Design</w:t>
            </w:r>
            <w:proofErr w:type="spellEnd"/>
            <w:r>
              <w:rPr>
                <w:rFonts w:ascii="Google Sans" w:eastAsia="Google Sans" w:hAnsi="Google Sans" w:cs="Google Sans"/>
                <w:color w:val="1F1F1F"/>
              </w:rPr>
              <w:t xml:space="preserve"> Guide 1, 2nd </w:t>
            </w:r>
            <w:proofErr w:type="spellStart"/>
            <w:r>
              <w:rPr>
                <w:rFonts w:ascii="Google Sans" w:eastAsia="Google Sans" w:hAnsi="Google Sans" w:cs="Google Sans"/>
                <w:color w:val="1F1F1F"/>
              </w:rPr>
              <w:t>Edition</w:t>
            </w:r>
            <w:proofErr w:type="spellEnd"/>
            <w:r>
              <w:rPr>
                <w:rFonts w:ascii="Google Sans" w:eastAsia="Google Sans" w:hAnsi="Google Sans" w:cs="Google Sans"/>
                <w:color w:val="1F1F1F"/>
              </w:rPr>
              <w:t xml:space="preserve">). American </w:t>
            </w:r>
            <w:proofErr w:type="spellStart"/>
            <w:r>
              <w:rPr>
                <w:rFonts w:ascii="Google Sans" w:eastAsia="Google Sans" w:hAnsi="Google Sans" w:cs="Google Sans"/>
                <w:color w:val="1F1F1F"/>
              </w:rPr>
              <w:t>Institute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Steel </w:t>
            </w:r>
            <w:proofErr w:type="spellStart"/>
            <w:r>
              <w:rPr>
                <w:rFonts w:ascii="Google Sans" w:eastAsia="Google Sans" w:hAnsi="Google Sans" w:cs="Google Sans"/>
                <w:color w:val="1F1F1F"/>
              </w:rPr>
              <w:t>Construction</w:t>
            </w:r>
            <w:proofErr w:type="spellEnd"/>
            <w:r>
              <w:rPr>
                <w:rFonts w:ascii="Google Sans" w:eastAsia="Google Sans" w:hAnsi="Google Sans" w:cs="Google Sans"/>
                <w:color w:val="1F1F1F"/>
              </w:rPr>
              <w:t xml:space="preserve"> (AISC)</w:t>
            </w:r>
            <w:r>
              <w:rPr>
                <w:rFonts w:ascii="Google Sans" w:eastAsia="Google Sans" w:hAnsi="Google Sans" w:cs="Google Sans"/>
                <w:color w:val="444746"/>
                <w:sz w:val="24"/>
                <w:szCs w:val="24"/>
                <w:vertAlign w:val="superscript"/>
              </w:rPr>
              <w:t>13</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879BB99"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Metodología de diseño analítico para placas base y pernos de anclaje en columnas de acero</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11EC988"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Analítica y normativa, recopilando criterios de resistencia de especificaciones AISC 360 y ACI 318</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261DEE"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Espesor de placa base (</w:t>
            </w:r>
            <w:r>
              <w:rPr>
                <w:rFonts w:ascii="Google Sans" w:eastAsia="Google Sans" w:hAnsi="Google Sans" w:cs="Google Sans"/>
                <w:noProof/>
                <w:color w:val="1F1F1F"/>
              </w:rPr>
              <w:drawing>
                <wp:inline distT="19050" distB="19050" distL="19050" distR="19050" wp14:anchorId="4FC486D4" wp14:editId="4175582B">
                  <wp:extent cx="131961" cy="230932"/>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31961" cy="230932"/>
                          </a:xfrm>
                          <a:prstGeom prst="rect">
                            <a:avLst/>
                          </a:prstGeom>
                          <a:ln/>
                        </pic:spPr>
                      </pic:pic>
                    </a:graphicData>
                  </a:graphic>
                </wp:inline>
              </w:drawing>
            </w:r>
            <w:r>
              <w:rPr>
                <w:rFonts w:ascii="Google Sans" w:eastAsia="Google Sans" w:hAnsi="Google Sans" w:cs="Google Sans"/>
                <w:color w:val="1F1F1F"/>
              </w:rPr>
              <w:t>), excentricidad de carga (</w:t>
            </w:r>
            <w:r>
              <w:rPr>
                <w:rFonts w:ascii="Google Sans" w:eastAsia="Google Sans" w:hAnsi="Google Sans" w:cs="Google Sans"/>
                <w:noProof/>
                <w:color w:val="1F1F1F"/>
              </w:rPr>
              <w:drawing>
                <wp:inline distT="19050" distB="19050" distL="19050" distR="19050" wp14:anchorId="4DC44BB4" wp14:editId="7E99094F">
                  <wp:extent cx="80698" cy="242094"/>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80698" cy="242094"/>
                          </a:xfrm>
                          <a:prstGeom prst="rect">
                            <a:avLst/>
                          </a:prstGeom>
                          <a:ln/>
                        </pic:spPr>
                      </pic:pic>
                    </a:graphicData>
                  </a:graphic>
                </wp:inline>
              </w:drawing>
            </w:r>
            <w:r>
              <w:rPr>
                <w:rFonts w:ascii="Google Sans" w:eastAsia="Google Sans" w:hAnsi="Google Sans" w:cs="Google Sans"/>
                <w:color w:val="1F1F1F"/>
              </w:rPr>
              <w:t>), resistencia del acero, aplastamiento de concreto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256FDCA"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Establece algoritmos claros para categorizar conexiones por excentricidad y dimensionar espesores mediante flexión en secciones críticas</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531AEB"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Provee el modelo clásico de distribución de presiones de contacto bajo condiciones de </w:t>
            </w:r>
            <w:proofErr w:type="spellStart"/>
            <w:r>
              <w:rPr>
                <w:rFonts w:ascii="Google Sans" w:eastAsia="Google Sans" w:hAnsi="Google Sans" w:cs="Google Sans"/>
                <w:color w:val="1F1F1F"/>
              </w:rPr>
              <w:t>flexocompresión</w:t>
            </w:r>
            <w:proofErr w:type="spellEnd"/>
            <w:r>
              <w:rPr>
                <w:rFonts w:ascii="Google Sans" w:eastAsia="Google Sans" w:hAnsi="Google Sans" w:cs="Google Sans"/>
                <w:color w:val="1F1F1F"/>
              </w:rPr>
              <w:t xml:space="preserve"> con gran excentricidad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53C743A"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Asume un comportamiento rígidamente simplificado de la placa base, ignorando deformaciones relativas no lineales en la interfaz con el pedestal</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B439A28"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Demuestra la relevancia de realizar análisis paramétricos que involucren el perfil IR </w:t>
            </w:r>
            <w:r>
              <w:rPr>
                <w:rFonts w:ascii="Google Sans" w:eastAsia="Google Sans" w:hAnsi="Google Sans" w:cs="Google Sans"/>
                <w:noProof/>
                <w:color w:val="1F1F1F"/>
              </w:rPr>
              <w:drawing>
                <wp:inline distT="19050" distB="19050" distL="19050" distR="19050" wp14:anchorId="5007227F" wp14:editId="3CC33349">
                  <wp:extent cx="881725" cy="23371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881725" cy="233710"/>
                          </a:xfrm>
                          <a:prstGeom prst="rect">
                            <a:avLst/>
                          </a:prstGeom>
                          <a:ln/>
                        </pic:spPr>
                      </pic:pic>
                    </a:graphicData>
                  </a:graphic>
                </wp:inline>
              </w:drawing>
            </w:r>
            <w:r>
              <w:rPr>
                <w:rFonts w:ascii="Google Sans" w:eastAsia="Google Sans" w:hAnsi="Google Sans" w:cs="Google Sans"/>
                <w:color w:val="1F1F1F"/>
              </w:rPr>
              <w:t xml:space="preserve"> y placas de </w:t>
            </w:r>
            <w:r>
              <w:rPr>
                <w:rFonts w:ascii="Google Sans" w:eastAsia="Google Sans" w:hAnsi="Google Sans" w:cs="Google Sans"/>
                <w:noProof/>
                <w:color w:val="1F1F1F"/>
              </w:rPr>
              <w:drawing>
                <wp:inline distT="19050" distB="19050" distL="19050" distR="19050" wp14:anchorId="2793467F" wp14:editId="58043AD8">
                  <wp:extent cx="930507" cy="232627"/>
                  <wp:effectExtent l="0" t="0" r="0" b="0"/>
                  <wp:docPr id="5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930507" cy="232627"/>
                          </a:xfrm>
                          <a:prstGeom prst="rect">
                            <a:avLst/>
                          </a:prstGeom>
                          <a:ln/>
                        </pic:spPr>
                      </pic:pic>
                    </a:graphicData>
                  </a:graphic>
                </wp:inline>
              </w:drawing>
            </w:r>
            <w:r>
              <w:rPr>
                <w:rFonts w:ascii="Google Sans" w:eastAsia="Google Sans" w:hAnsi="Google Sans" w:cs="Google Sans"/>
                <w:color w:val="1F1F1F"/>
              </w:rPr>
              <w:t xml:space="preserve"> para validar la aplicabilidad en México</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w:t>
            </w:r>
          </w:p>
        </w:tc>
      </w:tr>
      <w:tr w:rsidR="00AB4063" w14:paraId="444AA4DB" w14:textId="77777777">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0C15319"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 xml:space="preserve">Hassan, A. S., &amp; </w:t>
            </w:r>
            <w:proofErr w:type="spellStart"/>
            <w:r>
              <w:rPr>
                <w:rFonts w:ascii="Google Sans" w:eastAsia="Google Sans" w:hAnsi="Google Sans" w:cs="Google Sans"/>
                <w:b/>
                <w:bCs/>
                <w:color w:val="1F1F1F"/>
              </w:rPr>
              <w:t>Kanvinde</w:t>
            </w:r>
            <w:proofErr w:type="spellEnd"/>
            <w:r>
              <w:rPr>
                <w:rFonts w:ascii="Google Sans" w:eastAsia="Google Sans" w:hAnsi="Google Sans" w:cs="Google Sans"/>
                <w:b/>
                <w:bCs/>
                <w:color w:val="1F1F1F"/>
              </w:rPr>
              <w:t>, A. M. (2023).</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Seismic</w:t>
            </w:r>
            <w:proofErr w:type="spellEnd"/>
            <w:r>
              <w:rPr>
                <w:rFonts w:ascii="Google Sans" w:eastAsia="Google Sans" w:hAnsi="Google Sans" w:cs="Google Sans"/>
                <w:color w:val="1F1F1F"/>
              </w:rPr>
              <w:t xml:space="preserve"> Performance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Embedded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Column</w:t>
            </w:r>
            <w:proofErr w:type="spellEnd"/>
            <w:r>
              <w:rPr>
                <w:rFonts w:ascii="Google Sans" w:eastAsia="Google Sans" w:hAnsi="Google Sans" w:cs="Google Sans"/>
                <w:color w:val="1F1F1F"/>
              </w:rPr>
              <w:t xml:space="preserve"> Base Connections </w:t>
            </w:r>
            <w:proofErr w:type="spellStart"/>
            <w:r>
              <w:rPr>
                <w:rFonts w:ascii="Google Sans" w:eastAsia="Google Sans" w:hAnsi="Google Sans" w:cs="Google Sans"/>
                <w:color w:val="1F1F1F"/>
              </w:rPr>
              <w:t>with</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Attached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Reinforcement</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Tests</w:t>
            </w:r>
            <w:proofErr w:type="spellEnd"/>
            <w:r>
              <w:rPr>
                <w:rFonts w:ascii="Google Sans" w:eastAsia="Google Sans" w:hAnsi="Google Sans" w:cs="Google Sans"/>
                <w:color w:val="1F1F1F"/>
              </w:rPr>
              <w:t xml:space="preserve"> and Strength </w:t>
            </w:r>
            <w:proofErr w:type="spellStart"/>
            <w:r>
              <w:rPr>
                <w:rFonts w:ascii="Google Sans" w:eastAsia="Google Sans" w:hAnsi="Google Sans" w:cs="Google Sans"/>
                <w:color w:val="1F1F1F"/>
              </w:rPr>
              <w:t>Models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i/>
                <w:iCs/>
                <w:color w:val="1F1F1F"/>
              </w:rPr>
              <w:t>Engineering</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Journal</w:t>
            </w:r>
            <w:proofErr w:type="spellEnd"/>
            <w:r>
              <w:rPr>
                <w:rFonts w:ascii="Google Sans" w:eastAsia="Google Sans" w:hAnsi="Google Sans" w:cs="Google Sans"/>
                <w:color w:val="1F1F1F"/>
              </w:rPr>
              <w:t>, 60(4), 225-244</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39DE5FC"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Comportamiento sísmico de conexiones de placa base embebidas en pedestales con refuerzo</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B8CD0C9"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Experimental (ensayos a gran escala bajo carga cíclica) y modelación analítica</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4327981"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Refuerzo horizontal soldado, estribos verticales en pedestal, carga axial, momento y cortante cíclico</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F6BEC1C"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El refuerzo horizontal soldado aumenta el </w:t>
            </w:r>
            <w:proofErr w:type="gramStart"/>
            <w:r>
              <w:rPr>
                <w:rFonts w:ascii="Google Sans" w:eastAsia="Google Sans" w:hAnsi="Google Sans" w:cs="Google Sans"/>
                <w:color w:val="1F1F1F"/>
              </w:rPr>
              <w:t>momento</w:t>
            </w:r>
            <w:proofErr w:type="gramEnd"/>
            <w:r>
              <w:rPr>
                <w:rFonts w:ascii="Google Sans" w:eastAsia="Google Sans" w:hAnsi="Google Sans" w:cs="Google Sans"/>
                <w:color w:val="1F1F1F"/>
              </w:rPr>
              <w:t xml:space="preserve"> pero genera un campo de tracción que reduce el confinamiento; el refuerzo vertical mitiga el daño</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A4DA207"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Evidencia la interacción directa de rigidez y resistencia entre el acero de la placa base y el refuerzo del concreto bajo sismo</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F4D8E54"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Se enfoca exclusivamente en conexiones embebidas (ECB), omitiendo el comportamiento de placas base expuestas (EBP) típicas</w:t>
            </w:r>
            <w:r>
              <w:rPr>
                <w:rFonts w:ascii="Google Sans" w:eastAsia="Google Sans" w:hAnsi="Google Sans" w:cs="Google Sans"/>
                <w:color w:val="444746"/>
                <w:sz w:val="24"/>
                <w:szCs w:val="24"/>
                <w:vertAlign w:val="superscript"/>
              </w:rPr>
              <w:t>30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D5A17AA"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Justifica la investigación de placas base expuestas sujetas a </w:t>
            </w:r>
            <w:proofErr w:type="spellStart"/>
            <w:r>
              <w:rPr>
                <w:rFonts w:ascii="Google Sans" w:eastAsia="Google Sans" w:hAnsi="Google Sans" w:cs="Google Sans"/>
                <w:color w:val="1F1F1F"/>
              </w:rPr>
              <w:t>flexocompresión</w:t>
            </w:r>
            <w:proofErr w:type="spellEnd"/>
            <w:r>
              <w:rPr>
                <w:rFonts w:ascii="Google Sans" w:eastAsia="Google Sans" w:hAnsi="Google Sans" w:cs="Google Sans"/>
                <w:color w:val="1F1F1F"/>
              </w:rPr>
              <w:t xml:space="preserve"> con gran excentricidad analizando el confinamiento del dado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r>
      <w:tr w:rsidR="00AB4063" w14:paraId="354C0679" w14:textId="77777777">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EA34610"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 xml:space="preserve">Hassan, A. S., Song, B., Galasso, C., &amp; </w:t>
            </w:r>
            <w:proofErr w:type="spellStart"/>
            <w:r>
              <w:rPr>
                <w:rFonts w:ascii="Google Sans" w:eastAsia="Google Sans" w:hAnsi="Google Sans" w:cs="Google Sans"/>
                <w:b/>
                <w:bCs/>
                <w:color w:val="1F1F1F"/>
              </w:rPr>
              <w:t>Kanvinde</w:t>
            </w:r>
            <w:proofErr w:type="spellEnd"/>
            <w:r>
              <w:rPr>
                <w:rFonts w:ascii="Google Sans" w:eastAsia="Google Sans" w:hAnsi="Google Sans" w:cs="Google Sans"/>
                <w:b/>
                <w:bCs/>
                <w:color w:val="1F1F1F"/>
              </w:rPr>
              <w:t>, A. (2022).</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Seismic</w:t>
            </w:r>
            <w:proofErr w:type="spellEnd"/>
            <w:r>
              <w:rPr>
                <w:rFonts w:ascii="Google Sans" w:eastAsia="Google Sans" w:hAnsi="Google Sans" w:cs="Google Sans"/>
                <w:color w:val="1F1F1F"/>
              </w:rPr>
              <w:t xml:space="preserve"> performance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exposed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column</w:t>
            </w:r>
            <w:proofErr w:type="spellEnd"/>
            <w:r>
              <w:rPr>
                <w:rFonts w:ascii="Google Sans" w:eastAsia="Google Sans" w:hAnsi="Google Sans" w:cs="Google Sans"/>
                <w:color w:val="1F1F1F"/>
              </w:rPr>
              <w:t xml:space="preserve">–base </w:t>
            </w:r>
            <w:proofErr w:type="spellStart"/>
            <w:r>
              <w:rPr>
                <w:rFonts w:ascii="Google Sans" w:eastAsia="Google Sans" w:hAnsi="Google Sans" w:cs="Google Sans"/>
                <w:color w:val="1F1F1F"/>
              </w:rPr>
              <w:t>plate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connections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with</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ductile</w:t>
            </w:r>
            <w:proofErr w:type="spellEnd"/>
            <w:r>
              <w:rPr>
                <w:rFonts w:ascii="Google Sans" w:eastAsia="Google Sans" w:hAnsi="Google Sans" w:cs="Google Sans"/>
                <w:color w:val="1F1F1F"/>
              </w:rPr>
              <w:t xml:space="preserve"> anchor </w:t>
            </w:r>
            <w:proofErr w:type="spellStart"/>
            <w:r>
              <w:rPr>
                <w:rFonts w:ascii="Google Sans" w:eastAsia="Google Sans" w:hAnsi="Google Sans" w:cs="Google Sans"/>
                <w:color w:val="1F1F1F"/>
              </w:rPr>
              <w:t>rods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i/>
                <w:iCs/>
                <w:color w:val="1F1F1F"/>
              </w:rPr>
              <w:t>Journal</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of</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Structural</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Engineering</w:t>
            </w:r>
            <w:proofErr w:type="spellEnd"/>
            <w:r>
              <w:rPr>
                <w:rFonts w:ascii="Google Sans" w:eastAsia="Google Sans" w:hAnsi="Google Sans" w:cs="Google Sans"/>
                <w:color w:val="1F1F1F"/>
              </w:rPr>
              <w:t>, 148(5), 04022028</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8C3D237"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Desempeño sísmico de placas base expuestas diseñadas con anclajes dúctiles como fusibles disipativos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B64724D"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Experimental (ensayos escala real) y computacional no lineal</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81EA83"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Diámetro de ancla (</w:t>
            </w:r>
            <w:r>
              <w:rPr>
                <w:rFonts w:ascii="Google Sans" w:eastAsia="Google Sans" w:hAnsi="Google Sans" w:cs="Google Sans"/>
                <w:noProof/>
                <w:color w:val="1F1F1F"/>
              </w:rPr>
              <w:drawing>
                <wp:inline distT="19050" distB="19050" distL="19050" distR="19050" wp14:anchorId="35525FF7" wp14:editId="343844FF">
                  <wp:extent cx="178263" cy="251666"/>
                  <wp:effectExtent l="0" t="0" r="0" b="0"/>
                  <wp:docPr id="5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178263" cy="251666"/>
                          </a:xfrm>
                          <a:prstGeom prst="rect">
                            <a:avLst/>
                          </a:prstGeom>
                          <a:ln/>
                        </pic:spPr>
                      </pic:pic>
                    </a:graphicData>
                  </a:graphic>
                </wp:inline>
              </w:drawing>
            </w:r>
            <w:r>
              <w:rPr>
                <w:rFonts w:ascii="Google Sans" w:eastAsia="Google Sans" w:hAnsi="Google Sans" w:cs="Google Sans"/>
                <w:color w:val="1F1F1F"/>
              </w:rPr>
              <w:t>), grado del acero, carga axial de compresión, longitud de estiramiento libre del perno</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E0E64DB"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aislamiento elástico del perno mediante fundas previene el arrancamiento frágil del concreto y concentra la disipación por fluencia del acero</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93FE10E"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Vincula el comportamiento </w:t>
            </w:r>
            <w:proofErr w:type="spellStart"/>
            <w:r>
              <w:rPr>
                <w:rFonts w:ascii="Google Sans" w:eastAsia="Google Sans" w:hAnsi="Google Sans" w:cs="Google Sans"/>
                <w:color w:val="1F1F1F"/>
              </w:rPr>
              <w:t>histerético</w:t>
            </w:r>
            <w:proofErr w:type="spellEnd"/>
            <w:r>
              <w:rPr>
                <w:rFonts w:ascii="Google Sans" w:eastAsia="Google Sans" w:hAnsi="Google Sans" w:cs="Google Sans"/>
                <w:color w:val="1F1F1F"/>
              </w:rPr>
              <w:t xml:space="preserve"> de la conexión con el diseño por capacidad requerido para sistemas sísmicos en México</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2A9921B"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No compara las diferencias de capacidad que surgen al aplicar códigos de diseño estructural locales o regionales (v.g., NTC CDMX)</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E56DC3F"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Sustenta la necesidad de cuantificar paramétricamente los límites geométricos de diseño requeridos por la normativa mexicana moderna</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
        </w:tc>
      </w:tr>
      <w:tr w:rsidR="00AB4063" w14:paraId="12C58187" w14:textId="77777777">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A12287"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b/>
                <w:bCs/>
                <w:color w:val="1F1F1F"/>
              </w:rPr>
              <w:t>Xu</w:t>
            </w:r>
            <w:proofErr w:type="spellEnd"/>
            <w:r>
              <w:rPr>
                <w:rFonts w:ascii="Google Sans" w:eastAsia="Google Sans" w:hAnsi="Google Sans" w:cs="Google Sans"/>
                <w:b/>
                <w:bCs/>
                <w:color w:val="1F1F1F"/>
              </w:rPr>
              <w:t xml:space="preserve">, D., etc. / NEES Anchor </w:t>
            </w:r>
            <w:proofErr w:type="spellStart"/>
            <w:r>
              <w:rPr>
                <w:rFonts w:ascii="Google Sans" w:eastAsia="Google Sans" w:hAnsi="Google Sans" w:cs="Google Sans"/>
                <w:b/>
                <w:bCs/>
                <w:color w:val="1F1F1F"/>
              </w:rPr>
              <w:t>Reports</w:t>
            </w:r>
            <w:proofErr w:type="spellEnd"/>
            <w:r>
              <w:rPr>
                <w:rFonts w:ascii="Google Sans" w:eastAsia="Google Sans" w:hAnsi="Google Sans" w:cs="Google Sans"/>
                <w:b/>
                <w:bCs/>
                <w:color w:val="1F1F1F"/>
              </w:rPr>
              <w:t xml:space="preserve"> (2018).</w:t>
            </w:r>
            <w:r>
              <w:rPr>
                <w:rFonts w:ascii="Google Sans" w:eastAsia="Google Sans" w:hAnsi="Google Sans" w:cs="Google Sans"/>
                <w:color w:val="1F1F1F"/>
              </w:rPr>
              <w:t xml:space="preserve"> </w:t>
            </w:r>
            <w:proofErr w:type="spellStart"/>
            <w:r>
              <w:rPr>
                <w:rFonts w:ascii="Google Sans" w:eastAsia="Google Sans" w:hAnsi="Google Sans" w:cs="Google Sans"/>
                <w:i/>
                <w:iCs/>
                <w:color w:val="1F1F1F"/>
              </w:rPr>
              <w:t>Reinforcement</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for</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headed</w:t>
            </w:r>
            <w:proofErr w:type="spellEnd"/>
            <w:r>
              <w:rPr>
                <w:rFonts w:ascii="Google Sans" w:eastAsia="Google Sans" w:hAnsi="Google Sans" w:cs="Google Sans"/>
                <w:i/>
                <w:iCs/>
                <w:color w:val="1F1F1F"/>
              </w:rPr>
              <w:t xml:space="preserve"> </w:t>
            </w:r>
            <w:proofErr w:type="spellStart"/>
            <w:r>
              <w:rPr>
                <w:rFonts w:ascii="Google Sans" w:eastAsia="Google Sans" w:hAnsi="Google Sans" w:cs="Google Sans"/>
                <w:i/>
                <w:iCs/>
                <w:color w:val="1F1F1F"/>
              </w:rPr>
              <w:t>anchors</w:t>
            </w:r>
            <w:proofErr w:type="spellEnd"/>
            <w:r>
              <w:rPr>
                <w:rFonts w:ascii="Google Sans" w:eastAsia="Google Sans" w:hAnsi="Google Sans" w:cs="Google Sans"/>
                <w:i/>
                <w:iCs/>
                <w:color w:val="1F1F1F"/>
              </w:rPr>
              <w:t xml:space="preserve"> in </w:t>
            </w:r>
            <w:proofErr w:type="spellStart"/>
            <w:r>
              <w:rPr>
                <w:rFonts w:ascii="Google Sans" w:eastAsia="Google Sans" w:hAnsi="Google Sans" w:cs="Google Sans"/>
                <w:i/>
                <w:iCs/>
                <w:color w:val="1F1F1F"/>
              </w:rPr>
              <w:t>shear</w:t>
            </w:r>
            <w:proofErr w:type="spellEnd"/>
            <w:r>
              <w:rPr>
                <w:rFonts w:ascii="Google Sans" w:eastAsia="Google Sans" w:hAnsi="Google Sans" w:cs="Google Sans"/>
                <w:i/>
                <w:iCs/>
                <w:color w:val="1F1F1F"/>
              </w:rPr>
              <w:t>/</w:t>
            </w:r>
            <w:proofErr w:type="spellStart"/>
            <w:r>
              <w:rPr>
                <w:rFonts w:ascii="Google Sans" w:eastAsia="Google Sans" w:hAnsi="Google Sans" w:cs="Google Sans"/>
                <w:i/>
                <w:iCs/>
                <w:color w:val="1F1F1F"/>
              </w:rPr>
              <w:t>tension</w:t>
            </w:r>
            <w:proofErr w:type="spellEnd"/>
            <w:r>
              <w:rPr>
                <w:rFonts w:ascii="Google Sans" w:eastAsia="Google Sans" w:hAnsi="Google Sans" w:cs="Google Sans"/>
                <w:i/>
                <w:iCs/>
                <w:color w:val="1F1F1F"/>
              </w:rPr>
              <w:t xml:space="preserve"> (NEES Anchor Final </w:t>
            </w:r>
            <w:proofErr w:type="spellStart"/>
            <w:r>
              <w:rPr>
                <w:rFonts w:ascii="Google Sans" w:eastAsia="Google Sans" w:hAnsi="Google Sans" w:cs="Google Sans"/>
                <w:i/>
                <w:iCs/>
                <w:color w:val="1F1F1F"/>
              </w:rPr>
              <w:t>Report</w:t>
            </w:r>
            <w:proofErr w:type="spellEnd"/>
            <w:r>
              <w:rPr>
                <w:rFonts w:ascii="Google Sans" w:eastAsia="Google Sans" w:hAnsi="Google Sans" w:cs="Google Sans"/>
                <w:i/>
                <w:iCs/>
                <w:color w:val="1F1F1F"/>
              </w:rPr>
              <w:t xml:space="preserve"> Vol. II)</w:t>
            </w:r>
            <w:r>
              <w:rPr>
                <w:rFonts w:ascii="Google Sans" w:eastAsia="Google Sans" w:hAnsi="Google Sans" w:cs="Google Sans"/>
                <w:color w:val="1F1F1F"/>
              </w:rPr>
              <w:t xml:space="preserve">. University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Wisconsin-Milwaukee</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0B67554"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Evaluación del refuerzo transversal para mitigar fallas por arrancamiento del concreto en anclajes</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2BFDAA6"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Experimental (ensayos estáticos y cíclicos) y analítica (modelos STM)</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53408EB"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Espaciamiento de estribos (</w:t>
            </w:r>
            <w:r>
              <w:rPr>
                <w:rFonts w:ascii="Google Sans" w:eastAsia="Google Sans" w:hAnsi="Google Sans" w:cs="Google Sans"/>
                <w:noProof/>
                <w:color w:val="1F1F1F"/>
              </w:rPr>
              <w:drawing>
                <wp:inline distT="19050" distB="19050" distL="19050" distR="19050" wp14:anchorId="6DBBC24D" wp14:editId="5719F1BE">
                  <wp:extent cx="81194" cy="213134"/>
                  <wp:effectExtent l="0" t="0" r="0" b="0"/>
                  <wp:docPr id="5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1"/>
                          <a:srcRect/>
                          <a:stretch>
                            <a:fillRect/>
                          </a:stretch>
                        </pic:blipFill>
                        <pic:spPr>
                          <a:xfrm>
                            <a:off x="0" y="0"/>
                            <a:ext cx="81194" cy="213134"/>
                          </a:xfrm>
                          <a:prstGeom prst="rect">
                            <a:avLst/>
                          </a:prstGeom>
                          <a:ln/>
                        </pic:spPr>
                      </pic:pic>
                    </a:graphicData>
                  </a:graphic>
                </wp:inline>
              </w:drawing>
            </w:r>
            <w:r>
              <w:rPr>
                <w:rFonts w:ascii="Google Sans" w:eastAsia="Google Sans" w:hAnsi="Google Sans" w:cs="Google Sans"/>
                <w:color w:val="1F1F1F"/>
              </w:rPr>
              <w:t>), tipo de refuerzo (</w:t>
            </w:r>
            <w:proofErr w:type="spellStart"/>
            <w:r>
              <w:rPr>
                <w:rFonts w:ascii="Google Sans" w:eastAsia="Google Sans" w:hAnsi="Google Sans" w:cs="Google Sans"/>
                <w:color w:val="1F1F1F"/>
              </w:rPr>
              <w:t>hairpin</w:t>
            </w:r>
            <w:proofErr w:type="spellEnd"/>
            <w:r>
              <w:rPr>
                <w:rFonts w:ascii="Google Sans" w:eastAsia="Google Sans" w:hAnsi="Google Sans" w:cs="Google Sans"/>
                <w:color w:val="1F1F1F"/>
              </w:rPr>
              <w:t xml:space="preserve"> vs. estribos cerrados), carga cíclica de tensión y cortante</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846F310"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Los estribos cerrados densos colocados cerca de las anclas evitan la falla frágil del concreto, permitiendo alcanzar el 90% de la capacidad del perno</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4E7A8E5"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Aporta la base experimental para el modelado de los estribos como elementos resistentes activos ante fallas de cono de concreto</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6472B3D"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Las recomendaciones de armado generadas se limitan estrictamente al marco normativo del código de diseño ACI 318</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3529908"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Justifica el estudio comparativo bajo las NTC de la CDMX, incorporando formalmente los factores analíticos de confinamiento </w:t>
            </w:r>
            <w:r>
              <w:rPr>
                <w:rFonts w:ascii="Google Sans" w:eastAsia="Google Sans" w:hAnsi="Google Sans" w:cs="Google Sans"/>
                <w:noProof/>
                <w:color w:val="1F1F1F"/>
              </w:rPr>
              <w:drawing>
                <wp:inline distT="19050" distB="19050" distL="19050" distR="19050" wp14:anchorId="195BE3E9" wp14:editId="75432BF8">
                  <wp:extent cx="272190" cy="251253"/>
                  <wp:effectExtent l="0" t="0" r="0" b="0"/>
                  <wp:docPr id="6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272190" cy="251253"/>
                          </a:xfrm>
                          <a:prstGeom prst="rect">
                            <a:avLst/>
                          </a:prstGeom>
                          <a:ln/>
                        </pic:spPr>
                      </pic:pic>
                    </a:graphicData>
                  </a:graphic>
                </wp:inline>
              </w:drawing>
            </w:r>
            <w:r>
              <w:rPr>
                <w:rFonts w:ascii="Google Sans" w:eastAsia="Google Sans" w:hAnsi="Google Sans" w:cs="Google Sans"/>
                <w:color w:val="1F1F1F"/>
              </w:rPr>
              <w:t xml:space="preserve"> y </w:t>
            </w:r>
            <w:r>
              <w:rPr>
                <w:rFonts w:ascii="Google Sans" w:eastAsia="Google Sans" w:hAnsi="Google Sans" w:cs="Google Sans"/>
                <w:noProof/>
                <w:color w:val="1F1F1F"/>
              </w:rPr>
              <w:drawing>
                <wp:inline distT="19050" distB="19050" distL="19050" distR="19050" wp14:anchorId="2CFAD07E" wp14:editId="2D1D2DF1">
                  <wp:extent cx="293853" cy="261203"/>
                  <wp:effectExtent l="0" t="0" r="0" b="0"/>
                  <wp:docPr id="6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93853" cy="261203"/>
                          </a:xfrm>
                          <a:prstGeom prst="rect">
                            <a:avLst/>
                          </a:prstGeom>
                          <a:ln/>
                        </pic:spPr>
                      </pic:pic>
                    </a:graphicData>
                  </a:graphic>
                </wp:inline>
              </w:drawing>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tc>
      </w:tr>
      <w:tr w:rsidR="00AB4063" w14:paraId="42B7A1E7" w14:textId="77777777">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E06E5AC"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He, Y., Pan, X., etc. (2023).</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Numerical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parametric</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study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on</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rotational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stiffness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gravity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column</w:t>
            </w:r>
            <w:proofErr w:type="spellEnd"/>
            <w:r>
              <w:rPr>
                <w:rFonts w:ascii="Google Sans" w:eastAsia="Google Sans" w:hAnsi="Google Sans" w:cs="Google Sans"/>
                <w:color w:val="1F1F1F"/>
              </w:rPr>
              <w:t xml:space="preserve"> base-</w:t>
            </w:r>
            <w:proofErr w:type="spellStart"/>
            <w:r>
              <w:rPr>
                <w:rFonts w:ascii="Google Sans" w:eastAsia="Google Sans" w:hAnsi="Google Sans" w:cs="Google Sans"/>
                <w:color w:val="1F1F1F"/>
              </w:rPr>
              <w:t>plate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connections</w:t>
            </w:r>
            <w:proofErr w:type="spellEnd"/>
            <w:r>
              <w:rPr>
                <w:rFonts w:ascii="Google Sans" w:eastAsia="Google Sans" w:hAnsi="Google Sans" w:cs="Google Sans"/>
                <w:color w:val="1F1F1F"/>
              </w:rPr>
              <w:t xml:space="preserve">. </w:t>
            </w:r>
            <w:r>
              <w:rPr>
                <w:rFonts w:ascii="Google Sans" w:eastAsia="Google Sans" w:hAnsi="Google Sans" w:cs="Google Sans"/>
                <w:i/>
                <w:iCs/>
                <w:color w:val="1F1F1F"/>
              </w:rPr>
              <w:t xml:space="preserve">NZSEE </w:t>
            </w:r>
            <w:proofErr w:type="spellStart"/>
            <w:r>
              <w:rPr>
                <w:rFonts w:ascii="Google Sans" w:eastAsia="Google Sans" w:hAnsi="Google Sans" w:cs="Google Sans"/>
                <w:i/>
                <w:iCs/>
                <w:color w:val="1F1F1F"/>
              </w:rPr>
              <w:t>Annual</w:t>
            </w:r>
            <w:proofErr w:type="spellEnd"/>
            <w:r>
              <w:rPr>
                <w:rFonts w:ascii="Google Sans" w:eastAsia="Google Sans" w:hAnsi="Google Sans" w:cs="Google Sans"/>
                <w:i/>
                <w:iCs/>
                <w:color w:val="1F1F1F"/>
              </w:rPr>
              <w:t xml:space="preserve"> Conference</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9A5C8DC"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Simulación paramétrica de la rigidez rotacional inicial y cíclica en conexiones de placa base articuladas</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8175D70"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Numérica mediante modelos no lineales tridimensionales en ABAQUS</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3687066"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Espesor de placa base (</w:t>
            </w:r>
            <w:r>
              <w:rPr>
                <w:rFonts w:ascii="Google Sans" w:eastAsia="Google Sans" w:hAnsi="Google Sans" w:cs="Google Sans"/>
                <w:noProof/>
                <w:color w:val="1F1F1F"/>
              </w:rPr>
              <w:drawing>
                <wp:inline distT="19050" distB="19050" distL="19050" distR="19050" wp14:anchorId="53784AEB" wp14:editId="48DF0771">
                  <wp:extent cx="131961" cy="230932"/>
                  <wp:effectExtent l="0" t="0" r="0" b="0"/>
                  <wp:docPr id="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31961" cy="230932"/>
                          </a:xfrm>
                          <a:prstGeom prst="rect">
                            <a:avLst/>
                          </a:prstGeom>
                          <a:ln/>
                        </pic:spPr>
                      </pic:pic>
                    </a:graphicData>
                  </a:graphic>
                </wp:inline>
              </w:drawing>
            </w:r>
            <w:r>
              <w:rPr>
                <w:rFonts w:ascii="Google Sans" w:eastAsia="Google Sans" w:hAnsi="Google Sans" w:cs="Google Sans"/>
                <w:color w:val="1F1F1F"/>
              </w:rPr>
              <w:t>), diámetro de ancla (</w:t>
            </w:r>
            <w:r>
              <w:rPr>
                <w:rFonts w:ascii="Google Sans" w:eastAsia="Google Sans" w:hAnsi="Google Sans" w:cs="Google Sans"/>
                <w:noProof/>
                <w:color w:val="1F1F1F"/>
              </w:rPr>
              <w:drawing>
                <wp:inline distT="19050" distB="19050" distL="19050" distR="19050" wp14:anchorId="2F2D4D5F" wp14:editId="77FE0EC0">
                  <wp:extent cx="178263" cy="251666"/>
                  <wp:effectExtent l="0" t="0" r="0" b="0"/>
                  <wp:docPr id="6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178263" cy="251666"/>
                          </a:xfrm>
                          <a:prstGeom prst="rect">
                            <a:avLst/>
                          </a:prstGeom>
                          <a:ln/>
                        </pic:spPr>
                      </pic:pic>
                    </a:graphicData>
                  </a:graphic>
                </wp:inline>
              </w:drawing>
            </w:r>
            <w:r>
              <w:rPr>
                <w:rFonts w:ascii="Google Sans" w:eastAsia="Google Sans" w:hAnsi="Google Sans" w:cs="Google Sans"/>
                <w:color w:val="1F1F1F"/>
              </w:rPr>
              <w:t>), relación de carga axial, profundidad de cimentación, paso de pernos</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8ACC34F"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Las conexiones articuladas poseen una rigidez rotacional significativa que puede sobrecargar la columna; la rigidez es altamente sensible a </w:t>
            </w:r>
            <w:r>
              <w:rPr>
                <w:rFonts w:ascii="Google Sans" w:eastAsia="Google Sans" w:hAnsi="Google Sans" w:cs="Google Sans"/>
                <w:noProof/>
                <w:color w:val="1F1F1F"/>
              </w:rPr>
              <w:drawing>
                <wp:inline distT="19050" distB="19050" distL="19050" distR="19050" wp14:anchorId="6888C266" wp14:editId="6196BD90">
                  <wp:extent cx="131961" cy="230932"/>
                  <wp:effectExtent l="0" t="0" r="0" b="0"/>
                  <wp:docPr id="7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31961" cy="230932"/>
                          </a:xfrm>
                          <a:prstGeom prst="rect">
                            <a:avLst/>
                          </a:prstGeom>
                          <a:ln/>
                        </pic:spPr>
                      </pic:pic>
                    </a:graphicData>
                  </a:graphic>
                </wp:inline>
              </w:drawing>
            </w:r>
            <w:r>
              <w:rPr>
                <w:rFonts w:ascii="Google Sans" w:eastAsia="Google Sans" w:hAnsi="Google Sans" w:cs="Google Sans"/>
                <w:color w:val="1F1F1F"/>
              </w:rPr>
              <w:t xml:space="preserve"> y </w:t>
            </w:r>
            <w:r>
              <w:rPr>
                <w:rFonts w:ascii="Google Sans" w:eastAsia="Google Sans" w:hAnsi="Google Sans" w:cs="Google Sans"/>
                <w:noProof/>
                <w:color w:val="1F1F1F"/>
              </w:rPr>
              <w:drawing>
                <wp:inline distT="19050" distB="19050" distL="19050" distR="19050" wp14:anchorId="6EF3167A" wp14:editId="7EB22600">
                  <wp:extent cx="178263" cy="251666"/>
                  <wp:effectExtent l="0" t="0" r="0" b="0"/>
                  <wp:docPr id="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178263" cy="251666"/>
                          </a:xfrm>
                          <a:prstGeom prst="rect">
                            <a:avLst/>
                          </a:prstGeom>
                          <a:ln/>
                        </pic:spPr>
                      </pic:pic>
                    </a:graphicData>
                  </a:graphic>
                </wp:inline>
              </w:drawing>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6CD87C4"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Provee un marco de referencia para aislar la sensibilidad de la rigidez rotacional ante cambios en el espesor de la placa y diámetros de anclaje</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DE2A6B"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El estudio se calibra bajo el estándar de Nueva Zelanda (NZS 3404), cuyas formulaciones geométricas difieren sustancialmente de las mexicanas</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70E17E7"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Evidencia el vacío de análisis paramétricos enfocados en perfiles IR y placas base diseñadas específicamente bajo el reglamento de la CDMX</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
        </w:tc>
      </w:tr>
      <w:tr w:rsidR="00AB4063" w14:paraId="650CA76F" w14:textId="77777777">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9CB0279"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Gobierno de la Ciudad de México. (2023).</w:t>
            </w:r>
            <w:r>
              <w:rPr>
                <w:rFonts w:ascii="Google Sans" w:eastAsia="Google Sans" w:hAnsi="Google Sans" w:cs="Google Sans"/>
                <w:color w:val="1F1F1F"/>
              </w:rPr>
              <w:t xml:space="preserve"> </w:t>
            </w:r>
            <w:r>
              <w:rPr>
                <w:rFonts w:ascii="Google Sans" w:eastAsia="Google Sans" w:hAnsi="Google Sans" w:cs="Google Sans"/>
                <w:i/>
                <w:iCs/>
                <w:color w:val="1F1F1F"/>
              </w:rPr>
              <w:t>Normas Técnicas Complementarias para Diseño y Construcción de Estructuras de Concreto (NTC-Concreto 2023)</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C2A907C"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Marco regulatorio obligatorio para el diseño y construcción de elementos estructurales de concreto en la CDMX</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7F5A530"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Codificación técnica, incorporando avances experimentales y de diseño sísmico por capacidad</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5CEE880"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Clases de concreto (</w:t>
            </w:r>
            <w:r>
              <w:rPr>
                <w:rFonts w:ascii="Google Sans" w:eastAsia="Google Sans" w:hAnsi="Google Sans" w:cs="Google Sans"/>
                <w:noProof/>
                <w:color w:val="1F1F1F"/>
              </w:rPr>
              <w:drawing>
                <wp:inline distT="19050" distB="19050" distL="19050" distR="19050" wp14:anchorId="1368CC8F" wp14:editId="367C357C">
                  <wp:extent cx="165200" cy="264320"/>
                  <wp:effectExtent l="0" t="0" r="0" b="0"/>
                  <wp:docPr id="7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165200" cy="264320"/>
                          </a:xfrm>
                          <a:prstGeom prst="rect">
                            <a:avLst/>
                          </a:prstGeom>
                          <a:ln/>
                        </pic:spPr>
                      </pic:pic>
                    </a:graphicData>
                  </a:graphic>
                </wp:inline>
              </w:drawing>
            </w:r>
            <w:r>
              <w:rPr>
                <w:rFonts w:ascii="Google Sans" w:eastAsia="Google Sans" w:hAnsi="Google Sans" w:cs="Google Sans"/>
                <w:color w:val="1F1F1F"/>
              </w:rPr>
              <w:t>), detallado de refuerzo, longitudes de desarrollo, anclajes en concreto, confinamiento</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DBA239B"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Introduce formalmente el método CCD y la formulación explícita para evaluar la contribución de los estribos mediante factores de confinamiento</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8F4D87D"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Provee las ecuaciones de diseño vigentes para el cálculo analítico de la resistencia del cono en tensión (</w:t>
            </w:r>
            <w:r>
              <w:rPr>
                <w:rFonts w:ascii="Google Sans" w:eastAsia="Google Sans" w:hAnsi="Google Sans" w:cs="Google Sans"/>
                <w:noProof/>
                <w:color w:val="1F1F1F"/>
              </w:rPr>
              <w:drawing>
                <wp:inline distT="19050" distB="19050" distL="19050" distR="19050" wp14:anchorId="561C9DFA" wp14:editId="22E5680C">
                  <wp:extent cx="208194" cy="262981"/>
                  <wp:effectExtent l="0" t="0" r="0" b="0"/>
                  <wp:docPr id="5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208194" cy="262981"/>
                          </a:xfrm>
                          <a:prstGeom prst="rect">
                            <a:avLst/>
                          </a:prstGeom>
                          <a:ln/>
                        </pic:spPr>
                      </pic:pic>
                    </a:graphicData>
                  </a:graphic>
                </wp:inline>
              </w:drawing>
            </w:r>
            <w:r>
              <w:rPr>
                <w:rFonts w:ascii="Google Sans" w:eastAsia="Google Sans" w:hAnsi="Google Sans" w:cs="Google Sans"/>
                <w:color w:val="1F1F1F"/>
              </w:rPr>
              <w:t>) y cortante (</w:t>
            </w:r>
            <w:r>
              <w:rPr>
                <w:rFonts w:ascii="Google Sans" w:eastAsia="Google Sans" w:hAnsi="Google Sans" w:cs="Google Sans"/>
                <w:noProof/>
                <w:color w:val="1F1F1F"/>
              </w:rPr>
              <w:drawing>
                <wp:inline distT="19050" distB="19050" distL="19050" distR="19050" wp14:anchorId="55D5613C" wp14:editId="76002292">
                  <wp:extent cx="229856" cy="262693"/>
                  <wp:effectExtent l="0" t="0" r="0" b="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229856" cy="26269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421EB75"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Se presenta como un documento normativo prescriptivo; no proporciona análisis de sensibilidad ni curvas paramétricas de aplicación directa</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452BC40"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Justifica plenamente la tesis al demandar una evaluación del impacto real de estas nuevas fórmulas en el dimensionamiento de cimentaciones</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tc>
      </w:tr>
      <w:tr w:rsidR="00AB4063" w14:paraId="37F94154" w14:textId="77777777">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1803267"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Gobierno de la Ciudad de México. (2023).</w:t>
            </w:r>
            <w:r>
              <w:rPr>
                <w:rFonts w:ascii="Google Sans" w:eastAsia="Google Sans" w:hAnsi="Google Sans" w:cs="Google Sans"/>
                <w:color w:val="1F1F1F"/>
              </w:rPr>
              <w:t xml:space="preserve"> </w:t>
            </w:r>
            <w:r>
              <w:rPr>
                <w:rFonts w:ascii="Google Sans" w:eastAsia="Google Sans" w:hAnsi="Google Sans" w:cs="Google Sans"/>
                <w:i/>
                <w:iCs/>
                <w:color w:val="1F1F1F"/>
              </w:rPr>
              <w:t>Normas Técnicas Complementarias para Diseño y Construcción de Estructuras de Acero (NTC-Acero 2023)</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E1A7488"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Marco regulatorio obligatorio para el diseño de estructuras de acero y sus conexiones en la Ciudad de México</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7F55A72"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Codificación técnica alineada con la especificación AISC 360 y los principios de sismorresistencia locales</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A9BCDD7"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Espesor de placa base (</w:t>
            </w:r>
            <w:r>
              <w:rPr>
                <w:rFonts w:ascii="Google Sans" w:eastAsia="Google Sans" w:hAnsi="Google Sans" w:cs="Google Sans"/>
                <w:noProof/>
                <w:color w:val="1F1F1F"/>
              </w:rPr>
              <w:drawing>
                <wp:inline distT="19050" distB="19050" distL="19050" distR="19050" wp14:anchorId="7E3B2AD4" wp14:editId="3EE70785">
                  <wp:extent cx="131961" cy="230932"/>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31961" cy="230932"/>
                          </a:xfrm>
                          <a:prstGeom prst="rect">
                            <a:avLst/>
                          </a:prstGeom>
                          <a:ln/>
                        </pic:spPr>
                      </pic:pic>
                    </a:graphicData>
                  </a:graphic>
                </wp:inline>
              </w:drawing>
            </w:r>
            <w:r>
              <w:rPr>
                <w:rFonts w:ascii="Google Sans" w:eastAsia="Google Sans" w:hAnsi="Google Sans" w:cs="Google Sans"/>
                <w:color w:val="1F1F1F"/>
              </w:rPr>
              <w:t>), resistencia nominal del acero para anclas, transferencia de cortante, soldaduras, diseño por capacidad</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6345F7C"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Regula el dimensionamiento de placas base bajo </w:t>
            </w:r>
            <w:proofErr w:type="spellStart"/>
            <w:r>
              <w:rPr>
                <w:rFonts w:ascii="Google Sans" w:eastAsia="Google Sans" w:hAnsi="Google Sans" w:cs="Google Sans"/>
                <w:color w:val="1F1F1F"/>
              </w:rPr>
              <w:t>flexocompresión</w:t>
            </w:r>
            <w:proofErr w:type="spellEnd"/>
            <w:r>
              <w:rPr>
                <w:rFonts w:ascii="Google Sans" w:eastAsia="Google Sans" w:hAnsi="Google Sans" w:cs="Google Sans"/>
                <w:color w:val="1F1F1F"/>
              </w:rPr>
              <w:t xml:space="preserve"> y limita el uso de mecanismos de transferencia de cortante en zonas sísmicas</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2400299"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Provee los requisitos de resistencia mínima y criterios de diseño por capacidad obligatorios para placas base en el contexto mexicano</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CB0664B"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Carece de estudios de impacto paramétrico que cuantifiquen cómo la interacción con la NTC-Concreto 2023 altera el costo y geometría de las conexiones</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tc>
        <w:tc>
          <w:tcPr>
            <w:tcW w:w="117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6514CB9"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Consolida la relevancia de un análisis paramétrico integral que unifique las variables de acero y concreto bajo los sismos locales de diseño</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tc>
      </w:tr>
    </w:tbl>
    <w:p w14:paraId="704C1179" w14:textId="77777777" w:rsidR="00AB4063" w:rsidRDefault="00000000">
      <w:pPr>
        <w:pStyle w:val="Ttulo3"/>
        <w:spacing w:before="0" w:line="275" w:lineRule="auto"/>
        <w:rPr>
          <w:rFonts w:ascii="Google Sans" w:eastAsia="Google Sans" w:hAnsi="Google Sans" w:cs="Google Sans"/>
          <w:color w:val="1F1F1F"/>
        </w:rPr>
      </w:pPr>
      <w:r>
        <w:rPr>
          <w:rFonts w:ascii="Google Sans" w:eastAsia="Google Sans" w:hAnsi="Google Sans" w:cs="Google Sans"/>
          <w:color w:val="1F1F1F"/>
        </w:rPr>
        <w:t>1.8 Vacío de conocimiento identificado</w:t>
      </w:r>
    </w:p>
    <w:p w14:paraId="3147469E"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pesar de los significativos avances documentados en la caracterización experimental del arrancamiento del concreto</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el comportamiento sísmico de las placas base expuestas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y la modelación computacional de la rigidez rotacional en conexiones columna-cimentación</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la literatura técnica contemporánea presenta un vacío de conocimiento crítico en el contexto de la práctica de la ingeniería civil en México</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w:t>
      </w:r>
    </w:p>
    <w:p w14:paraId="166CF863"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Específicamente, no se localiza en el estado del arte un análisis paramétrico sistemático y comparativo enfocado en cuantificar las divergencias geométricas, mecánicas y económicas que resultan al </w:t>
      </w:r>
      <w:proofErr w:type="spellStart"/>
      <w:r>
        <w:rPr>
          <w:rFonts w:ascii="Google Sans" w:eastAsia="Google Sans" w:hAnsi="Google Sans" w:cs="Google Sans"/>
          <w:color w:val="1F1F1F"/>
        </w:rPr>
        <w:t>transicionar</w:t>
      </w:r>
      <w:proofErr w:type="spellEnd"/>
      <w:r>
        <w:rPr>
          <w:rFonts w:ascii="Google Sans" w:eastAsia="Google Sans" w:hAnsi="Google Sans" w:cs="Google Sans"/>
          <w:color w:val="1F1F1F"/>
        </w:rPr>
        <w:t xml:space="preserve"> del diseño de placas base bajo la normativa NTC-2017 hacia el nuevo marco regulatorio NTC-2023</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Esta deficiencia se acentúa al analizar de manera simultánea el impacto de los nuevos coeficientes de confinamiento transversal por estribos (</w:t>
      </w:r>
      <w:r>
        <w:rPr>
          <w:rFonts w:ascii="Google Sans" w:eastAsia="Google Sans" w:hAnsi="Google Sans" w:cs="Google Sans"/>
          <w:noProof/>
          <w:color w:val="1F1F1F"/>
        </w:rPr>
        <w:drawing>
          <wp:inline distT="19050" distB="19050" distL="19050" distR="19050" wp14:anchorId="40184093" wp14:editId="7D721746">
            <wp:extent cx="272190" cy="251253"/>
            <wp:effectExtent l="0" t="0" r="0" b="0"/>
            <wp:docPr id="3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272190" cy="251253"/>
                    </a:xfrm>
                    <a:prstGeom prst="rect">
                      <a:avLst/>
                    </a:prstGeom>
                    <a:ln/>
                  </pic:spPr>
                </pic:pic>
              </a:graphicData>
            </a:graphic>
          </wp:inline>
        </w:drawing>
      </w:r>
      <w:r>
        <w:rPr>
          <w:rFonts w:ascii="Google Sans" w:eastAsia="Google Sans" w:hAnsi="Google Sans" w:cs="Google Sans"/>
          <w:color w:val="1F1F1F"/>
        </w:rPr>
        <w:t xml:space="preserve"> y </w:t>
      </w:r>
      <w:r>
        <w:rPr>
          <w:rFonts w:ascii="Google Sans" w:eastAsia="Google Sans" w:hAnsi="Google Sans" w:cs="Google Sans"/>
          <w:noProof/>
          <w:color w:val="1F1F1F"/>
        </w:rPr>
        <w:drawing>
          <wp:inline distT="19050" distB="19050" distL="19050" distR="19050" wp14:anchorId="1CF3CA66" wp14:editId="4FA8692B">
            <wp:extent cx="293853" cy="261203"/>
            <wp:effectExtent l="0" t="0" r="0" b="0"/>
            <wp:docPr id="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93853" cy="261203"/>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y las rigurosas restricciones de distancia mínima al borde libre (</w:t>
      </w:r>
      <w:r>
        <w:rPr>
          <w:rFonts w:ascii="Google Sans" w:eastAsia="Google Sans" w:hAnsi="Google Sans" w:cs="Google Sans"/>
          <w:noProof/>
          <w:color w:val="1F1F1F"/>
        </w:rPr>
        <w:drawing>
          <wp:inline distT="19050" distB="19050" distL="19050" distR="19050" wp14:anchorId="0AD786B8" wp14:editId="0957EA22">
            <wp:extent cx="344454" cy="258341"/>
            <wp:effectExtent l="0" t="0" r="0" b="0"/>
            <wp:docPr id="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344454" cy="25834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en condiciones de </w:t>
      </w:r>
      <w:proofErr w:type="spellStart"/>
      <w:r>
        <w:rPr>
          <w:rFonts w:ascii="Google Sans" w:eastAsia="Google Sans" w:hAnsi="Google Sans" w:cs="Google Sans"/>
          <w:color w:val="1F1F1F"/>
        </w:rPr>
        <w:t>flexocompresión</w:t>
      </w:r>
      <w:proofErr w:type="spellEnd"/>
      <w:r>
        <w:rPr>
          <w:rFonts w:ascii="Google Sans" w:eastAsia="Google Sans" w:hAnsi="Google Sans" w:cs="Google Sans"/>
          <w:color w:val="1F1F1F"/>
        </w:rPr>
        <w:t xml:space="preserve"> con gran excentricidad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D81B166"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La mayoría de las investigaciones previas han evaluado de forma aislada el comportamiento del acero de la placa base o la resistencia del bloque de concreto</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 omitiendo la estrecha interdependencia que impone el diseño por capacidad exigido en las NTC-2023</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En la práctica nacional, esto genera una brecha metodológica donde los diseñadores carecen de espectros de sensibilidad paramétrica o de guías técnicas simplificadas que demuestren cómo influye la densidad de estribos en el pedestal de concreto sobre la reducción de la profundidad de empotramiento efectiva (</w:t>
      </w:r>
      <w:r>
        <w:rPr>
          <w:rFonts w:ascii="Google Sans" w:eastAsia="Google Sans" w:hAnsi="Google Sans" w:cs="Google Sans"/>
          <w:noProof/>
          <w:color w:val="1F1F1F"/>
        </w:rPr>
        <w:drawing>
          <wp:inline distT="19050" distB="19050" distL="19050" distR="19050" wp14:anchorId="0CBDD10D" wp14:editId="6909AA20">
            <wp:extent cx="268717" cy="257969"/>
            <wp:effectExtent l="0" t="0" r="0" b="0"/>
            <wp:docPr id="3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268717" cy="257969"/>
                    </a:xfrm>
                    <a:prstGeom prst="rect">
                      <a:avLst/>
                    </a:prstGeom>
                    <a:ln/>
                  </pic:spPr>
                </pic:pic>
              </a:graphicData>
            </a:graphic>
          </wp:inline>
        </w:drawing>
      </w:r>
      <w:r>
        <w:rPr>
          <w:rFonts w:ascii="Google Sans" w:eastAsia="Google Sans" w:hAnsi="Google Sans" w:cs="Google Sans"/>
          <w:color w:val="1F1F1F"/>
        </w:rPr>
        <w:t>) y el diámetro de las anclas (</w:t>
      </w:r>
      <w:r>
        <w:rPr>
          <w:rFonts w:ascii="Google Sans" w:eastAsia="Google Sans" w:hAnsi="Google Sans" w:cs="Google Sans"/>
          <w:noProof/>
          <w:color w:val="1F1F1F"/>
        </w:rPr>
        <w:drawing>
          <wp:inline distT="19050" distB="19050" distL="19050" distR="19050" wp14:anchorId="32D075A0" wp14:editId="023D5977">
            <wp:extent cx="178263" cy="251666"/>
            <wp:effectExtent l="0" t="0" r="0" b="0"/>
            <wp:docPr id="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178263" cy="251666"/>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Por lo tanto, no se ha resuelto de manera cuantitativa el impacto real de la actualización regulatoria de 2023 sobre la seguridad estructural y la factibilidad constructiva de las conexiones columna-cimentación en México</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237F822E" w14:textId="77777777" w:rsidR="00AB4063" w:rsidRDefault="00000000">
      <w:pPr>
        <w:pStyle w:val="Ttulo3"/>
        <w:spacing w:before="0" w:line="275" w:lineRule="auto"/>
        <w:rPr>
          <w:rFonts w:ascii="Google Sans" w:eastAsia="Google Sans" w:hAnsi="Google Sans" w:cs="Google Sans"/>
          <w:color w:val="1F1F1F"/>
        </w:rPr>
      </w:pPr>
      <w:r>
        <w:rPr>
          <w:rFonts w:ascii="Google Sans" w:eastAsia="Google Sans" w:hAnsi="Google Sans" w:cs="Google Sans"/>
          <w:color w:val="1F1F1F"/>
        </w:rPr>
        <w:t>1.9 Aportación específica de esta tesis</w:t>
      </w:r>
    </w:p>
    <w:p w14:paraId="6DB1D661" w14:textId="77777777" w:rsidR="00AB4063"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diferencia de los trabajos experimentales de gran escala o las aproximaciones normativas prescriptivas analizadas en la literatura</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la presente tesis aporta un marco analítico-paramétrico integrado y cuantitativo que resuelve las incertidumbres de diseño generadas por la transición entre las NTC-DCEA 2017 y las NTC-DCEA 2023 en México</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La aportación original de esta investigación se estructura a través de las siguientes contribuciones específicas:</w:t>
      </w:r>
    </w:p>
    <w:p w14:paraId="5A7A45DE" w14:textId="77777777" w:rsidR="00AB4063"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Evaluación y comparación normativa rigurosa NTC-2017 vs NTC-2023</w:t>
      </w:r>
      <w:r>
        <w:rPr>
          <w:rFonts w:ascii="Google Sans" w:eastAsia="Google Sans" w:hAnsi="Google Sans" w:cs="Google Sans"/>
          <w:color w:val="1F1F1F"/>
        </w:rPr>
        <w:t>: Se establece una cuantificación precisa del impacto de los cambios de formulación de la resistencia al cono de concreto en tensión (</w:t>
      </w:r>
      <w:r>
        <w:rPr>
          <w:rFonts w:ascii="Google Sans" w:eastAsia="Google Sans" w:hAnsi="Google Sans" w:cs="Google Sans"/>
          <w:noProof/>
          <w:color w:val="1F1F1F"/>
        </w:rPr>
        <w:drawing>
          <wp:inline distT="19050" distB="19050" distL="19050" distR="19050" wp14:anchorId="069DD1A6" wp14:editId="6F806F3F">
            <wp:extent cx="208194" cy="262981"/>
            <wp:effectExtent l="0" t="0" r="0" b="0"/>
            <wp:docPr id="4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208194" cy="262981"/>
                    </a:xfrm>
                    <a:prstGeom prst="rect">
                      <a:avLst/>
                    </a:prstGeom>
                    <a:ln/>
                  </pic:spPr>
                </pic:pic>
              </a:graphicData>
            </a:graphic>
          </wp:inline>
        </w:drawing>
      </w:r>
      <w:r>
        <w:rPr>
          <w:rFonts w:ascii="Google Sans" w:eastAsia="Google Sans" w:hAnsi="Google Sans" w:cs="Google Sans"/>
          <w:color w:val="1F1F1F"/>
        </w:rPr>
        <w:t>) y cortante (</w:t>
      </w:r>
      <w:r>
        <w:rPr>
          <w:rFonts w:ascii="Google Sans" w:eastAsia="Google Sans" w:hAnsi="Google Sans" w:cs="Google Sans"/>
          <w:noProof/>
          <w:color w:val="1F1F1F"/>
        </w:rPr>
        <w:drawing>
          <wp:inline distT="19050" distB="19050" distL="19050" distR="19050" wp14:anchorId="2D38BF96" wp14:editId="751AA3D9">
            <wp:extent cx="229856" cy="262693"/>
            <wp:effectExtent l="0" t="0" r="0" b="0"/>
            <wp:docPr id="4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229856" cy="262693"/>
                    </a:xfrm>
                    <a:prstGeom prst="rect">
                      <a:avLst/>
                    </a:prstGeom>
                    <a:ln/>
                  </pic:spPr>
                </pic:pic>
              </a:graphicData>
            </a:graphic>
          </wp:inline>
        </w:drawing>
      </w:r>
      <w:r>
        <w:rPr>
          <w:rFonts w:ascii="Google Sans" w:eastAsia="Google Sans" w:hAnsi="Google Sans" w:cs="Google Sans"/>
          <w:color w:val="1F1F1F"/>
        </w:rPr>
        <w:t>), demostrando numéricamente en qué rangos geométricos la norma vigente impone criterios más conservadores y dónde permite optimizaciones estructurales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1FD72E97" w14:textId="77777777" w:rsidR="00AB4063"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 xml:space="preserve">Mapeo analítico paramétrico de los factores de confinamiento </w:t>
      </w:r>
      <w:r>
        <w:rPr>
          <w:rFonts w:ascii="Google Sans" w:eastAsia="Google Sans" w:hAnsi="Google Sans" w:cs="Google Sans"/>
          <w:b/>
          <w:bCs/>
          <w:noProof/>
          <w:color w:val="1F1F1F"/>
        </w:rPr>
        <w:drawing>
          <wp:inline distT="19050" distB="19050" distL="19050" distR="19050" wp14:anchorId="1A0CAB2E" wp14:editId="730FB430">
            <wp:extent cx="272190" cy="251253"/>
            <wp:effectExtent l="0" t="0" r="0" b="0"/>
            <wp:docPr id="2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272190" cy="251253"/>
                    </a:xfrm>
                    <a:prstGeom prst="rect">
                      <a:avLst/>
                    </a:prstGeom>
                    <a:ln/>
                  </pic:spPr>
                </pic:pic>
              </a:graphicData>
            </a:graphic>
          </wp:inline>
        </w:drawing>
      </w:r>
      <w:r>
        <w:rPr>
          <w:rFonts w:ascii="Google Sans" w:eastAsia="Google Sans" w:hAnsi="Google Sans" w:cs="Google Sans"/>
          <w:b/>
          <w:bCs/>
          <w:color w:val="1F1F1F"/>
        </w:rPr>
        <w:t xml:space="preserve"> y </w:t>
      </w:r>
      <w:r>
        <w:rPr>
          <w:rFonts w:ascii="Google Sans" w:eastAsia="Google Sans" w:hAnsi="Google Sans" w:cs="Google Sans"/>
          <w:b/>
          <w:bCs/>
          <w:noProof/>
          <w:color w:val="1F1F1F"/>
        </w:rPr>
        <w:drawing>
          <wp:inline distT="19050" distB="19050" distL="19050" distR="19050" wp14:anchorId="3C808348" wp14:editId="29394616">
            <wp:extent cx="293853" cy="261203"/>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293853" cy="261203"/>
                    </a:xfrm>
                    <a:prstGeom prst="rect">
                      <a:avLst/>
                    </a:prstGeom>
                    <a:ln/>
                  </pic:spPr>
                </pic:pic>
              </a:graphicData>
            </a:graphic>
          </wp:inline>
        </w:drawing>
      </w:r>
      <w:r>
        <w:rPr>
          <w:rFonts w:ascii="Google Sans" w:eastAsia="Google Sans" w:hAnsi="Google Sans" w:cs="Google Sans"/>
          <w:color w:val="1F1F1F"/>
        </w:rPr>
        <w:t>: Se generan por primera vez curvas de sensibilidad que relacionan el espaciamiento de los estribos del pedestal con la ganancia de resistencia al arrancamiento del concreto, permitiendo a los ingenieros estructuristas justificar analíticamente la reducción de la profundidad de empotramiento (</w:t>
      </w:r>
      <w:r>
        <w:rPr>
          <w:rFonts w:ascii="Google Sans" w:eastAsia="Google Sans" w:hAnsi="Google Sans" w:cs="Google Sans"/>
          <w:noProof/>
          <w:color w:val="1F1F1F"/>
        </w:rPr>
        <w:drawing>
          <wp:inline distT="19050" distB="19050" distL="19050" distR="19050" wp14:anchorId="1542872C" wp14:editId="344859E8">
            <wp:extent cx="268717" cy="257969"/>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268717" cy="257969"/>
                    </a:xfrm>
                    <a:prstGeom prst="rect">
                      <a:avLst/>
                    </a:prstGeom>
                    <a:ln/>
                  </pic:spPr>
                </pic:pic>
              </a:graphicData>
            </a:graphic>
          </wp:inline>
        </w:drawing>
      </w:r>
      <w:r>
        <w:rPr>
          <w:rFonts w:ascii="Google Sans" w:eastAsia="Google Sans" w:hAnsi="Google Sans" w:cs="Google Sans"/>
          <w:color w:val="1F1F1F"/>
        </w:rPr>
        <w:t>) de las anclas mediante el incremento controlado del refuerzo transversal del dado</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1D2321A3" w14:textId="77777777" w:rsidR="00AB4063"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Análisis sistemático de la distancia mínima al borde libre (</w:t>
      </w:r>
      <w:r>
        <w:rPr>
          <w:rFonts w:ascii="Google Sans" w:eastAsia="Google Sans" w:hAnsi="Google Sans" w:cs="Google Sans"/>
          <w:b/>
          <w:bCs/>
          <w:noProof/>
          <w:color w:val="1F1F1F"/>
        </w:rPr>
        <w:drawing>
          <wp:inline distT="19050" distB="19050" distL="19050" distR="19050" wp14:anchorId="56ADF897" wp14:editId="6B26947E">
            <wp:extent cx="344454" cy="258341"/>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344454" cy="258341"/>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Se cuantifica la penalización de capacidad que experimentan las conexiones de placa base expuestas al reducirse las dimensiones geométricas del pedestal de concreto, determinando los límites físicos que previenen fallas frágiles por arrancamiento lateral por cortante en bordes libres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67CE2854" w14:textId="77777777" w:rsidR="00AB4063"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Interpretación aplicada a un prototipo estructural estandarizado en México</w:t>
      </w:r>
      <w:r>
        <w:rPr>
          <w:rFonts w:ascii="Google Sans" w:eastAsia="Google Sans" w:hAnsi="Google Sans" w:cs="Google Sans"/>
          <w:color w:val="1F1F1F"/>
        </w:rPr>
        <w:t>: Las variables de análisis paramétrico (</w:t>
      </w:r>
      <w:r>
        <w:rPr>
          <w:rFonts w:ascii="Google Sans" w:eastAsia="Google Sans" w:hAnsi="Google Sans" w:cs="Google Sans"/>
          <w:noProof/>
          <w:color w:val="1F1F1F"/>
        </w:rPr>
        <w:drawing>
          <wp:inline distT="19050" distB="19050" distL="19050" distR="19050" wp14:anchorId="421B853B" wp14:editId="34D31229">
            <wp:extent cx="268717" cy="257969"/>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268717" cy="257969"/>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06C6DB0" wp14:editId="7AB8B4A7">
            <wp:extent cx="178263" cy="251666"/>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178263" cy="25166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AF761F5" wp14:editId="1F75AE13">
            <wp:extent cx="165200" cy="26432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165200" cy="264320"/>
                    </a:xfrm>
                    <a:prstGeom prst="rect">
                      <a:avLst/>
                    </a:prstGeom>
                    <a:ln/>
                  </pic:spPr>
                </pic:pic>
              </a:graphicData>
            </a:graphic>
          </wp:inline>
        </w:drawing>
      </w:r>
      <w:r>
        <w:rPr>
          <w:rFonts w:ascii="Google Sans" w:eastAsia="Google Sans" w:hAnsi="Google Sans" w:cs="Google Sans"/>
          <w:color w:val="1F1F1F"/>
        </w:rPr>
        <w:t xml:space="preserve">, espaciamiento de estribos y distancia al borde) se evalúan sobre una configuración de alta aplicabilidad en la práctica profesional nacional, correspondiente a un perfil estructural IR </w:t>
      </w:r>
      <w:r>
        <w:rPr>
          <w:rFonts w:ascii="Google Sans" w:eastAsia="Google Sans" w:hAnsi="Google Sans" w:cs="Google Sans"/>
          <w:noProof/>
          <w:color w:val="1F1F1F"/>
        </w:rPr>
        <w:drawing>
          <wp:inline distT="19050" distB="19050" distL="19050" distR="19050" wp14:anchorId="00A3DFFB" wp14:editId="29D441D4">
            <wp:extent cx="881725" cy="23371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881725" cy="233710"/>
                    </a:xfrm>
                    <a:prstGeom prst="rect">
                      <a:avLst/>
                    </a:prstGeom>
                    <a:ln/>
                  </pic:spPr>
                </pic:pic>
              </a:graphicData>
            </a:graphic>
          </wp:inline>
        </w:drawing>
      </w:r>
      <w:r>
        <w:rPr>
          <w:rFonts w:ascii="Google Sans" w:eastAsia="Google Sans" w:hAnsi="Google Sans" w:cs="Google Sans"/>
          <w:color w:val="1F1F1F"/>
        </w:rPr>
        <w:t xml:space="preserve"> con una placa base de </w:t>
      </w:r>
      <w:r>
        <w:rPr>
          <w:rFonts w:ascii="Google Sans" w:eastAsia="Google Sans" w:hAnsi="Google Sans" w:cs="Google Sans"/>
          <w:noProof/>
          <w:color w:val="1F1F1F"/>
        </w:rPr>
        <w:drawing>
          <wp:inline distT="19050" distB="19050" distL="19050" distR="19050" wp14:anchorId="4EEE2AD9" wp14:editId="21EE9B17">
            <wp:extent cx="930507" cy="232627"/>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930507" cy="232627"/>
                    </a:xfrm>
                    <a:prstGeom prst="rect">
                      <a:avLst/>
                    </a:prstGeom>
                    <a:ln/>
                  </pic:spPr>
                </pic:pic>
              </a:graphicData>
            </a:graphic>
          </wp:inline>
        </w:drawing>
      </w:r>
      <w:r>
        <w:rPr>
          <w:rFonts w:ascii="Google Sans" w:eastAsia="Google Sans" w:hAnsi="Google Sans" w:cs="Google Sans"/>
          <w:color w:val="1F1F1F"/>
        </w:rPr>
        <w:t xml:space="preserve"> sujeta a </w:t>
      </w:r>
      <w:proofErr w:type="spellStart"/>
      <w:r>
        <w:rPr>
          <w:rFonts w:ascii="Google Sans" w:eastAsia="Google Sans" w:hAnsi="Google Sans" w:cs="Google Sans"/>
          <w:color w:val="1F1F1F"/>
        </w:rPr>
        <w:t>flexocompresión</w:t>
      </w:r>
      <w:proofErr w:type="spellEnd"/>
      <w:r>
        <w:rPr>
          <w:rFonts w:ascii="Google Sans" w:eastAsia="Google Sans" w:hAnsi="Google Sans" w:cs="Google Sans"/>
          <w:color w:val="1F1F1F"/>
        </w:rPr>
        <w:t xml:space="preserve"> con gran excentricidad</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p w14:paraId="6AEE0E9B" w14:textId="77777777" w:rsidR="00AB4063"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Herramienta analítica de optimización para el diseño estructural</w:t>
      </w:r>
      <w:r>
        <w:rPr>
          <w:rFonts w:ascii="Google Sans" w:eastAsia="Google Sans" w:hAnsi="Google Sans" w:cs="Google Sans"/>
          <w:color w:val="1F1F1F"/>
        </w:rPr>
        <w:t>: Se suministra una herramienta analítica basada en las ecuaciones vigentes de las NTC-2023, facilitando la toma de decisiones técnicas de diseño bajo la premisa de equilibrar la alta ductilidad exigida por el diseño sismorresistente por capacidad con la economía de materiales y la viabilidad del colado de concreto en obra</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p w14:paraId="49B34652" w14:textId="77777777" w:rsidR="00AB4063" w:rsidRDefault="00000000">
      <w:pPr>
        <w:pStyle w:val="Ttulo4"/>
        <w:rPr>
          <w:rFonts w:ascii="Google Sans" w:eastAsia="Google Sans" w:hAnsi="Google Sans" w:cs="Google Sans"/>
        </w:rPr>
      </w:pPr>
      <w:r>
        <w:rPr>
          <w:rFonts w:ascii="Google Sans" w:eastAsia="Google Sans" w:hAnsi="Google Sans" w:cs="Google Sans"/>
        </w:rPr>
        <w:t>Obras citadas</w:t>
      </w:r>
    </w:p>
    <w:p w14:paraId="7D9D94EC"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HSS Base Plate </w:t>
      </w: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Axial </w:t>
      </w:r>
      <w:proofErr w:type="spellStart"/>
      <w:r>
        <w:rPr>
          <w:rFonts w:ascii="Google Sans" w:eastAsia="Google Sans" w:hAnsi="Google Sans" w:cs="Google Sans"/>
          <w:sz w:val="24"/>
          <w:szCs w:val="24"/>
        </w:rPr>
        <w:t>Compression</w:t>
      </w:r>
      <w:proofErr w:type="spellEnd"/>
      <w:r>
        <w:rPr>
          <w:rFonts w:ascii="Google Sans" w:eastAsia="Google Sans" w:hAnsi="Google Sans" w:cs="Google Sans"/>
          <w:sz w:val="24"/>
          <w:szCs w:val="24"/>
        </w:rPr>
        <w:t xml:space="preserve"> and Bending Moment - Steel </w:t>
      </w:r>
      <w:proofErr w:type="spellStart"/>
      <w:r>
        <w:rPr>
          <w:rFonts w:ascii="Google Sans" w:eastAsia="Google Sans" w:hAnsi="Google Sans" w:cs="Google Sans"/>
          <w:sz w:val="24"/>
          <w:szCs w:val="24"/>
        </w:rPr>
        <w:t>Tube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Institute</w:t>
      </w:r>
      <w:proofErr w:type="spellEnd"/>
      <w:r>
        <w:rPr>
          <w:rFonts w:ascii="Google Sans" w:eastAsia="Google Sans" w:hAnsi="Google Sans" w:cs="Google Sans"/>
          <w:sz w:val="24"/>
          <w:szCs w:val="24"/>
        </w:rPr>
        <w:t xml:space="preserve">, </w:t>
      </w:r>
      <w:hyperlink r:id="rId42">
        <w:r>
          <w:rPr>
            <w:rFonts w:ascii="Google Sans" w:eastAsia="Google Sans" w:hAnsi="Google Sans" w:cs="Google Sans"/>
            <w:color w:val="0000EE"/>
            <w:sz w:val="24"/>
            <w:szCs w:val="24"/>
            <w:u w:val="single"/>
          </w:rPr>
          <w:t>https://steeltubeinstitute.org/wp-content/uploads/2024/09/HSS-Base-Plate-Design-Axial-Compression-Bending-Moment-092424.pdf</w:t>
        </w:r>
      </w:hyperlink>
    </w:p>
    <w:p w14:paraId="21671979"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Comprehensive </w:t>
      </w:r>
      <w:proofErr w:type="spellStart"/>
      <w:r>
        <w:rPr>
          <w:rFonts w:ascii="Google Sans" w:eastAsia="Google Sans" w:hAnsi="Google Sans" w:cs="Google Sans"/>
          <w:sz w:val="24"/>
          <w:szCs w:val="24"/>
        </w:rPr>
        <w:t>Revision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Considerations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Column</w:t>
      </w:r>
      <w:proofErr w:type="spellEnd"/>
      <w:r>
        <w:rPr>
          <w:rFonts w:ascii="Google Sans" w:eastAsia="Google Sans" w:hAnsi="Google Sans" w:cs="Google Sans"/>
          <w:sz w:val="24"/>
          <w:szCs w:val="24"/>
        </w:rPr>
        <w:t xml:space="preserve"> Base Connections in Steel Moment Frames - AISC, </w:t>
      </w:r>
      <w:hyperlink r:id="rId43">
        <w:r>
          <w:rPr>
            <w:rFonts w:ascii="Google Sans" w:eastAsia="Google Sans" w:hAnsi="Google Sans" w:cs="Google Sans"/>
            <w:color w:val="0000EE"/>
            <w:sz w:val="24"/>
            <w:szCs w:val="24"/>
            <w:u w:val="single"/>
          </w:rPr>
          <w:t>https://www.aisc.org/media/1x2bmccf/aisc-lrr-2022-01_kanvinde_column-bases.pdf</w:t>
        </w:r>
      </w:hyperlink>
    </w:p>
    <w:p w14:paraId="0B48F4A0"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steel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column</w:t>
      </w:r>
      <w:proofErr w:type="spellEnd"/>
      <w:r>
        <w:rPr>
          <w:rFonts w:ascii="Google Sans" w:eastAsia="Google Sans" w:hAnsi="Google Sans" w:cs="Google Sans"/>
          <w:sz w:val="24"/>
          <w:szCs w:val="24"/>
        </w:rPr>
        <w:t xml:space="preserve"> base </w:t>
      </w:r>
      <w:proofErr w:type="spellStart"/>
      <w:r>
        <w:rPr>
          <w:rFonts w:ascii="Google Sans" w:eastAsia="Google Sans" w:hAnsi="Google Sans" w:cs="Google Sans"/>
          <w:sz w:val="24"/>
          <w:szCs w:val="24"/>
        </w:rPr>
        <w:t>connections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large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eccentricities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SciSpace</w:t>
      </w:r>
      <w:proofErr w:type="spellEnd"/>
      <w:r>
        <w:rPr>
          <w:rFonts w:ascii="Google Sans" w:eastAsia="Google Sans" w:hAnsi="Google Sans" w:cs="Google Sans"/>
          <w:sz w:val="24"/>
          <w:szCs w:val="24"/>
        </w:rPr>
        <w:t xml:space="preserve">, </w:t>
      </w:r>
      <w:hyperlink r:id="rId44">
        <w:r>
          <w:rPr>
            <w:rFonts w:ascii="Google Sans" w:eastAsia="Google Sans" w:hAnsi="Google Sans" w:cs="Google Sans"/>
            <w:color w:val="0000EE"/>
            <w:sz w:val="24"/>
            <w:szCs w:val="24"/>
            <w:u w:val="single"/>
          </w:rPr>
          <w:t>https://scispace.com/pdf/design-of-steel-column-base-connections-for-large-3ugfqmhfbq.pdf</w:t>
        </w:r>
      </w:hyperlink>
    </w:p>
    <w:p w14:paraId="08DD6469"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Base de placa para soporte de columna de acero con anclas ahogadas a cimentación y tuercas de </w:t>
      </w:r>
      <w:proofErr w:type="spellStart"/>
      <w:r>
        <w:rPr>
          <w:rFonts w:ascii="Google Sans" w:eastAsia="Google Sans" w:hAnsi="Google Sans" w:cs="Google Sans"/>
          <w:sz w:val="24"/>
          <w:szCs w:val="24"/>
        </w:rPr>
        <w:t>sujección</w:t>
      </w:r>
      <w:proofErr w:type="spellEnd"/>
      <w:r>
        <w:rPr>
          <w:rFonts w:ascii="Google Sans" w:eastAsia="Google Sans" w:hAnsi="Google Sans" w:cs="Google Sans"/>
          <w:sz w:val="24"/>
          <w:szCs w:val="24"/>
        </w:rPr>
        <w:t xml:space="preserve">. Incluye - Análisis de precios unitarios, </w:t>
      </w:r>
      <w:hyperlink r:id="rId45">
        <w:r>
          <w:rPr>
            <w:rFonts w:ascii="Google Sans" w:eastAsia="Google Sans" w:hAnsi="Google Sans" w:cs="Google Sans"/>
            <w:color w:val="0000EE"/>
            <w:sz w:val="24"/>
            <w:szCs w:val="24"/>
            <w:u w:val="single"/>
          </w:rPr>
          <w:t>https://analisisdepreciosunitarios.com/construccion-24732</w:t>
        </w:r>
      </w:hyperlink>
    </w:p>
    <w:p w14:paraId="3061D228"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Diseño de Placas Base y Anclajes Estructurales | PDF | Rigidez | Hormigón - Scribd, </w:t>
      </w:r>
      <w:hyperlink r:id="rId46">
        <w:r>
          <w:rPr>
            <w:rFonts w:ascii="Google Sans" w:eastAsia="Google Sans" w:hAnsi="Google Sans" w:cs="Google Sans"/>
            <w:color w:val="0000EE"/>
            <w:sz w:val="24"/>
            <w:szCs w:val="24"/>
            <w:u w:val="single"/>
          </w:rPr>
          <w:t>https://es.scribd.com/document/873947395/2-Julio-2024-Placas-Base-y-Anclajes</w:t>
        </w:r>
      </w:hyperlink>
    </w:p>
    <w:p w14:paraId="33C82358"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NTC 2023: Diseño de Estructuras de Acero | PDF | Pandeo - Scribd, </w:t>
      </w:r>
      <w:hyperlink r:id="rId47">
        <w:r>
          <w:rPr>
            <w:rFonts w:ascii="Google Sans" w:eastAsia="Google Sans" w:hAnsi="Google Sans" w:cs="Google Sans"/>
            <w:color w:val="0000EE"/>
            <w:sz w:val="24"/>
            <w:szCs w:val="24"/>
            <w:u w:val="single"/>
          </w:rPr>
          <w:t>https://es.scribd.com/document/699910119/Ntc-Cdmx-2023-Acero</w:t>
        </w:r>
      </w:hyperlink>
    </w:p>
    <w:p w14:paraId="2000C681"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Concrete </w:t>
      </w:r>
      <w:proofErr w:type="spellStart"/>
      <w:r>
        <w:rPr>
          <w:rFonts w:ascii="Google Sans" w:eastAsia="Google Sans" w:hAnsi="Google Sans" w:cs="Google Sans"/>
          <w:sz w:val="24"/>
          <w:szCs w:val="24"/>
        </w:rPr>
        <w:t>Capacity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(CCD) </w:t>
      </w:r>
      <w:proofErr w:type="spellStart"/>
      <w:r>
        <w:rPr>
          <w:rFonts w:ascii="Google Sans" w:eastAsia="Google Sans" w:hAnsi="Google Sans" w:cs="Google Sans"/>
          <w:sz w:val="24"/>
          <w:szCs w:val="24"/>
        </w:rPr>
        <w:t>Approach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Fastening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Concrete - American Concrete </w:t>
      </w:r>
      <w:proofErr w:type="spellStart"/>
      <w:r>
        <w:rPr>
          <w:rFonts w:ascii="Google Sans" w:eastAsia="Google Sans" w:hAnsi="Google Sans" w:cs="Google Sans"/>
          <w:sz w:val="24"/>
          <w:szCs w:val="24"/>
        </w:rPr>
        <w:t>Institute</w:t>
      </w:r>
      <w:proofErr w:type="spellEnd"/>
      <w:r>
        <w:rPr>
          <w:rFonts w:ascii="Google Sans" w:eastAsia="Google Sans" w:hAnsi="Google Sans" w:cs="Google Sans"/>
          <w:sz w:val="24"/>
          <w:szCs w:val="24"/>
        </w:rPr>
        <w:t xml:space="preserve">, </w:t>
      </w:r>
      <w:hyperlink r:id="rId48">
        <w:r>
          <w:rPr>
            <w:rFonts w:ascii="Google Sans" w:eastAsia="Google Sans" w:hAnsi="Google Sans" w:cs="Google Sans"/>
            <w:color w:val="0000EE"/>
            <w:sz w:val="24"/>
            <w:szCs w:val="24"/>
            <w:u w:val="single"/>
          </w:rPr>
          <w:t>https://www.concrete.org/publications/internationalconcreteabstractsportal.aspx?m=details&amp;id=1533</w:t>
        </w:r>
      </w:hyperlink>
    </w:p>
    <w:p w14:paraId="58CC0D0B"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Guide 01- Base Plate and Anchor Rod Design (2nd </w:t>
      </w:r>
      <w:proofErr w:type="spellStart"/>
      <w:r>
        <w:rPr>
          <w:rFonts w:ascii="Google Sans" w:eastAsia="Google Sans" w:hAnsi="Google Sans" w:cs="Google Sans"/>
          <w:sz w:val="24"/>
          <w:szCs w:val="24"/>
        </w:rPr>
        <w:t>Edition</w:t>
      </w:r>
      <w:proofErr w:type="spellEnd"/>
      <w:r>
        <w:rPr>
          <w:rFonts w:ascii="Google Sans" w:eastAsia="Google Sans" w:hAnsi="Google Sans" w:cs="Google Sans"/>
          <w:sz w:val="24"/>
          <w:szCs w:val="24"/>
        </w:rPr>
        <w:t>).</w:t>
      </w:r>
      <w:proofErr w:type="spellStart"/>
      <w:r>
        <w:rPr>
          <w:rFonts w:ascii="Google Sans" w:eastAsia="Google Sans" w:hAnsi="Google Sans" w:cs="Google Sans"/>
          <w:sz w:val="24"/>
          <w:szCs w:val="24"/>
        </w:rPr>
        <w:t>pdf</w:t>
      </w:r>
      <w:proofErr w:type="spellEnd"/>
      <w:r>
        <w:rPr>
          <w:rFonts w:ascii="Google Sans" w:eastAsia="Google Sans" w:hAnsi="Google Sans" w:cs="Google Sans"/>
          <w:sz w:val="24"/>
          <w:szCs w:val="24"/>
        </w:rPr>
        <w:t xml:space="preserve">, </w:t>
      </w:r>
      <w:hyperlink r:id="rId49">
        <w:r>
          <w:rPr>
            <w:rFonts w:ascii="Google Sans" w:eastAsia="Google Sans" w:hAnsi="Google Sans" w:cs="Google Sans"/>
            <w:color w:val="0000EE"/>
            <w:sz w:val="24"/>
            <w:szCs w:val="24"/>
            <w:u w:val="single"/>
          </w:rPr>
          <w:t>https://www.slideshare.net/slideshow/design-guide-01-base-plate-and-anchor-rod-design-2nd-editionpdf/258506664</w:t>
        </w:r>
      </w:hyperlink>
    </w:p>
    <w:p w14:paraId="271D3218"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Rehabilitación </w:t>
      </w:r>
      <w:proofErr w:type="spellStart"/>
      <w:r>
        <w:rPr>
          <w:rFonts w:ascii="Google Sans" w:eastAsia="Google Sans" w:hAnsi="Google Sans" w:cs="Google Sans"/>
          <w:sz w:val="24"/>
          <w:szCs w:val="24"/>
        </w:rPr>
        <w:t>distorsional</w:t>
      </w:r>
      <w:proofErr w:type="spellEnd"/>
      <w:r>
        <w:rPr>
          <w:rFonts w:ascii="Google Sans" w:eastAsia="Google Sans" w:hAnsi="Google Sans" w:cs="Google Sans"/>
          <w:sz w:val="24"/>
          <w:szCs w:val="24"/>
        </w:rPr>
        <w:t xml:space="preserve"> virtual mediante trabes compuestas y de contacto de un edificio de concreto reforzado basado en pruebas mixtas - SciELO México, </w:t>
      </w:r>
      <w:hyperlink r:id="rId50">
        <w:r>
          <w:rPr>
            <w:rFonts w:ascii="Google Sans" w:eastAsia="Google Sans" w:hAnsi="Google Sans" w:cs="Google Sans"/>
            <w:color w:val="0000EE"/>
            <w:sz w:val="24"/>
            <w:szCs w:val="24"/>
            <w:u w:val="single"/>
          </w:rPr>
          <w:t>https://www.scielo.org.mx/article_plus.php?pid=S2007-68352025000300348&amp;tlng=es&amp;lng=es</w:t>
        </w:r>
      </w:hyperlink>
    </w:p>
    <w:p w14:paraId="2617870E"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Seismic</w:t>
      </w:r>
      <w:proofErr w:type="spellEnd"/>
      <w:r>
        <w:rPr>
          <w:rFonts w:ascii="Google Sans" w:eastAsia="Google Sans" w:hAnsi="Google Sans" w:cs="Google Sans"/>
          <w:sz w:val="24"/>
          <w:szCs w:val="24"/>
        </w:rPr>
        <w:t xml:space="preserve"> Performance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Exposed </w:t>
      </w:r>
      <w:proofErr w:type="spellStart"/>
      <w:r>
        <w:rPr>
          <w:rFonts w:ascii="Google Sans" w:eastAsia="Google Sans" w:hAnsi="Google Sans" w:cs="Google Sans"/>
          <w:sz w:val="24"/>
          <w:szCs w:val="24"/>
        </w:rPr>
        <w:t>Column</w:t>
      </w:r>
      <w:proofErr w:type="spellEnd"/>
      <w:r>
        <w:rPr>
          <w:rFonts w:ascii="Google Sans" w:eastAsia="Google Sans" w:hAnsi="Google Sans" w:cs="Google Sans"/>
          <w:sz w:val="24"/>
          <w:szCs w:val="24"/>
        </w:rPr>
        <w:t xml:space="preserve">–Base Plate Connections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Ductile</w:t>
      </w:r>
      <w:proofErr w:type="spellEnd"/>
      <w:r>
        <w:rPr>
          <w:rFonts w:ascii="Google Sans" w:eastAsia="Google Sans" w:hAnsi="Google Sans" w:cs="Google Sans"/>
          <w:sz w:val="24"/>
          <w:szCs w:val="24"/>
        </w:rPr>
        <w:t xml:space="preserve"> Anchor Rods | </w:t>
      </w:r>
      <w:proofErr w:type="spellStart"/>
      <w:r>
        <w:rPr>
          <w:rFonts w:ascii="Google Sans" w:eastAsia="Google Sans" w:hAnsi="Google Sans" w:cs="Google Sans"/>
          <w:sz w:val="24"/>
          <w:szCs w:val="24"/>
        </w:rPr>
        <w:t>Journal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Structural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Engineering</w:t>
      </w:r>
      <w:proofErr w:type="spellEnd"/>
      <w:r>
        <w:rPr>
          <w:rFonts w:ascii="Google Sans" w:eastAsia="Google Sans" w:hAnsi="Google Sans" w:cs="Google Sans"/>
          <w:sz w:val="24"/>
          <w:szCs w:val="24"/>
        </w:rPr>
        <w:t xml:space="preserve"> | Vol 148, No 5 - ASCE Library, </w:t>
      </w:r>
      <w:hyperlink r:id="rId51">
        <w:r>
          <w:rPr>
            <w:rFonts w:ascii="Google Sans" w:eastAsia="Google Sans" w:hAnsi="Google Sans" w:cs="Google Sans"/>
            <w:color w:val="0000EE"/>
            <w:sz w:val="24"/>
            <w:szCs w:val="24"/>
            <w:u w:val="single"/>
          </w:rPr>
          <w:t>https://ascelibrary.com/doi/abs/10.1061/%28ASCE%29ST.1943-541X.0003298</w:t>
        </w:r>
      </w:hyperlink>
    </w:p>
    <w:p w14:paraId="6FA4F0BC"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Evaluation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pinned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column</w:t>
      </w:r>
      <w:proofErr w:type="spellEnd"/>
      <w:r>
        <w:rPr>
          <w:rFonts w:ascii="Google Sans" w:eastAsia="Google Sans" w:hAnsi="Google Sans" w:cs="Google Sans"/>
          <w:sz w:val="24"/>
          <w:szCs w:val="24"/>
        </w:rPr>
        <w:t xml:space="preserve"> base-</w:t>
      </w:r>
      <w:proofErr w:type="spellStart"/>
      <w:r>
        <w:rPr>
          <w:rFonts w:ascii="Google Sans" w:eastAsia="Google Sans" w:hAnsi="Google Sans" w:cs="Google Sans"/>
          <w:sz w:val="24"/>
          <w:szCs w:val="24"/>
        </w:rPr>
        <w:t>plate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connections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low-rise</w:t>
      </w:r>
      <w:proofErr w:type="spellEnd"/>
      <w:r>
        <w:rPr>
          <w:rFonts w:ascii="Google Sans" w:eastAsia="Google Sans" w:hAnsi="Google Sans" w:cs="Google Sans"/>
          <w:sz w:val="24"/>
          <w:szCs w:val="24"/>
        </w:rPr>
        <w:t xml:space="preserve"> metal </w:t>
      </w:r>
      <w:proofErr w:type="spellStart"/>
      <w:r>
        <w:rPr>
          <w:rFonts w:ascii="Google Sans" w:eastAsia="Google Sans" w:hAnsi="Google Sans" w:cs="Google Sans"/>
          <w:sz w:val="24"/>
          <w:szCs w:val="24"/>
        </w:rPr>
        <w:t>buildings</w:t>
      </w:r>
      <w:proofErr w:type="spellEnd"/>
      <w:r>
        <w:rPr>
          <w:rFonts w:ascii="Google Sans" w:eastAsia="Google Sans" w:hAnsi="Google Sans" w:cs="Google Sans"/>
          <w:sz w:val="24"/>
          <w:szCs w:val="24"/>
        </w:rPr>
        <w:t xml:space="preserve">, </w:t>
      </w:r>
      <w:hyperlink r:id="rId52">
        <w:r>
          <w:rPr>
            <w:rFonts w:ascii="Google Sans" w:eastAsia="Google Sans" w:hAnsi="Google Sans" w:cs="Google Sans"/>
            <w:color w:val="0000EE"/>
            <w:sz w:val="24"/>
            <w:szCs w:val="24"/>
            <w:u w:val="single"/>
          </w:rPr>
          <w:t>https://d-nb.info/137111613X/34</w:t>
        </w:r>
      </w:hyperlink>
    </w:p>
    <w:p w14:paraId="25B45588"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Diseño de placas base según AISC en RFEM 6 - </w:t>
      </w:r>
      <w:proofErr w:type="spellStart"/>
      <w:r>
        <w:rPr>
          <w:rFonts w:ascii="Google Sans" w:eastAsia="Google Sans" w:hAnsi="Google Sans" w:cs="Google Sans"/>
          <w:sz w:val="24"/>
          <w:szCs w:val="24"/>
        </w:rPr>
        <w:t>Dlubal</w:t>
      </w:r>
      <w:proofErr w:type="spellEnd"/>
      <w:r>
        <w:rPr>
          <w:rFonts w:ascii="Google Sans" w:eastAsia="Google Sans" w:hAnsi="Google Sans" w:cs="Google Sans"/>
          <w:sz w:val="24"/>
          <w:szCs w:val="24"/>
        </w:rPr>
        <w:t xml:space="preserve">, </w:t>
      </w:r>
      <w:hyperlink r:id="rId53">
        <w:r>
          <w:rPr>
            <w:rFonts w:ascii="Google Sans" w:eastAsia="Google Sans" w:hAnsi="Google Sans" w:cs="Google Sans"/>
            <w:color w:val="0000EE"/>
            <w:sz w:val="24"/>
            <w:szCs w:val="24"/>
            <w:u w:val="single"/>
          </w:rPr>
          <w:t>https://www.dlubal.com/es/soporte-y-formacion/soporte/base-de-conocimientos/001916</w:t>
        </w:r>
      </w:hyperlink>
    </w:p>
    <w:p w14:paraId="1242185A"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AISC </w:t>
      </w: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Guide 1 - </w:t>
      </w:r>
      <w:proofErr w:type="spellStart"/>
      <w:r>
        <w:rPr>
          <w:rFonts w:ascii="Google Sans" w:eastAsia="Google Sans" w:hAnsi="Google Sans" w:cs="Google Sans"/>
          <w:sz w:val="24"/>
          <w:szCs w:val="24"/>
        </w:rPr>
        <w:t>Column</w:t>
      </w:r>
      <w:proofErr w:type="spellEnd"/>
      <w:r>
        <w:rPr>
          <w:rFonts w:ascii="Google Sans" w:eastAsia="Google Sans" w:hAnsi="Google Sans" w:cs="Google Sans"/>
          <w:sz w:val="24"/>
          <w:szCs w:val="24"/>
        </w:rPr>
        <w:t xml:space="preserve"> Base </w:t>
      </w:r>
      <w:proofErr w:type="spellStart"/>
      <w:r>
        <w:rPr>
          <w:rFonts w:ascii="Google Sans" w:eastAsia="Google Sans" w:hAnsi="Google Sans" w:cs="Google Sans"/>
          <w:sz w:val="24"/>
          <w:szCs w:val="24"/>
        </w:rPr>
        <w:t>Plates</w:t>
      </w:r>
      <w:proofErr w:type="spellEnd"/>
      <w:r>
        <w:rPr>
          <w:rFonts w:ascii="Google Sans" w:eastAsia="Google Sans" w:hAnsi="Google Sans" w:cs="Google Sans"/>
          <w:sz w:val="24"/>
          <w:szCs w:val="24"/>
        </w:rPr>
        <w:t xml:space="preserve"> - 2nd </w:t>
      </w:r>
      <w:proofErr w:type="spellStart"/>
      <w:r>
        <w:rPr>
          <w:rFonts w:ascii="Google Sans" w:eastAsia="Google Sans" w:hAnsi="Google Sans" w:cs="Google Sans"/>
          <w:sz w:val="24"/>
          <w:szCs w:val="24"/>
        </w:rPr>
        <w:t>Edition</w:t>
      </w:r>
      <w:proofErr w:type="spellEnd"/>
      <w:r>
        <w:rPr>
          <w:rFonts w:ascii="Google Sans" w:eastAsia="Google Sans" w:hAnsi="Google Sans" w:cs="Google Sans"/>
          <w:sz w:val="24"/>
          <w:szCs w:val="24"/>
        </w:rPr>
        <w:t xml:space="preserve"> | PDF - Scribd, </w:t>
      </w:r>
      <w:hyperlink r:id="rId54">
        <w:r>
          <w:rPr>
            <w:rFonts w:ascii="Google Sans" w:eastAsia="Google Sans" w:hAnsi="Google Sans" w:cs="Google Sans"/>
            <w:color w:val="0000EE"/>
            <w:sz w:val="24"/>
            <w:szCs w:val="24"/>
            <w:u w:val="single"/>
          </w:rPr>
          <w:t>https://www.scribd.com/document/1004488289/AISC-Design-Guide-1-Column-Base-Plates-2nd-Edition-1</w:t>
        </w:r>
      </w:hyperlink>
    </w:p>
    <w:p w14:paraId="0CACF549"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7.2. Base </w:t>
      </w:r>
      <w:proofErr w:type="spellStart"/>
      <w:r>
        <w:rPr>
          <w:rFonts w:ascii="Google Sans" w:eastAsia="Google Sans" w:hAnsi="Google Sans" w:cs="Google Sans"/>
          <w:sz w:val="24"/>
          <w:szCs w:val="24"/>
        </w:rPr>
        <w:t>Plates</w:t>
      </w:r>
      <w:proofErr w:type="spellEnd"/>
      <w:r>
        <w:rPr>
          <w:rFonts w:ascii="Google Sans" w:eastAsia="Google Sans" w:hAnsi="Google Sans" w:cs="Google Sans"/>
          <w:sz w:val="24"/>
          <w:szCs w:val="24"/>
        </w:rPr>
        <w:t xml:space="preserve"> - AISC, </w:t>
      </w:r>
      <w:hyperlink r:id="rId55">
        <w:r>
          <w:rPr>
            <w:rFonts w:ascii="Google Sans" w:eastAsia="Google Sans" w:hAnsi="Google Sans" w:cs="Google Sans"/>
            <w:color w:val="0000EE"/>
            <w:sz w:val="24"/>
            <w:szCs w:val="24"/>
            <w:u w:val="single"/>
          </w:rPr>
          <w:t>https://www.aisc.org/aisc/solutions-center/engineering-faqs/72-base-plates/</w:t>
        </w:r>
      </w:hyperlink>
    </w:p>
    <w:p w14:paraId="624ABB06"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Diseño de Placas Base en Estructuras de Acero | PDF | Doblar | Hormigón - Scribd, </w:t>
      </w:r>
      <w:hyperlink r:id="rId56">
        <w:r>
          <w:rPr>
            <w:rFonts w:ascii="Google Sans" w:eastAsia="Google Sans" w:hAnsi="Google Sans" w:cs="Google Sans"/>
            <w:color w:val="0000EE"/>
            <w:sz w:val="24"/>
            <w:szCs w:val="24"/>
            <w:u w:val="single"/>
          </w:rPr>
          <w:t>https://es.scribd.com/document/458297221/DISENO-PLACAS-BASE-NTC-DCEA-2017</w:t>
        </w:r>
      </w:hyperlink>
    </w:p>
    <w:p w14:paraId="67F5B649"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Diseño de placa base </w:t>
      </w:r>
      <w:proofErr w:type="spellStart"/>
      <w:r>
        <w:rPr>
          <w:rFonts w:ascii="Google Sans" w:eastAsia="Google Sans" w:hAnsi="Google Sans" w:cs="Google Sans"/>
          <w:sz w:val="24"/>
          <w:szCs w:val="24"/>
        </w:rPr>
        <w:t>seccion</w:t>
      </w:r>
      <w:proofErr w:type="spellEnd"/>
      <w:r>
        <w:rPr>
          <w:rFonts w:ascii="Google Sans" w:eastAsia="Google Sans" w:hAnsi="Google Sans" w:cs="Google Sans"/>
          <w:sz w:val="24"/>
          <w:szCs w:val="24"/>
        </w:rPr>
        <w:t xml:space="preserve"> W para momentos pequeños - AISC 360-22 - YouTube, </w:t>
      </w:r>
      <w:hyperlink r:id="rId57">
        <w:r>
          <w:rPr>
            <w:rFonts w:ascii="Google Sans" w:eastAsia="Google Sans" w:hAnsi="Google Sans" w:cs="Google Sans"/>
            <w:color w:val="0000EE"/>
            <w:sz w:val="24"/>
            <w:szCs w:val="24"/>
            <w:u w:val="single"/>
          </w:rPr>
          <w:t>https://www.youtube.com/watch?v=K2DtR2ho4DI</w:t>
        </w:r>
      </w:hyperlink>
    </w:p>
    <w:p w14:paraId="585EF7F1"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CONCRETE CAPACITY DESIGN (CCD) APPROACH FOR FASTENING TO CONCRETE, </w:t>
      </w:r>
      <w:hyperlink r:id="rId58">
        <w:r>
          <w:rPr>
            <w:rFonts w:ascii="Google Sans" w:eastAsia="Google Sans" w:hAnsi="Google Sans" w:cs="Google Sans"/>
            <w:color w:val="0000EE"/>
            <w:sz w:val="24"/>
            <w:szCs w:val="24"/>
            <w:u w:val="single"/>
          </w:rPr>
          <w:t>https://www.semanticscholar.org/paper/CONCRETE-CAPACITY-DESIGN-(CCD)-APPROACH-FOR-TO-Fuchs-Eligehausen/1f65ea7a3a02dbe9e51a7b211920d4eb4ca0af57</w:t>
        </w:r>
      </w:hyperlink>
    </w:p>
    <w:p w14:paraId="4E5AC832"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Concrete </w:t>
      </w:r>
      <w:proofErr w:type="spellStart"/>
      <w:r>
        <w:rPr>
          <w:rFonts w:ascii="Google Sans" w:eastAsia="Google Sans" w:hAnsi="Google Sans" w:cs="Google Sans"/>
          <w:sz w:val="24"/>
          <w:szCs w:val="24"/>
        </w:rPr>
        <w:t>Capacity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(CCD) </w:t>
      </w:r>
      <w:proofErr w:type="spellStart"/>
      <w:r>
        <w:rPr>
          <w:rFonts w:ascii="Google Sans" w:eastAsia="Google Sans" w:hAnsi="Google Sans" w:cs="Google Sans"/>
          <w:sz w:val="24"/>
          <w:szCs w:val="24"/>
        </w:rPr>
        <w:t>Approach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Fastening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Concrete, </w:t>
      </w:r>
      <w:hyperlink r:id="rId59">
        <w:r>
          <w:rPr>
            <w:rFonts w:ascii="Google Sans" w:eastAsia="Google Sans" w:hAnsi="Google Sans" w:cs="Google Sans"/>
            <w:color w:val="0000EE"/>
            <w:sz w:val="24"/>
            <w:szCs w:val="24"/>
            <w:u w:val="single"/>
          </w:rPr>
          <w:t>https://www.concrete.org/publications/internationalconcreteabstractsportal/m/details/id/16850</w:t>
        </w:r>
      </w:hyperlink>
    </w:p>
    <w:p w14:paraId="0BBEF25F"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349.2R-07 Guide </w:t>
      </w:r>
      <w:proofErr w:type="spellStart"/>
      <w:r>
        <w:rPr>
          <w:rFonts w:ascii="Google Sans" w:eastAsia="Google Sans" w:hAnsi="Google Sans" w:cs="Google Sans"/>
          <w:sz w:val="24"/>
          <w:szCs w:val="24"/>
        </w:rPr>
        <w:t>to</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the</w:t>
      </w:r>
      <w:proofErr w:type="spellEnd"/>
      <w:r>
        <w:rPr>
          <w:rFonts w:ascii="Google Sans" w:eastAsia="Google Sans" w:hAnsi="Google Sans" w:cs="Google Sans"/>
          <w:sz w:val="24"/>
          <w:szCs w:val="24"/>
        </w:rPr>
        <w:t xml:space="preserve"> Concrete </w:t>
      </w:r>
      <w:proofErr w:type="spellStart"/>
      <w:r>
        <w:rPr>
          <w:rFonts w:ascii="Google Sans" w:eastAsia="Google Sans" w:hAnsi="Google Sans" w:cs="Google Sans"/>
          <w:sz w:val="24"/>
          <w:szCs w:val="24"/>
        </w:rPr>
        <w:t>Capacity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(CCD) Method—</w:t>
      </w:r>
      <w:proofErr w:type="spellStart"/>
      <w:r>
        <w:rPr>
          <w:rFonts w:ascii="Google Sans" w:eastAsia="Google Sans" w:hAnsi="Google Sans" w:cs="Google Sans"/>
          <w:sz w:val="24"/>
          <w:szCs w:val="24"/>
        </w:rPr>
        <w:t>Embedment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Examples</w:t>
      </w:r>
      <w:proofErr w:type="spellEnd"/>
      <w:r>
        <w:rPr>
          <w:rFonts w:ascii="Google Sans" w:eastAsia="Google Sans" w:hAnsi="Google Sans" w:cs="Google Sans"/>
          <w:sz w:val="24"/>
          <w:szCs w:val="24"/>
        </w:rPr>
        <w:t xml:space="preserve">, </w:t>
      </w:r>
      <w:hyperlink r:id="rId60">
        <w:r>
          <w:rPr>
            <w:rFonts w:ascii="Google Sans" w:eastAsia="Google Sans" w:hAnsi="Google Sans" w:cs="Google Sans"/>
            <w:color w:val="0000EE"/>
            <w:sz w:val="24"/>
            <w:szCs w:val="24"/>
            <w:u w:val="single"/>
          </w:rPr>
          <w:t>http://ndl.ethernet.edu.et/bitstream/123456789/39923/1/128.pdf</w:t>
        </w:r>
      </w:hyperlink>
    </w:p>
    <w:p w14:paraId="3764CF93"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Estudio de la resistencia a tracción en anclajes estructurales </w:t>
      </w:r>
      <w:proofErr w:type="spellStart"/>
      <w:r>
        <w:rPr>
          <w:rFonts w:ascii="Google Sans" w:eastAsia="Google Sans" w:hAnsi="Google Sans" w:cs="Google Sans"/>
          <w:sz w:val="24"/>
          <w:szCs w:val="24"/>
        </w:rPr>
        <w:t>posinstalados</w:t>
      </w:r>
      <w:proofErr w:type="spellEnd"/>
      <w:r>
        <w:rPr>
          <w:rFonts w:ascii="Google Sans" w:eastAsia="Google Sans" w:hAnsi="Google Sans" w:cs="Google Sans"/>
          <w:sz w:val="24"/>
          <w:szCs w:val="24"/>
        </w:rPr>
        <w:t xml:space="preserve"> con adhesivo </w:t>
      </w:r>
      <w:proofErr w:type="spellStart"/>
      <w:r>
        <w:rPr>
          <w:rFonts w:ascii="Google Sans" w:eastAsia="Google Sans" w:hAnsi="Google Sans" w:cs="Google Sans"/>
          <w:sz w:val="24"/>
          <w:szCs w:val="24"/>
        </w:rPr>
        <w:t>epóxico</w:t>
      </w:r>
      <w:proofErr w:type="spellEnd"/>
      <w:r>
        <w:rPr>
          <w:rFonts w:ascii="Google Sans" w:eastAsia="Google Sans" w:hAnsi="Google Sans" w:cs="Google Sans"/>
          <w:sz w:val="24"/>
          <w:szCs w:val="24"/>
        </w:rPr>
        <w:t xml:space="preserve"> - SciELO - </w:t>
      </w:r>
      <w:proofErr w:type="spellStart"/>
      <w:r>
        <w:rPr>
          <w:rFonts w:ascii="Google Sans" w:eastAsia="Google Sans" w:hAnsi="Google Sans" w:cs="Google Sans"/>
          <w:sz w:val="24"/>
          <w:szCs w:val="24"/>
        </w:rPr>
        <w:t>Scientific</w:t>
      </w:r>
      <w:proofErr w:type="spellEnd"/>
      <w:r>
        <w:rPr>
          <w:rFonts w:ascii="Google Sans" w:eastAsia="Google Sans" w:hAnsi="Google Sans" w:cs="Google Sans"/>
          <w:sz w:val="24"/>
          <w:szCs w:val="24"/>
        </w:rPr>
        <w:t xml:space="preserve"> Electronic Library Online, </w:t>
      </w:r>
      <w:hyperlink r:id="rId61">
        <w:r>
          <w:rPr>
            <w:rFonts w:ascii="Google Sans" w:eastAsia="Google Sans" w:hAnsi="Google Sans" w:cs="Google Sans"/>
            <w:color w:val="0000EE"/>
            <w:sz w:val="24"/>
            <w:szCs w:val="24"/>
            <w:u w:val="single"/>
          </w:rPr>
          <w:t>http://www.scielo.org.co/scielo.php?script=sci_arttext&amp;pid=S1692-33242018000200057</w:t>
        </w:r>
      </w:hyperlink>
    </w:p>
    <w:p w14:paraId="317C028F"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Shock Load </w:t>
      </w:r>
      <w:proofErr w:type="spellStart"/>
      <w:r>
        <w:rPr>
          <w:rFonts w:ascii="Google Sans" w:eastAsia="Google Sans" w:hAnsi="Google Sans" w:cs="Google Sans"/>
          <w:sz w:val="24"/>
          <w:szCs w:val="24"/>
        </w:rPr>
        <w:t>Capacity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Concrete </w:t>
      </w:r>
      <w:proofErr w:type="spellStart"/>
      <w:r>
        <w:rPr>
          <w:rFonts w:ascii="Google Sans" w:eastAsia="Google Sans" w:hAnsi="Google Sans" w:cs="Google Sans"/>
          <w:sz w:val="24"/>
          <w:szCs w:val="24"/>
        </w:rPr>
        <w:t>Expansion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Anchoring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Systems</w:t>
      </w:r>
      <w:proofErr w:type="spellEnd"/>
      <w:r>
        <w:rPr>
          <w:rFonts w:ascii="Google Sans" w:eastAsia="Google Sans" w:hAnsi="Google Sans" w:cs="Google Sans"/>
          <w:sz w:val="24"/>
          <w:szCs w:val="24"/>
        </w:rPr>
        <w:t xml:space="preserve"> in </w:t>
      </w:r>
      <w:proofErr w:type="spellStart"/>
      <w:r>
        <w:rPr>
          <w:rFonts w:ascii="Google Sans" w:eastAsia="Google Sans" w:hAnsi="Google Sans" w:cs="Google Sans"/>
          <w:sz w:val="24"/>
          <w:szCs w:val="24"/>
        </w:rPr>
        <w:t>Uncracked</w:t>
      </w:r>
      <w:proofErr w:type="spellEnd"/>
      <w:r>
        <w:rPr>
          <w:rFonts w:ascii="Google Sans" w:eastAsia="Google Sans" w:hAnsi="Google Sans" w:cs="Google Sans"/>
          <w:sz w:val="24"/>
          <w:szCs w:val="24"/>
        </w:rPr>
        <w:t xml:space="preserve"> Concrete, </w:t>
      </w:r>
      <w:hyperlink r:id="rId62">
        <w:r>
          <w:rPr>
            <w:rFonts w:ascii="Google Sans" w:eastAsia="Google Sans" w:hAnsi="Google Sans" w:cs="Google Sans"/>
            <w:color w:val="0000EE"/>
            <w:sz w:val="24"/>
            <w:szCs w:val="24"/>
            <w:u w:val="single"/>
          </w:rPr>
          <w:t>https://www.adit.org.il/wp-content/uploads/2017/11/%D7%9E%D7%90%D7%9E%D7%A8-2.pdf</w:t>
        </w:r>
      </w:hyperlink>
    </w:p>
    <w:p w14:paraId="7D7AFEB6"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Parametric</w:t>
      </w:r>
      <w:proofErr w:type="spellEnd"/>
      <w:r>
        <w:rPr>
          <w:rFonts w:ascii="Google Sans" w:eastAsia="Google Sans" w:hAnsi="Google Sans" w:cs="Google Sans"/>
          <w:sz w:val="24"/>
          <w:szCs w:val="24"/>
        </w:rPr>
        <w:t xml:space="preserve"> Finite </w:t>
      </w:r>
      <w:proofErr w:type="spellStart"/>
      <w:r>
        <w:rPr>
          <w:rFonts w:ascii="Google Sans" w:eastAsia="Google Sans" w:hAnsi="Google Sans" w:cs="Google Sans"/>
          <w:sz w:val="24"/>
          <w:szCs w:val="24"/>
        </w:rPr>
        <w:t>Element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Simulations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Different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Configurations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Partial</w:t>
      </w:r>
      <w:proofErr w:type="spellEnd"/>
      <w:r>
        <w:rPr>
          <w:rFonts w:ascii="Google Sans" w:eastAsia="Google Sans" w:hAnsi="Google Sans" w:cs="Google Sans"/>
          <w:sz w:val="24"/>
          <w:szCs w:val="24"/>
        </w:rPr>
        <w:t xml:space="preserve">-Strength Exposed </w:t>
      </w:r>
      <w:proofErr w:type="spellStart"/>
      <w:r>
        <w:rPr>
          <w:rFonts w:ascii="Google Sans" w:eastAsia="Google Sans" w:hAnsi="Google Sans" w:cs="Google Sans"/>
          <w:sz w:val="24"/>
          <w:szCs w:val="24"/>
        </w:rPr>
        <w:t>Column</w:t>
      </w:r>
      <w:proofErr w:type="spellEnd"/>
      <w:r>
        <w:rPr>
          <w:rFonts w:ascii="Google Sans" w:eastAsia="Google Sans" w:hAnsi="Google Sans" w:cs="Google Sans"/>
          <w:sz w:val="24"/>
          <w:szCs w:val="24"/>
        </w:rPr>
        <w:t xml:space="preserve"> Base Plate Connections - MDPI, </w:t>
      </w:r>
      <w:hyperlink r:id="rId63">
        <w:r>
          <w:rPr>
            <w:rFonts w:ascii="Google Sans" w:eastAsia="Google Sans" w:hAnsi="Google Sans" w:cs="Google Sans"/>
            <w:color w:val="0000EE"/>
            <w:sz w:val="24"/>
            <w:szCs w:val="24"/>
            <w:u w:val="single"/>
          </w:rPr>
          <w:t>https://www.mdpi.com/2075-5309/15/13/2255</w:t>
        </w:r>
      </w:hyperlink>
    </w:p>
    <w:p w14:paraId="728A995B"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Anchor Bolt Design in </w:t>
      </w:r>
      <w:proofErr w:type="spellStart"/>
      <w:r>
        <w:rPr>
          <w:rFonts w:ascii="Google Sans" w:eastAsia="Google Sans" w:hAnsi="Google Sans" w:cs="Google Sans"/>
          <w:sz w:val="24"/>
          <w:szCs w:val="24"/>
        </w:rPr>
        <w:t>Pedestals</w:t>
      </w:r>
      <w:proofErr w:type="spellEnd"/>
      <w:r>
        <w:rPr>
          <w:rFonts w:ascii="Google Sans" w:eastAsia="Google Sans" w:hAnsi="Google Sans" w:cs="Google Sans"/>
          <w:sz w:val="24"/>
          <w:szCs w:val="24"/>
        </w:rPr>
        <w:t xml:space="preserve"> ACI 318 | PDF | Strength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Materials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Ductility</w:t>
      </w:r>
      <w:proofErr w:type="spellEnd"/>
      <w:r>
        <w:rPr>
          <w:rFonts w:ascii="Google Sans" w:eastAsia="Google Sans" w:hAnsi="Google Sans" w:cs="Google Sans"/>
          <w:sz w:val="24"/>
          <w:szCs w:val="24"/>
        </w:rPr>
        <w:t xml:space="preserve"> - Scribd, </w:t>
      </w:r>
      <w:hyperlink r:id="rId64">
        <w:r>
          <w:rPr>
            <w:rFonts w:ascii="Google Sans" w:eastAsia="Google Sans" w:hAnsi="Google Sans" w:cs="Google Sans"/>
            <w:color w:val="0000EE"/>
            <w:sz w:val="24"/>
            <w:szCs w:val="24"/>
            <w:u w:val="single"/>
          </w:rPr>
          <w:t>https://www.scribd.com/document/263108592/Design-of-Anchor-Bolts-in-Pedestals</w:t>
        </w:r>
      </w:hyperlink>
    </w:p>
    <w:p w14:paraId="4A2A2108"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Anchor </w:t>
      </w:r>
      <w:proofErr w:type="spellStart"/>
      <w:r>
        <w:rPr>
          <w:rFonts w:ascii="Google Sans" w:eastAsia="Google Sans" w:hAnsi="Google Sans" w:cs="Google Sans"/>
          <w:sz w:val="24"/>
          <w:szCs w:val="24"/>
        </w:rPr>
        <w:t>Reinforcement</w:t>
      </w:r>
      <w:proofErr w:type="spellEnd"/>
      <w:r>
        <w:rPr>
          <w:rFonts w:ascii="Google Sans" w:eastAsia="Google Sans" w:hAnsi="Google Sans" w:cs="Google Sans"/>
          <w:sz w:val="24"/>
          <w:szCs w:val="24"/>
        </w:rPr>
        <w:t xml:space="preserve"> in Concrete </w:t>
      </w:r>
      <w:proofErr w:type="spellStart"/>
      <w:r>
        <w:rPr>
          <w:rFonts w:ascii="Google Sans" w:eastAsia="Google Sans" w:hAnsi="Google Sans" w:cs="Google Sans"/>
          <w:sz w:val="24"/>
          <w:szCs w:val="24"/>
        </w:rPr>
        <w:t>Pedestals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ResearchGate</w:t>
      </w:r>
      <w:proofErr w:type="spellEnd"/>
      <w:r>
        <w:rPr>
          <w:rFonts w:ascii="Google Sans" w:eastAsia="Google Sans" w:hAnsi="Google Sans" w:cs="Google Sans"/>
          <w:sz w:val="24"/>
          <w:szCs w:val="24"/>
        </w:rPr>
        <w:t xml:space="preserve">, </w:t>
      </w:r>
      <w:hyperlink r:id="rId65">
        <w:r>
          <w:rPr>
            <w:rFonts w:ascii="Google Sans" w:eastAsia="Google Sans" w:hAnsi="Google Sans" w:cs="Google Sans"/>
            <w:color w:val="0000EE"/>
            <w:sz w:val="24"/>
            <w:szCs w:val="24"/>
            <w:u w:val="single"/>
          </w:rPr>
          <w:t>https://www.researchgate.net/publication/264846820_Design_of_Anchor_Reinforcement_in_Concrete_Pedestals</w:t>
        </w:r>
      </w:hyperlink>
    </w:p>
    <w:p w14:paraId="4D421C2D"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Behavior</w:t>
      </w:r>
      <w:proofErr w:type="spellEnd"/>
      <w:r>
        <w:rPr>
          <w:rFonts w:ascii="Google Sans" w:eastAsia="Google Sans" w:hAnsi="Google Sans" w:cs="Google Sans"/>
          <w:sz w:val="24"/>
          <w:szCs w:val="24"/>
        </w:rPr>
        <w:t xml:space="preserve"> and </w:t>
      </w: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Cast-in-Place Anchors </w:t>
      </w:r>
      <w:proofErr w:type="spellStart"/>
      <w:r>
        <w:rPr>
          <w:rFonts w:ascii="Google Sans" w:eastAsia="Google Sans" w:hAnsi="Google Sans" w:cs="Google Sans"/>
          <w:sz w:val="24"/>
          <w:szCs w:val="24"/>
        </w:rPr>
        <w:t>under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Simulated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Seismic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Loading</w:t>
      </w:r>
      <w:proofErr w:type="spellEnd"/>
      <w:r>
        <w:rPr>
          <w:rFonts w:ascii="Google Sans" w:eastAsia="Google Sans" w:hAnsi="Google Sans" w:cs="Google Sans"/>
          <w:sz w:val="24"/>
          <w:szCs w:val="24"/>
        </w:rPr>
        <w:t xml:space="preserve"> Final </w:t>
      </w:r>
      <w:proofErr w:type="spellStart"/>
      <w:r>
        <w:rPr>
          <w:rFonts w:ascii="Google Sans" w:eastAsia="Google Sans" w:hAnsi="Google Sans" w:cs="Google Sans"/>
          <w:sz w:val="24"/>
          <w:szCs w:val="24"/>
        </w:rPr>
        <w:t>Report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Volume</w:t>
      </w:r>
      <w:proofErr w:type="spellEnd"/>
      <w:r>
        <w:rPr>
          <w:rFonts w:ascii="Google Sans" w:eastAsia="Google Sans" w:hAnsi="Google Sans" w:cs="Google Sans"/>
          <w:sz w:val="24"/>
          <w:szCs w:val="24"/>
        </w:rPr>
        <w:t xml:space="preserve"> II) </w:t>
      </w:r>
      <w:proofErr w:type="spellStart"/>
      <w:r>
        <w:rPr>
          <w:rFonts w:ascii="Google Sans" w:eastAsia="Google Sans" w:hAnsi="Google Sans" w:cs="Google Sans"/>
          <w:sz w:val="24"/>
          <w:szCs w:val="24"/>
        </w:rPr>
        <w:t>Reinforcement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Headed</w:t>
      </w:r>
      <w:proofErr w:type="spellEnd"/>
      <w:r>
        <w:rPr>
          <w:rFonts w:ascii="Google Sans" w:eastAsia="Google Sans" w:hAnsi="Google Sans" w:cs="Google Sans"/>
          <w:sz w:val="24"/>
          <w:szCs w:val="24"/>
        </w:rPr>
        <w:t xml:space="preserve"> A - CDN, </w:t>
      </w:r>
      <w:hyperlink r:id="rId66">
        <w:r>
          <w:rPr>
            <w:rFonts w:ascii="Google Sans" w:eastAsia="Google Sans" w:hAnsi="Google Sans" w:cs="Google Sans"/>
            <w:color w:val="0000EE"/>
            <w:sz w:val="24"/>
            <w:szCs w:val="24"/>
            <w:u w:val="single"/>
          </w:rPr>
          <w:t>https://bpb-us-w2.wpmucdn.com/sites.uwm.edu/dist/2/145/files/2018/08/NEES-Anchor-Final-Report-Vol-II-Reinforcement-for-headed-anchors-xu8f3e.pdf</w:t>
        </w:r>
      </w:hyperlink>
    </w:p>
    <w:p w14:paraId="7C3FD63E"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Anchor Bolt </w:t>
      </w:r>
      <w:proofErr w:type="spellStart"/>
      <w:r>
        <w:rPr>
          <w:rFonts w:ascii="Google Sans" w:eastAsia="Google Sans" w:hAnsi="Google Sans" w:cs="Google Sans"/>
          <w:sz w:val="24"/>
          <w:szCs w:val="24"/>
        </w:rPr>
        <w:t>anchorage</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ExcelCalcs</w:t>
      </w:r>
      <w:proofErr w:type="spellEnd"/>
      <w:r>
        <w:rPr>
          <w:rFonts w:ascii="Google Sans" w:eastAsia="Google Sans" w:hAnsi="Google Sans" w:cs="Google Sans"/>
          <w:sz w:val="24"/>
          <w:szCs w:val="24"/>
        </w:rPr>
        <w:t xml:space="preserve">, </w:t>
      </w:r>
      <w:hyperlink r:id="rId67">
        <w:r>
          <w:rPr>
            <w:rFonts w:ascii="Google Sans" w:eastAsia="Google Sans" w:hAnsi="Google Sans" w:cs="Google Sans"/>
            <w:color w:val="0000EE"/>
            <w:sz w:val="24"/>
            <w:szCs w:val="24"/>
            <w:u w:val="single"/>
          </w:rPr>
          <w:t>https://www.excelcalcs.com/calcs/repository/Strength/Structural-Details/Anchor-Bolt-anchorage/</w:t>
        </w:r>
      </w:hyperlink>
    </w:p>
    <w:p w14:paraId="380AF7F1"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 </w:t>
      </w:r>
      <w:proofErr w:type="spellStart"/>
      <w:r>
        <w:rPr>
          <w:rFonts w:ascii="Google Sans" w:eastAsia="Google Sans" w:hAnsi="Google Sans" w:cs="Google Sans"/>
          <w:sz w:val="24"/>
          <w:szCs w:val="24"/>
        </w:rPr>
        <w:t>practical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method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design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concrete </w:t>
      </w:r>
      <w:proofErr w:type="spellStart"/>
      <w:r>
        <w:rPr>
          <w:rFonts w:ascii="Google Sans" w:eastAsia="Google Sans" w:hAnsi="Google Sans" w:cs="Google Sans"/>
          <w:sz w:val="24"/>
          <w:szCs w:val="24"/>
        </w:rPr>
        <w:t>pedestals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columns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anchor </w:t>
      </w:r>
      <w:proofErr w:type="spellStart"/>
      <w:r>
        <w:rPr>
          <w:rFonts w:ascii="Google Sans" w:eastAsia="Google Sans" w:hAnsi="Google Sans" w:cs="Google Sans"/>
          <w:sz w:val="24"/>
          <w:szCs w:val="24"/>
        </w:rPr>
        <w:t>rod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tension</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breakout</w:t>
      </w:r>
      <w:proofErr w:type="spellEnd"/>
      <w:r>
        <w:rPr>
          <w:rFonts w:ascii="Google Sans" w:eastAsia="Google Sans" w:hAnsi="Google Sans" w:cs="Google Sans"/>
          <w:sz w:val="24"/>
          <w:szCs w:val="24"/>
        </w:rPr>
        <w:t xml:space="preserve"> - Canadian </w:t>
      </w:r>
      <w:proofErr w:type="spellStart"/>
      <w:r>
        <w:rPr>
          <w:rFonts w:ascii="Google Sans" w:eastAsia="Google Sans" w:hAnsi="Google Sans" w:cs="Google Sans"/>
          <w:sz w:val="24"/>
          <w:szCs w:val="24"/>
        </w:rPr>
        <w:t>Science</w:t>
      </w:r>
      <w:proofErr w:type="spellEnd"/>
      <w:r>
        <w:rPr>
          <w:rFonts w:ascii="Google Sans" w:eastAsia="Google Sans" w:hAnsi="Google Sans" w:cs="Google Sans"/>
          <w:sz w:val="24"/>
          <w:szCs w:val="24"/>
        </w:rPr>
        <w:t xml:space="preserve"> Publishing, </w:t>
      </w:r>
      <w:hyperlink r:id="rId68">
        <w:r>
          <w:rPr>
            <w:rFonts w:ascii="Google Sans" w:eastAsia="Google Sans" w:hAnsi="Google Sans" w:cs="Google Sans"/>
            <w:color w:val="0000EE"/>
            <w:sz w:val="24"/>
            <w:szCs w:val="24"/>
            <w:u w:val="single"/>
          </w:rPr>
          <w:t>https://cdnsciencepub.com/doi/10.1139/L10-103</w:t>
        </w:r>
      </w:hyperlink>
    </w:p>
    <w:p w14:paraId="17D6B64A"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Cyclic</w:t>
      </w:r>
      <w:proofErr w:type="spellEnd"/>
      <w:r>
        <w:rPr>
          <w:rFonts w:ascii="Google Sans" w:eastAsia="Google Sans" w:hAnsi="Google Sans" w:cs="Google Sans"/>
          <w:sz w:val="24"/>
          <w:szCs w:val="24"/>
        </w:rPr>
        <w:t xml:space="preserve"> Performance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Column</w:t>
      </w:r>
      <w:proofErr w:type="spellEnd"/>
      <w:r>
        <w:rPr>
          <w:rFonts w:ascii="Google Sans" w:eastAsia="Google Sans" w:hAnsi="Google Sans" w:cs="Google Sans"/>
          <w:sz w:val="24"/>
          <w:szCs w:val="24"/>
        </w:rPr>
        <w:t xml:space="preserve"> Base </w:t>
      </w:r>
      <w:proofErr w:type="spellStart"/>
      <w:r>
        <w:rPr>
          <w:rFonts w:ascii="Google Sans" w:eastAsia="Google Sans" w:hAnsi="Google Sans" w:cs="Google Sans"/>
          <w:sz w:val="24"/>
          <w:szCs w:val="24"/>
        </w:rPr>
        <w:t>Plates</w:t>
      </w:r>
      <w:proofErr w:type="spellEnd"/>
      <w:r>
        <w:rPr>
          <w:rFonts w:ascii="Google Sans" w:eastAsia="Google Sans" w:hAnsi="Google Sans" w:cs="Google Sans"/>
          <w:sz w:val="24"/>
          <w:szCs w:val="24"/>
        </w:rPr>
        <w:t xml:space="preserve"> | PDF | Strength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Materials</w:t>
      </w:r>
      <w:proofErr w:type="spellEnd"/>
      <w:r>
        <w:rPr>
          <w:rFonts w:ascii="Google Sans" w:eastAsia="Google Sans" w:hAnsi="Google Sans" w:cs="Google Sans"/>
          <w:sz w:val="24"/>
          <w:szCs w:val="24"/>
        </w:rPr>
        <w:t xml:space="preserve"> - Scribd, </w:t>
      </w:r>
      <w:hyperlink r:id="rId69">
        <w:r>
          <w:rPr>
            <w:rFonts w:ascii="Google Sans" w:eastAsia="Google Sans" w:hAnsi="Google Sans" w:cs="Google Sans"/>
            <w:color w:val="0000EE"/>
            <w:sz w:val="24"/>
            <w:szCs w:val="24"/>
            <w:u w:val="single"/>
          </w:rPr>
          <w:t>https://www.scribd.com/document/878172745/2023-the-Cyclic-Performance-of-Column-Base-Plate-Connections-Using-Different-Types-of-Stiffeners-1</w:t>
        </w:r>
      </w:hyperlink>
    </w:p>
    <w:p w14:paraId="231BF147"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Numerical</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parametric</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analysis</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gravity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column</w:t>
      </w:r>
      <w:proofErr w:type="spellEnd"/>
      <w:r>
        <w:rPr>
          <w:rFonts w:ascii="Google Sans" w:eastAsia="Google Sans" w:hAnsi="Google Sans" w:cs="Google Sans"/>
          <w:sz w:val="24"/>
          <w:szCs w:val="24"/>
        </w:rPr>
        <w:t xml:space="preserve"> base-</w:t>
      </w:r>
      <w:proofErr w:type="spellStart"/>
      <w:r>
        <w:rPr>
          <w:rFonts w:ascii="Google Sans" w:eastAsia="Google Sans" w:hAnsi="Google Sans" w:cs="Google Sans"/>
          <w:sz w:val="24"/>
          <w:szCs w:val="24"/>
        </w:rPr>
        <w:t>plate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connections</w:t>
      </w:r>
      <w:proofErr w:type="spellEnd"/>
      <w:r>
        <w:rPr>
          <w:rFonts w:ascii="Google Sans" w:eastAsia="Google Sans" w:hAnsi="Google Sans" w:cs="Google Sans"/>
          <w:sz w:val="24"/>
          <w:szCs w:val="24"/>
        </w:rPr>
        <w:t xml:space="preserve"> - New Zealand </w:t>
      </w:r>
      <w:proofErr w:type="spellStart"/>
      <w:r>
        <w:rPr>
          <w:rFonts w:ascii="Google Sans" w:eastAsia="Google Sans" w:hAnsi="Google Sans" w:cs="Google Sans"/>
          <w:sz w:val="24"/>
          <w:szCs w:val="24"/>
        </w:rPr>
        <w:t>Society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for</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Earthquake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Engineering</w:t>
      </w:r>
      <w:proofErr w:type="spellEnd"/>
      <w:r>
        <w:rPr>
          <w:rFonts w:ascii="Google Sans" w:eastAsia="Google Sans" w:hAnsi="Google Sans" w:cs="Google Sans"/>
          <w:sz w:val="24"/>
          <w:szCs w:val="24"/>
        </w:rPr>
        <w:t xml:space="preserve">, </w:t>
      </w:r>
      <w:hyperlink r:id="rId70">
        <w:r>
          <w:rPr>
            <w:rFonts w:ascii="Google Sans" w:eastAsia="Google Sans" w:hAnsi="Google Sans" w:cs="Google Sans"/>
            <w:color w:val="0000EE"/>
            <w:sz w:val="24"/>
            <w:szCs w:val="24"/>
            <w:u w:val="single"/>
          </w:rPr>
          <w:t>https://repo.nzsee.org.nz/bitstream/handle/nzsee/2632/He.pdf?sequence=1&amp;isAllowed=y</w:t>
        </w:r>
      </w:hyperlink>
    </w:p>
    <w:p w14:paraId="0203F3B5"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Seismic</w:t>
      </w:r>
      <w:proofErr w:type="spellEnd"/>
      <w:r>
        <w:rPr>
          <w:rFonts w:ascii="Google Sans" w:eastAsia="Google Sans" w:hAnsi="Google Sans" w:cs="Google Sans"/>
          <w:sz w:val="24"/>
          <w:szCs w:val="24"/>
        </w:rPr>
        <w:t xml:space="preserve"> Performance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Embedded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Column</w:t>
      </w:r>
      <w:proofErr w:type="spellEnd"/>
      <w:r>
        <w:rPr>
          <w:rFonts w:ascii="Google Sans" w:eastAsia="Google Sans" w:hAnsi="Google Sans" w:cs="Google Sans"/>
          <w:sz w:val="24"/>
          <w:szCs w:val="24"/>
        </w:rPr>
        <w:t xml:space="preserve"> Base Connections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Attached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Reinforcement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Tests</w:t>
      </w:r>
      <w:proofErr w:type="spellEnd"/>
      <w:r>
        <w:rPr>
          <w:rFonts w:ascii="Google Sans" w:eastAsia="Google Sans" w:hAnsi="Google Sans" w:cs="Google Sans"/>
          <w:sz w:val="24"/>
          <w:szCs w:val="24"/>
        </w:rPr>
        <w:t xml:space="preserve"> and Strength </w:t>
      </w:r>
      <w:proofErr w:type="spellStart"/>
      <w:r>
        <w:rPr>
          <w:rFonts w:ascii="Google Sans" w:eastAsia="Google Sans" w:hAnsi="Google Sans" w:cs="Google Sans"/>
          <w:sz w:val="24"/>
          <w:szCs w:val="24"/>
        </w:rPr>
        <w:t>Models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Engineering</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Journal</w:t>
      </w:r>
      <w:proofErr w:type="spellEnd"/>
      <w:r>
        <w:rPr>
          <w:rFonts w:ascii="Google Sans" w:eastAsia="Google Sans" w:hAnsi="Google Sans" w:cs="Google Sans"/>
          <w:sz w:val="24"/>
          <w:szCs w:val="24"/>
        </w:rPr>
        <w:t xml:space="preserve">, </w:t>
      </w:r>
      <w:hyperlink r:id="rId71">
        <w:r>
          <w:rPr>
            <w:rFonts w:ascii="Google Sans" w:eastAsia="Google Sans" w:hAnsi="Google Sans" w:cs="Google Sans"/>
            <w:color w:val="0000EE"/>
            <w:sz w:val="24"/>
            <w:szCs w:val="24"/>
            <w:u w:val="single"/>
          </w:rPr>
          <w:t>https://ej.aisc.org/index.php/engj/article/view/1313</w:t>
        </w:r>
      </w:hyperlink>
    </w:p>
    <w:p w14:paraId="6CA92218" w14:textId="77777777" w:rsidR="00AB4063"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Seismic</w:t>
      </w:r>
      <w:proofErr w:type="spellEnd"/>
      <w:r>
        <w:rPr>
          <w:rFonts w:ascii="Google Sans" w:eastAsia="Google Sans" w:hAnsi="Google Sans" w:cs="Google Sans"/>
          <w:sz w:val="24"/>
          <w:szCs w:val="24"/>
        </w:rPr>
        <w:t xml:space="preserve"> Performance </w:t>
      </w:r>
      <w:proofErr w:type="spellStart"/>
      <w:r>
        <w:rPr>
          <w:rFonts w:ascii="Google Sans" w:eastAsia="Google Sans" w:hAnsi="Google Sans" w:cs="Google Sans"/>
          <w:sz w:val="24"/>
          <w:szCs w:val="24"/>
        </w:rPr>
        <w:t>of</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Embedded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Column</w:t>
      </w:r>
      <w:proofErr w:type="spellEnd"/>
      <w:r>
        <w:rPr>
          <w:rFonts w:ascii="Google Sans" w:eastAsia="Google Sans" w:hAnsi="Google Sans" w:cs="Google Sans"/>
          <w:sz w:val="24"/>
          <w:szCs w:val="24"/>
        </w:rPr>
        <w:t xml:space="preserve"> Base Connections </w:t>
      </w:r>
      <w:proofErr w:type="spellStart"/>
      <w:r>
        <w:rPr>
          <w:rFonts w:ascii="Google Sans" w:eastAsia="Google Sans" w:hAnsi="Google Sans" w:cs="Google Sans"/>
          <w:sz w:val="24"/>
          <w:szCs w:val="24"/>
        </w:rPr>
        <w:t>with</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Attached</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Reinforcement</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Tests</w:t>
      </w:r>
      <w:proofErr w:type="spellEnd"/>
      <w:r>
        <w:rPr>
          <w:rFonts w:ascii="Google Sans" w:eastAsia="Google Sans" w:hAnsi="Google Sans" w:cs="Google Sans"/>
          <w:sz w:val="24"/>
          <w:szCs w:val="24"/>
        </w:rPr>
        <w:t xml:space="preserve"> and Strength </w:t>
      </w:r>
      <w:proofErr w:type="spellStart"/>
      <w:r>
        <w:rPr>
          <w:rFonts w:ascii="Google Sans" w:eastAsia="Google Sans" w:hAnsi="Google Sans" w:cs="Google Sans"/>
          <w:sz w:val="24"/>
          <w:szCs w:val="24"/>
        </w:rPr>
        <w:t>Models</w:t>
      </w:r>
      <w:proofErr w:type="spellEnd"/>
      <w:r>
        <w:rPr>
          <w:rFonts w:ascii="Google Sans" w:eastAsia="Google Sans" w:hAnsi="Google Sans" w:cs="Google Sans"/>
          <w:sz w:val="24"/>
          <w:szCs w:val="24"/>
        </w:rPr>
        <w:t xml:space="preserve"> - </w:t>
      </w:r>
      <w:proofErr w:type="spellStart"/>
      <w:r>
        <w:rPr>
          <w:rFonts w:ascii="Google Sans" w:eastAsia="Google Sans" w:hAnsi="Google Sans" w:cs="Google Sans"/>
          <w:sz w:val="24"/>
          <w:szCs w:val="24"/>
        </w:rPr>
        <w:t>ResearchGate</w:t>
      </w:r>
      <w:proofErr w:type="spellEnd"/>
      <w:r>
        <w:rPr>
          <w:rFonts w:ascii="Google Sans" w:eastAsia="Google Sans" w:hAnsi="Google Sans" w:cs="Google Sans"/>
          <w:sz w:val="24"/>
          <w:szCs w:val="24"/>
        </w:rPr>
        <w:t xml:space="preserve">, </w:t>
      </w:r>
      <w:hyperlink r:id="rId72">
        <w:r>
          <w:rPr>
            <w:rFonts w:ascii="Google Sans" w:eastAsia="Google Sans" w:hAnsi="Google Sans" w:cs="Google Sans"/>
            <w:color w:val="0000EE"/>
            <w:sz w:val="24"/>
            <w:szCs w:val="24"/>
            <w:u w:val="single"/>
          </w:rPr>
          <w:t>https://www.researchgate.net/publication/375280433_Seismic_Performance_of_Embedded_Column_Base_Connections_with_Attached_Reinforcement_Tests_and_Strength_Models</w:t>
        </w:r>
      </w:hyperlink>
    </w:p>
    <w:p w14:paraId="2F8DED88"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NORMA TÉCNICA COMPLEMENTARIA PARA EL DISEÑO POR SISMO - IISEE, </w:t>
      </w:r>
      <w:hyperlink r:id="rId73">
        <w:r>
          <w:rPr>
            <w:rFonts w:ascii="Google Sans" w:eastAsia="Google Sans" w:hAnsi="Google Sans" w:cs="Google Sans"/>
            <w:color w:val="0000EE"/>
            <w:sz w:val="24"/>
            <w:szCs w:val="24"/>
            <w:u w:val="single"/>
          </w:rPr>
          <w:t>https://iisee.kenken.go.jp/worldlist/34_Mexico/Mexico%202023-09-16%20NTC-SISMO%20-%20Para%20Entrega.pdf</w:t>
        </w:r>
      </w:hyperlink>
    </w:p>
    <w:p w14:paraId="72DE39B8"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NTC Concreto 2023: Diseño y Construcción | PDF | Viga (Estructura) | Hormigón - Scribd, </w:t>
      </w:r>
      <w:hyperlink r:id="rId74">
        <w:r>
          <w:rPr>
            <w:rFonts w:ascii="Google Sans" w:eastAsia="Google Sans" w:hAnsi="Google Sans" w:cs="Google Sans"/>
            <w:color w:val="0000EE"/>
            <w:sz w:val="24"/>
            <w:szCs w:val="24"/>
            <w:u w:val="single"/>
          </w:rPr>
          <w:t>https://es.scribd.com/document/647637929/NTC-Concreto-20230411</w:t>
        </w:r>
      </w:hyperlink>
    </w:p>
    <w:p w14:paraId="52593457"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NTC 2023: Diseño de Estructuras de Concreto | PDF - Scribd, </w:t>
      </w:r>
      <w:hyperlink r:id="rId75">
        <w:r>
          <w:rPr>
            <w:rFonts w:ascii="Google Sans" w:eastAsia="Google Sans" w:hAnsi="Google Sans" w:cs="Google Sans"/>
            <w:color w:val="0000EE"/>
            <w:sz w:val="24"/>
            <w:szCs w:val="24"/>
            <w:u w:val="single"/>
          </w:rPr>
          <w:t>https://es.scribd.com/document/699910109/Ntc-Cdmx-2023-Concreto</w:t>
        </w:r>
      </w:hyperlink>
    </w:p>
    <w:p w14:paraId="4339C80B"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NORMA TÉCNICA COMPLEMENTARIA - Sociedad Mexicana de Ingeniería Estructural, </w:t>
      </w:r>
      <w:hyperlink r:id="rId76">
        <w:r>
          <w:rPr>
            <w:rFonts w:ascii="Google Sans" w:eastAsia="Google Sans" w:hAnsi="Google Sans" w:cs="Google Sans"/>
            <w:color w:val="0000EE"/>
            <w:sz w:val="24"/>
            <w:szCs w:val="24"/>
            <w:u w:val="single"/>
          </w:rPr>
          <w:t>https://www.smie.org.mx/uploads/1/2022-11/ntc_acero_2020.pdf</w:t>
        </w:r>
      </w:hyperlink>
    </w:p>
    <w:p w14:paraId="1ABC310E"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I BENEMÉRITA UNIVERSIDAD AUTÓNOMA DE PUEBLA Facultad de Ingeniería Secretaría de Investigación y Estudios de Posgrado COMPO, </w:t>
      </w:r>
      <w:hyperlink r:id="rId77">
        <w:r>
          <w:rPr>
            <w:rFonts w:ascii="Google Sans" w:eastAsia="Google Sans" w:hAnsi="Google Sans" w:cs="Google Sans"/>
            <w:color w:val="0000EE"/>
            <w:sz w:val="24"/>
            <w:szCs w:val="24"/>
            <w:u w:val="single"/>
          </w:rPr>
          <w:t>https://repositorioinstitucional.buap.mx/server/api/core/bitstreams/924c33a2-b2f5-45db-8a29-46f0c9dbfead/content</w:t>
        </w:r>
      </w:hyperlink>
    </w:p>
    <w:p w14:paraId="40B29E82"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GUÍA DE LOS PREFABRICADOS DE CONCRETO Y EL AISLAMIENTO SÍSMICO - </w:t>
      </w:r>
      <w:proofErr w:type="spellStart"/>
      <w:r>
        <w:rPr>
          <w:rFonts w:ascii="Google Sans" w:eastAsia="Google Sans" w:hAnsi="Google Sans" w:cs="Google Sans"/>
          <w:sz w:val="24"/>
          <w:szCs w:val="24"/>
        </w:rPr>
        <w:t>Anippac</w:t>
      </w:r>
      <w:proofErr w:type="spellEnd"/>
      <w:r>
        <w:rPr>
          <w:rFonts w:ascii="Google Sans" w:eastAsia="Google Sans" w:hAnsi="Google Sans" w:cs="Google Sans"/>
          <w:sz w:val="24"/>
          <w:szCs w:val="24"/>
        </w:rPr>
        <w:t xml:space="preserve">, </w:t>
      </w:r>
      <w:hyperlink r:id="rId78">
        <w:r>
          <w:rPr>
            <w:rFonts w:ascii="Google Sans" w:eastAsia="Google Sans" w:hAnsi="Google Sans" w:cs="Google Sans"/>
            <w:color w:val="0000EE"/>
            <w:sz w:val="24"/>
            <w:szCs w:val="24"/>
            <w:u w:val="single"/>
          </w:rPr>
          <w:t>https://anippac.org.mx/wp-content/uploads/2023/10/Guia-Aislamiento-v-web.pdf</w:t>
        </w:r>
      </w:hyperlink>
    </w:p>
    <w:p w14:paraId="1F77B273"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PARAMETRIC STUDY OF STEEL COLUMN-BASE CONNECTION SUBJECTED TO BIDIRECTIONAL BENDING AND AXIAL COMPRESSION - </w:t>
      </w:r>
      <w:proofErr w:type="spellStart"/>
      <w:r>
        <w:rPr>
          <w:rFonts w:ascii="Google Sans" w:eastAsia="Google Sans" w:hAnsi="Google Sans" w:cs="Google Sans"/>
          <w:sz w:val="24"/>
          <w:szCs w:val="24"/>
        </w:rPr>
        <w:t>ResearchGate</w:t>
      </w:r>
      <w:proofErr w:type="spellEnd"/>
      <w:r>
        <w:rPr>
          <w:rFonts w:ascii="Google Sans" w:eastAsia="Google Sans" w:hAnsi="Google Sans" w:cs="Google Sans"/>
          <w:sz w:val="24"/>
          <w:szCs w:val="24"/>
        </w:rPr>
        <w:t xml:space="preserve">, </w:t>
      </w:r>
      <w:hyperlink r:id="rId79">
        <w:r>
          <w:rPr>
            <w:rFonts w:ascii="Google Sans" w:eastAsia="Google Sans" w:hAnsi="Google Sans" w:cs="Google Sans"/>
            <w:color w:val="0000EE"/>
            <w:sz w:val="24"/>
            <w:szCs w:val="24"/>
            <w:u w:val="single"/>
          </w:rPr>
          <w:t>https://www.researchgate.net/profile/Muntasir-Billah-2/publication/354514692_PARAMETRIC_STUDY_OF_STEEL_COLUMN-BASE_CONNECTION_SUBJECTED_TO_BIDIRECTIONAL_BENDING_AND_AXIAL_COMPRESSION/links/64593faf5762c95ac3802db8/PARAMETRIC-STUDY-OF-STEEL-COLUMN-BASE-CONNECTION-SUBJECTED-TO-BIDIRECTIONAL-BENDING-AND-AXIAL-COMPRESSION.pdf</w:t>
        </w:r>
      </w:hyperlink>
    </w:p>
    <w:p w14:paraId="4E05BBB8" w14:textId="77777777" w:rsidR="00AB4063"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Caracterización mecánica del concreto con resistencia a compresión F'C=250 kg/cm2 empleado en Ometepec, </w:t>
      </w:r>
      <w:hyperlink r:id="rId80">
        <w:r>
          <w:rPr>
            <w:rFonts w:ascii="Google Sans" w:eastAsia="Google Sans" w:hAnsi="Google Sans" w:cs="Google Sans"/>
            <w:color w:val="0000EE"/>
            <w:sz w:val="24"/>
            <w:szCs w:val="24"/>
            <w:u w:val="single"/>
          </w:rPr>
          <w:t>https://www.revistaingenieria.unam.mx/numeros/2025/v26n3-02.pdf</w:t>
        </w:r>
      </w:hyperlink>
    </w:p>
    <w:p w14:paraId="4CFF68CB" w14:textId="77777777" w:rsidR="00AB4063" w:rsidRDefault="00000000">
      <w:pPr>
        <w:numPr>
          <w:ilvl w:val="0"/>
          <w:numId w:val="4"/>
        </w:numPr>
        <w:pBdr>
          <w:top w:val="nil"/>
          <w:left w:val="nil"/>
          <w:bottom w:val="nil"/>
          <w:right w:val="nil"/>
          <w:between w:val="nil"/>
        </w:pBdr>
      </w:pPr>
      <w:dir w:val="ltr">
        <w:r>
          <w:rPr>
            <w:rFonts w:ascii="Google Sans" w:eastAsia="Google Sans" w:hAnsi="Google Sans" w:cs="Google Sans"/>
            <w:sz w:val="24"/>
            <w:szCs w:val="24"/>
          </w:rPr>
          <w:t>Ahmad S. Hassan</w:t>
        </w:r>
        <w:r>
          <w:rPr>
            <w:rFonts w:ascii="Google Sans" w:eastAsia="Google Sans" w:hAnsi="Google Sans" w:cs="Google Sans"/>
            <w:sz w:val="24"/>
            <w:szCs w:val="24"/>
          </w:rPr>
          <w:t xml:space="preserve">‬ - </w:t>
        </w:r>
        <w:dir w:val="ltr">
          <w:r>
            <w:rPr>
              <w:rFonts w:ascii="Google Sans" w:eastAsia="Google Sans" w:hAnsi="Google Sans" w:cs="Google Sans"/>
              <w:sz w:val="24"/>
              <w:szCs w:val="24"/>
            </w:rPr>
            <w:t>Google Scholar</w:t>
          </w:r>
          <w:r>
            <w:rPr>
              <w:rFonts w:ascii="Google Sans" w:eastAsia="Google Sans" w:hAnsi="Google Sans" w:cs="Google Sans"/>
              <w:sz w:val="24"/>
              <w:szCs w:val="24"/>
            </w:rPr>
            <w:t xml:space="preserve">‬, </w:t>
          </w:r>
          <w:hyperlink r:id="rId81">
            <w:r>
              <w:rPr>
                <w:rFonts w:ascii="Google Sans" w:eastAsia="Google Sans" w:hAnsi="Google Sans" w:cs="Google Sans"/>
                <w:color w:val="0000EE"/>
                <w:sz w:val="24"/>
                <w:szCs w:val="24"/>
                <w:u w:val="single"/>
              </w:rPr>
              <w:t>https://scholar.google.com/citations?user=ns-Y798AAAAJ&amp;hl=en</w:t>
            </w:r>
          </w:hyperlink>
        </w:dir>
      </w:dir>
    </w:p>
    <w:sectPr w:rsidR="00AB406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C86C3735-2228-4734-A9D6-E479F0855966}"/>
  </w:font>
  <w:font w:name="Google Sans">
    <w:charset w:val="00"/>
    <w:family w:val="auto"/>
    <w:pitch w:val="default"/>
    <w:embedRegular r:id="rId2" w:fontKey="{A836CB79-056E-4850-8BA6-1D37D9EAA66A}"/>
    <w:embedBold r:id="rId3" w:fontKey="{FAE8B81E-88C1-45BE-B85D-1B14B1950CB9}"/>
    <w:embedItalic r:id="rId4" w:fontKey="{FEAFF917-DE96-4E43-B59E-A21DBF694FCF}"/>
  </w:font>
  <w:font w:name="Calibri">
    <w:panose1 w:val="020F0502020204030204"/>
    <w:charset w:val="00"/>
    <w:family w:val="swiss"/>
    <w:pitch w:val="variable"/>
    <w:sig w:usb0="E4002EFF" w:usb1="C200247B" w:usb2="00000009" w:usb3="00000000" w:csb0="000001FF" w:csb1="00000000"/>
    <w:embedRegular r:id="rId5" w:fontKey="{388C6195-81BF-4ED2-A5E3-09D0757A972A}"/>
  </w:font>
  <w:font w:name="Cambria">
    <w:panose1 w:val="02040503050406030204"/>
    <w:charset w:val="00"/>
    <w:family w:val="roman"/>
    <w:pitch w:val="variable"/>
    <w:sig w:usb0="E00006FF" w:usb1="420024FF" w:usb2="02000000" w:usb3="00000000" w:csb0="0000019F" w:csb1="00000000"/>
    <w:embedRegular r:id="rId6" w:fontKey="{272B485D-2467-4EEF-9180-B2A72F54ED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D53ED"/>
    <w:multiLevelType w:val="multilevel"/>
    <w:tmpl w:val="D05E1FD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7617BF1"/>
    <w:multiLevelType w:val="multilevel"/>
    <w:tmpl w:val="4F7E2AB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8545172"/>
    <w:multiLevelType w:val="multilevel"/>
    <w:tmpl w:val="96501A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3BB47A7"/>
    <w:multiLevelType w:val="multilevel"/>
    <w:tmpl w:val="19FE9E6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26617458">
    <w:abstractNumId w:val="3"/>
  </w:num>
  <w:num w:numId="2" w16cid:durableId="1863475967">
    <w:abstractNumId w:val="0"/>
  </w:num>
  <w:num w:numId="3" w16cid:durableId="357433732">
    <w:abstractNumId w:val="1"/>
  </w:num>
  <w:num w:numId="4" w16cid:durableId="54209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063"/>
    <w:rsid w:val="002A062B"/>
    <w:rsid w:val="006166C3"/>
    <w:rsid w:val="00AB4063"/>
    <w:rsid w:val="00DD0D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2A3B"/>
  <w15:docId w15:val="{4FA0FEA1-FF6F-43D1-8772-5695ABF60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hyperlink" Target="https://steeltubeinstitute.org/wp-content/uploads/2024/09/HSS-Base-Plate-Design-Axial-Compression-Bending-Moment-092424.pdf" TargetMode="External"/><Relationship Id="rId47" Type="http://schemas.openxmlformats.org/officeDocument/2006/relationships/hyperlink" Target="https://es.scribd.com/document/699910119/Ntc-Cdmx-2023-Acero" TargetMode="External"/><Relationship Id="rId63" Type="http://schemas.openxmlformats.org/officeDocument/2006/relationships/hyperlink" Target="https://www.mdpi.com/2075-5309/15/13/2255" TargetMode="External"/><Relationship Id="rId68" Type="http://schemas.openxmlformats.org/officeDocument/2006/relationships/hyperlink" Target="https://cdnsciencepub.com/doi/10.1139/L10-103"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hyperlink" Target="https://www.dlubal.com/es/soporte-y-formacion/soporte/base-de-conocimientos/001916" TargetMode="External"/><Relationship Id="rId58" Type="http://schemas.openxmlformats.org/officeDocument/2006/relationships/hyperlink" Target="https://www.semanticscholar.org/paper/CONCRETE-CAPACITY-DESIGN-(CCD)-APPROACH-FOR-TO-Fuchs-Eligehausen/1f65ea7a3a02dbe9e51a7b211920d4eb4ca0af57" TargetMode="External"/><Relationship Id="rId74" Type="http://schemas.openxmlformats.org/officeDocument/2006/relationships/hyperlink" Target="https://es.scribd.com/document/647637929/NTC-Concreto-20230411" TargetMode="External"/><Relationship Id="rId79" Type="http://schemas.openxmlformats.org/officeDocument/2006/relationships/hyperlink" Target="https://www.researchgate.net/profile/Muntasir-Billah-2/publication/354514692_PARAMETRIC_STUDY_OF_STEEL_COLUMN-BASE_CONNECTION_SUBJECTED_TO_BIDIRECTIONAL_BENDING_AND_AXIAL_COMPRESSION/links/64593faf5762c95ac3802db8/PARAMETRIC-STUDY-OF-STEEL-COLUMN-BASE-CONNECTION-SUBJECTED-TO-BIDIRECTIONAL-BENDING-AND-AXIAL-COMPRESSION.pdf" TargetMode="External"/><Relationship Id="rId5" Type="http://schemas.openxmlformats.org/officeDocument/2006/relationships/image" Target="media/image1.png"/><Relationship Id="rId61" Type="http://schemas.openxmlformats.org/officeDocument/2006/relationships/hyperlink" Target="http://www.scielo.org.co/scielo.php?script=sci_arttext&amp;pid=S1692-33242018000200057" TargetMode="External"/><Relationship Id="rId82" Type="http://schemas.openxmlformats.org/officeDocument/2006/relationships/fontTable" Target="fontTable.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www.aisc.org/media/1x2bmccf/aisc-lrr-2022-01_kanvinde_column-bases.pdf" TargetMode="External"/><Relationship Id="rId48" Type="http://schemas.openxmlformats.org/officeDocument/2006/relationships/hyperlink" Target="https://www.concrete.org/publications/internationalconcreteabstractsportal.aspx?m=details&amp;id=1533" TargetMode="External"/><Relationship Id="rId56" Type="http://schemas.openxmlformats.org/officeDocument/2006/relationships/hyperlink" Target="https://es.scribd.com/document/458297221/DISENO-PLACAS-BASE-NTC-DCEA-2017" TargetMode="External"/><Relationship Id="rId64" Type="http://schemas.openxmlformats.org/officeDocument/2006/relationships/hyperlink" Target="https://www.scribd.com/document/263108592/Design-of-Anchor-Bolts-in-Pedestals" TargetMode="External"/><Relationship Id="rId69" Type="http://schemas.openxmlformats.org/officeDocument/2006/relationships/hyperlink" Target="https://www.scribd.com/document/878172745/2023-the-Cyclic-Performance-of-Column-Base-Plate-Connections-Using-Different-Types-of-Stiffeners-1" TargetMode="External"/><Relationship Id="rId77" Type="http://schemas.openxmlformats.org/officeDocument/2006/relationships/hyperlink" Target="https://repositorioinstitucional.buap.mx/server/api/core/bitstreams/924c33a2-b2f5-45db-8a29-46f0c9dbfead/content" TargetMode="External"/><Relationship Id="rId8" Type="http://schemas.openxmlformats.org/officeDocument/2006/relationships/image" Target="media/image4.png"/><Relationship Id="rId51" Type="http://schemas.openxmlformats.org/officeDocument/2006/relationships/hyperlink" Target="https://ascelibrary.com/doi/abs/10.1061/%28ASCE%29ST.1943-541X.0003298" TargetMode="External"/><Relationship Id="rId72" Type="http://schemas.openxmlformats.org/officeDocument/2006/relationships/hyperlink" Target="https://www.researchgate.net/publication/375280433_Seismic_Performance_of_Embedded_Column_Base_Connections_with_Attached_Reinforcement_Tests_and_Strength_Models" TargetMode="External"/><Relationship Id="rId80" Type="http://schemas.openxmlformats.org/officeDocument/2006/relationships/hyperlink" Target="https://www.revistaingenieria.unam.mx/numeros/2025/v26n3-02.pdf"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es.scribd.com/document/873947395/2-Julio-2024-Placas-Base-y-Anclajes" TargetMode="External"/><Relationship Id="rId59" Type="http://schemas.openxmlformats.org/officeDocument/2006/relationships/hyperlink" Target="https://www.concrete.org/publications/internationalconcreteabstractsportal/m/details/id/16850" TargetMode="External"/><Relationship Id="rId67" Type="http://schemas.openxmlformats.org/officeDocument/2006/relationships/hyperlink" Target="https://www.excelcalcs.com/calcs/repository/Strength/Structural-Details/Anchor-Bolt-anchorage/"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www.scribd.com/document/1004488289/AISC-Design-Guide-1-Column-Base-Plates-2nd-Edition-1" TargetMode="External"/><Relationship Id="rId62" Type="http://schemas.openxmlformats.org/officeDocument/2006/relationships/hyperlink" Target="https://www.adit.org.il/wp-content/uploads/2017/11/%D7%9E%D7%90%D7%9E%D7%A8-2.pdf" TargetMode="External"/><Relationship Id="rId70" Type="http://schemas.openxmlformats.org/officeDocument/2006/relationships/hyperlink" Target="https://repo.nzsee.org.nz/bitstream/handle/nzsee/2632/He.pdf?sequence=1&amp;isAllowed=y" TargetMode="External"/><Relationship Id="rId75" Type="http://schemas.openxmlformats.org/officeDocument/2006/relationships/hyperlink" Target="https://es.scribd.com/document/699910109/Ntc-Cdmx-2023-Concreto"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www.slideshare.net/slideshow/design-guide-01-base-plate-and-anchor-rod-design-2nd-editionpdf/258506664" TargetMode="External"/><Relationship Id="rId57" Type="http://schemas.openxmlformats.org/officeDocument/2006/relationships/hyperlink" Target="https://www.youtube.com/watch?v=K2DtR2ho4DI"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hyperlink" Target="https://scispace.com/pdf/design-of-steel-column-base-connections-for-large-3ugfqmhfbq.pdf" TargetMode="External"/><Relationship Id="rId52" Type="http://schemas.openxmlformats.org/officeDocument/2006/relationships/hyperlink" Target="https://d-nb.info/137111613X/34" TargetMode="External"/><Relationship Id="rId60" Type="http://schemas.openxmlformats.org/officeDocument/2006/relationships/hyperlink" Target="http://ndl.ethernet.edu.et/bitstream/123456789/39923/1/128.pdf" TargetMode="External"/><Relationship Id="rId65" Type="http://schemas.openxmlformats.org/officeDocument/2006/relationships/hyperlink" Target="https://www.researchgate.net/publication/264846820_Design_of_Anchor_Reinforcement_in_Concrete_Pedestals" TargetMode="External"/><Relationship Id="rId73" Type="http://schemas.openxmlformats.org/officeDocument/2006/relationships/hyperlink" Target="https://iisee.kenken.go.jp/worldlist/34_Mexico/Mexico%202023-09-16%20NTC-SISMO%20-%20Para%20Entrega.pdf" TargetMode="External"/><Relationship Id="rId78" Type="http://schemas.openxmlformats.org/officeDocument/2006/relationships/hyperlink" Target="https://anippac.org.mx/wp-content/uploads/2023/10/Guia-Aislamiento-v-web.pdf" TargetMode="External"/><Relationship Id="rId81" Type="http://schemas.openxmlformats.org/officeDocument/2006/relationships/hyperlink" Target="https://scholar.google.com/citations?user=ns-Y798AAAAJ&amp;hl=en"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hyperlink" Target="https://www.scielo.org.mx/article_plus.php?pid=S2007-68352025000300348&amp;tlng=es&amp;lng=es" TargetMode="External"/><Relationship Id="rId55" Type="http://schemas.openxmlformats.org/officeDocument/2006/relationships/hyperlink" Target="https://www.aisc.org/aisc/solutions-center/engineering-faqs/72-base-plates/" TargetMode="External"/><Relationship Id="rId76" Type="http://schemas.openxmlformats.org/officeDocument/2006/relationships/hyperlink" Target="https://www.smie.org.mx/uploads/1/2022-11/ntc_acero_2020.pdf" TargetMode="External"/><Relationship Id="rId7" Type="http://schemas.openxmlformats.org/officeDocument/2006/relationships/image" Target="media/image3.png"/><Relationship Id="rId71" Type="http://schemas.openxmlformats.org/officeDocument/2006/relationships/hyperlink" Target="https://ej.aisc.org/index.php/engj/article/view/1313"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hyperlink" Target="https://analisisdepreciosunitarios.com/construccion-24732" TargetMode="External"/><Relationship Id="rId66" Type="http://schemas.openxmlformats.org/officeDocument/2006/relationships/hyperlink" Target="https://bpb-us-w2.wpmucdn.com/sites.uwm.edu/dist/2/145/files/2018/08/NEES-Anchor-Final-Report-Vol-II-Reinforcement-for-headed-anchors-xu8f3e.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6281</Words>
  <Characters>34546</Characters>
  <Application>Microsoft Office Word</Application>
  <DocSecurity>0</DocSecurity>
  <Lines>287</Lines>
  <Paragraphs>81</Paragraphs>
  <ScaleCrop>false</ScaleCrop>
  <Company/>
  <LinksUpToDate>false</LinksUpToDate>
  <CharactersWithSpaces>40746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Nim Pj</dc:creator>
  <cp:lastModifiedBy>Nim Pj</cp:lastModifiedBy>
  <cp:revision>2</cp:revision>
  <dcterms:created xsi:type="dcterms:W3CDTF">2026-06-20T21:12:00Z</dcterms:created>
  <dcterms:modified xsi:type="dcterms:W3CDTF">2026-06-20T21:12:00Z</dcterms:modified>
</cp:coreProperties>
</file>