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 del Arte y Marco Contextual: Evolución Normativa NTC-2017 a NTC-2023 y el Análisis Paramétrico en el Diseño de Placas Base de Acero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al Comportamiento de Conexiones Columna-Base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estructural contemporáneo de edificaciones de acero exige una comprensión rigurosa y exhaustiva de la interacción mecánica entre los diversos componentes que conforman el sistema sismorresistente. Dentro de esta compleja red de elementos estructurales, las conexiones desempeñan un rol protagónico, siendo las encargadas de garantizar la continuidad en la trayectoria de transmisión de cargas. En particular, las placas base de acero y sus respectivos sistemas de anclaje constituyen la interfaz de transición más crítica de la edificación, actuando como el nexo fundamental entre la superestructura metálica, caracterizada por su alta resistencia y ductilidad, y la subestructura o cimentación de concreto reforzado, un material de naturaleza heterogénea y frágil a la tensión.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 estas conexiones trasciende la simple revisión de esfuerzos admisibles. Las placas base deben concebirse bajo una filosofía integral que armonice el comportamiento de dos materiales disímiles, asegurando que las elevadas concentraciones de esfuerzos axiales, fuerzas cortantes horizontales y momentos flexionantes dinámicos se distribuyan de manera eficiente hacia los pedestales y zapatas.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zonas geográficas con alta amenaza sísmica, como es el caso de la República Mexicana, la integridad de la conexión columna-base dicta en gran medida la capacidad de la edificación para disipar energía histerética. Si la placa base cede prematuramente, si los anclajes sufren fractura frágil o si el concreto experimenta un aplastamiento no dúctil, la estructura en su conjunto pierde su capacidad de deformación inelástica, precipitando mecanismos de colapso local o global que atentan contra la seguridad humana.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evolución de los criterios de diseño para estos elementos ha estado intrínsecamente ligada al aprendizaje empírico derivado de la observación de fallas estructurales posteriores a eventos sísmicos severos. Las metodologías de diseño, históricamente sustentadas en modelos elásticos simplificados, han demostrado ser insuficientes para capturar la compleja interacción tridimensional y el comportamiento inelástico que experimentan las placas base bajo inversiones cíclicas de carga. En México, este rezago analítico se reflejó durante décadas en las normativas de construcción, las cuales abordaban el diseño de placas base mediante apéndices secundarios o adaptaciones genéricas de códigos extranjeros que no reflejaban fielmente la práctica constructiva nacional, ni la tipología de las secciones estructurales empleadas comúnmente en el país.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desarrolla un apartado tipo estado del arte, marco contextual y justificación técnica que sustenta una investigación de tesis orientada a la comparativa y el análisis paramétrico del diseño de placas base bajo la Norma Técnica Complementaria de 2017 (NTC-2017) y su contraparte actualizada de 2023 (NTC-2023). A través de un desglose teórico profundo, se examina cómo se diseñaban estas conexiones en el pasado reciente, qué eventos catastróficos y descubrimientos científicos motivaron la rápida obsolescencia de la normativa de 2017, qué cambios sustanciales se integraron en el corpus reglamentario de 2023 y, finalmente, por qué la ejecución de un análisis paramétrico computacional resulta ser la herramienta analítica más robusta para cuantificar el impacto técnico y económico de esta transición normativa. El desarrollo de este documento obedece a un enfoque estrictamente técnico y académico, priorizando la mecánica de materiales, el diseño por capacidad y los principios del diseño sísmico basado en el desempeño.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Evolución Histórica de las Normativas y Contexto Sísmico en México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ingeniería estructural mexicana es un campo de estudio en constante metamorfosis, impulsado primordialmente por la ineludible realidad geotectónica del país. México se encuentra situado sobre la compleja interacción de cinco placas tectónicas mayores: la Placa Norteamericana, la Placa de Cocos, la Placa del Pacífico, la Placa de Rivera y la Placa del Caribe. Esta configuración engendra mecanismos de subducción en la costa del Pacífico y sistemas de fallas intraplaca que someten a las zonas urbanas a excitaciones dinámicas de magnitudes formidables.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El Paradigma de 1985 y el Reconocimiento de la Amplificación Dinámica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parteaguas fundacional de la ingeniería sísmica moderna en México ocurrió la mañana del 19 de septiembre de 1985, cuando un sismo de subducción de magnitud </w:t>
      </w:r>
      <w:r w:rsidDel="00000000" w:rsidR="00000000" w:rsidRPr="00000000">
        <w:rPr>
          <w:rFonts w:ascii="Google Sans" w:cs="Google Sans" w:eastAsia="Google Sans" w:hAnsi="Google Sans"/>
          <w:color w:val="1f1f1f"/>
        </w:rPr>
        <w:drawing>
          <wp:inline distB="19050" distT="19050" distL="19050" distR="19050">
            <wp:extent cx="552153" cy="254840"/>
            <wp:effectExtent b="0" l="0" r="0" t="0"/>
            <wp:docPr id="25"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52153" cy="254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epicentro en las costas de Michoacán devastó una porción considerable de la Ciudad de México. La singularidad de la catástrofe no radicó únicamente en la magnitud de la liberación de energía, sino en la interacción de las ondas sísmicas con la estratigrafía local. Los depósitos de arcillas lacustres altamente compresibles y saturadas que subyacen a la capital mexicana actuaron como un filtro de amplificación dinámica espectacular. Las ondas sísmicas entrantes, que en roca firme presentaban aceleraciones moderadas, fueron amplificadas exponencialmente en los estratos blandos, generando registros con un contenido frecuencial dominante de largo periodo (alrededor de 2.0 segundos).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normativas vigentes previas a 1985 se basaban en coeficientes sísmicos globales que subestimaban drásticamente las fuerzas de inercia y, fundamentalmente, ignoraban la demanda de ductilidad requerida para evitar el colapso. Tras la tragedia, las Normas Técnicas Complementarias (NTC) experimentaron una reestructuración masiva. Se introdujeron espectros de diseño específicos por microzonificación geotécnica, se incrementaron los coeficientes sísmicos y, lo más relevante para el acero estructural, se instituyeron requerimientos estrictos de compacidad para evitar pandeos locales prematuros y asegurar la formación de articulaciones plásticas estables.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Modificaciones Intermedias y la Influencia del Sismo de 2017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las tres décadas posteriores, el Reglamento de Construcciones para el Distrito Federal y sus respectivas NTC (con revisiones notables en 1993 y 2004) refinaron los criterios de control de derivas de entrepiso y estados límite de servicio. No obstante, la atención seguía focalizada en resistir sismos de subducción de largo periodo que afectaban principalmente a estructuras altas y flexibles.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perspectiva unidimensional fue violentamente desafiada el 19 de septiembre de 2017. Un sismo intraplaca de profundidad intermedia, con magnitud </w:t>
      </w:r>
      <w:r w:rsidDel="00000000" w:rsidR="00000000" w:rsidRPr="00000000">
        <w:rPr>
          <w:rFonts w:ascii="Google Sans" w:cs="Google Sans" w:eastAsia="Google Sans" w:hAnsi="Google Sans"/>
          <w:color w:val="1f1f1f"/>
        </w:rPr>
        <w:drawing>
          <wp:inline distB="19050" distT="19050" distL="19050" distR="19050">
            <wp:extent cx="552153" cy="254840"/>
            <wp:effectExtent b="0" l="0" r="0" t="0"/>
            <wp:docPr id="27"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52153" cy="254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epicentro en los límites de Puebla y Morelos, sometió a la Ciudad de México a un escenario radicalmente distinto.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Dada la cercanía epicentral, el contenido frecuencial del movimiento del suelo estuvo dominado por periodos cortos e intermedios (entre 0.10 y 1.5 segundos), con aceleraciones pico del terreno sin precedentes en la historia instrumental de la zona de transición e incipiente zona del lago.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sismo evidenció severas vulnerabilidades en edificios de mediana altura (4 a 10 niveles). Aunque los colapsos totales de edificios estructurados con marcos rígidos de acero fueron mínimos, las inspecciones post-sísmicas revelaron un volumen alarmante de daños locales graves que inhabilitaron la funcionalidad de los inmuebles.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Uno de los focos rojos más evidentes fue el comportamiento deficiente de las conexiones columna-base. Las enormes fuerzas de tensión generadas por los momentos de volteo, combinadas con los efectos de excentricidad accidental y torsión, provocaron arrancamientos de placas base, fractura de pernos de anclaje, desprendimientos cónicos en los pedestales de concreto y fluencia excesiva de las placas de apoyo.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Paradójicamente, la publicación de la edición 2017 de las Normas Técnicas Complementarias ocurrió a finales de ese mismo año. Sin embargo, el contenido técnico de la NTC-2017 ya había sido redactado, discutido y cerrado por los comités antes de la ocurrencia del sismo de septiembre.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Por consiguiente, la NTC-2017 nació siendo un documento que, si bien avanzaba conceptualmente respecto a 2004, no incorporaba las lecciones mecánicas cruciales dejadas por la catástrofe que la precedió por pocos meses.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desincronización temporal fue el detonante principal que urgió a la academia, a la Sociedad Mexicana de Ingeniería Estructural (SMIE) y a los legisladores a iniciar inmediatamente la redacción de una nueva actualización normativa que culminaría con la promulgación de la NTC-2023.</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Estado del Arte: Mecanismos de Transferencia y Fallas Típicas en Placas Base y Anclajes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justificar las modificaciones analíticas de la nueva normativa y establecer el terreno sobre el cual operan los modelos paramétricos, es indispensable desglosar fenomenológicamente cómo interactúan el acero y el concreto en las bases de columnas, y cómo se manifiestan las fallas observadas.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Teoría de la Transferencia de Cargas Acero-Concreto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ensamble de una placa base debe transmutar un estado de esfuerzos complejos en la sección transversal de la columna hacia un estado de esfuerzos que el concreto sea capaz de tolerar sin fracturarse.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proceso se rige por los preceptos del diseño LRFD (Load and Resistance Factor Design), donde las demandas últimas no deben exceder las resistencias de diseño.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transferencia de compresión pura</w:t>
      </w:r>
      <w:r w:rsidDel="00000000" w:rsidR="00000000" w:rsidRPr="00000000">
        <w:rPr>
          <w:rFonts w:ascii="Google Sans" w:cs="Google Sans" w:eastAsia="Google Sans" w:hAnsi="Google Sans"/>
          <w:color w:val="1f1f1f"/>
          <w:rtl w:val="0"/>
        </w:rPr>
        <w:t xml:space="preserve"> es el mecanismo más básico. La placa de acero, al poseer una rigidez finita, no transfiere la carga de manera perfectamente uniforme. La presión de contacto es mayor justo debajo del perímetro de la columna (patines y alma) y disminuye hacia los bordes en voladizo de la placa. Si el espesor de la placa es insuficiente, las porciones en voladizo sufren pandeo o deflexión inelástica, reduciendo el área efectiva de apoyo. Esto concentra toda la carga axial en un núcleo central reducido, disparando localmente los esfuerzos hasta rebasar la resistencia a la compresión confinada del concreto (</w:t>
      </w:r>
      <w:r w:rsidDel="00000000" w:rsidR="00000000" w:rsidRPr="00000000">
        <w:rPr>
          <w:rFonts w:ascii="Google Sans" w:cs="Google Sans" w:eastAsia="Google Sans" w:hAnsi="Google Sans"/>
          <w:color w:val="1f1f1f"/>
        </w:rPr>
        <w:drawing>
          <wp:inline distB="19050" distT="19050" distL="19050" distR="19050">
            <wp:extent cx="165200" cy="264320"/>
            <wp:effectExtent b="0" l="0" r="0" t="0"/>
            <wp:docPr id="2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65200" cy="264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precipitando el aplastamiento.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escenarios de </w:t>
      </w:r>
      <w:r w:rsidDel="00000000" w:rsidR="00000000" w:rsidRPr="00000000">
        <w:rPr>
          <w:rFonts w:ascii="Google Sans" w:cs="Google Sans" w:eastAsia="Google Sans" w:hAnsi="Google Sans"/>
          <w:b w:val="1"/>
          <w:bCs w:val="1"/>
          <w:color w:val="1f1f1f"/>
          <w:rtl w:val="0"/>
        </w:rPr>
        <w:t xml:space="preserve">flexocompresión con altas excentricidades (</w:t>
      </w:r>
      <w:r w:rsidDel="00000000" w:rsidR="00000000" w:rsidRPr="00000000">
        <w:rPr>
          <w:rFonts w:ascii="Google Sans" w:cs="Google Sans" w:eastAsia="Google Sans" w:hAnsi="Google Sans"/>
          <w:b w:val="1"/>
          <w:bCs w:val="1"/>
          <w:color w:val="1f1f1f"/>
        </w:rPr>
        <w:drawing>
          <wp:inline distB="19050" distT="19050" distL="19050" distR="19050">
            <wp:extent cx="815248" cy="254103"/>
            <wp:effectExtent b="0" l="0" r="0" t="0"/>
            <wp:docPr id="29"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815248" cy="25410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comunes durante la oscilación lateral sísmica, la base experimenta levantamiento parcial. Una zona de la placa induce compresión en el concreto, mientras que el sector opuesto tiende a separarse del pedestal, requiriendo que los pernos de anclaje anclados al concreto desarrollen una fuerza de tensión estabilizadora.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es uno de los estados límite más críticos, pues la placa actúa como una palanca continua (mecanismo de líneas de fluencia o </w:t>
      </w:r>
      <w:r w:rsidDel="00000000" w:rsidR="00000000" w:rsidRPr="00000000">
        <w:rPr>
          <w:rFonts w:ascii="Google Sans" w:cs="Google Sans" w:eastAsia="Google Sans" w:hAnsi="Google Sans"/>
          <w:i w:val="1"/>
          <w:iCs w:val="1"/>
          <w:color w:val="1f1f1f"/>
          <w:rtl w:val="0"/>
        </w:rPr>
        <w:t xml:space="preserve">yield lines</w:t>
      </w:r>
      <w:r w:rsidDel="00000000" w:rsidR="00000000" w:rsidRPr="00000000">
        <w:rPr>
          <w:rFonts w:ascii="Google Sans" w:cs="Google Sans" w:eastAsia="Google Sans" w:hAnsi="Google Sans"/>
          <w:color w:val="1f1f1f"/>
          <w:rtl w:val="0"/>
        </w:rPr>
        <w:t xml:space="preserve">) que transfiere cortante y momento hacia la caña de los anclajes. El fenómeno conocido como </w:t>
      </w:r>
      <w:r w:rsidDel="00000000" w:rsidR="00000000" w:rsidRPr="00000000">
        <w:rPr>
          <w:rFonts w:ascii="Google Sans" w:cs="Google Sans" w:eastAsia="Google Sans" w:hAnsi="Google Sans"/>
          <w:i w:val="1"/>
          <w:iCs w:val="1"/>
          <w:color w:val="1f1f1f"/>
          <w:rtl w:val="0"/>
        </w:rPr>
        <w:t xml:space="preserve">efecto palanca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prying action</w:t>
      </w:r>
      <w:r w:rsidDel="00000000" w:rsidR="00000000" w:rsidRPr="00000000">
        <w:rPr>
          <w:rFonts w:ascii="Google Sans" w:cs="Google Sans" w:eastAsia="Google Sans" w:hAnsi="Google Sans"/>
          <w:color w:val="1f1f1f"/>
          <w:rtl w:val="0"/>
        </w:rPr>
        <w:t xml:space="preserve">) se manifiesta cuando una placa muy delgada y flexible se apoya en el concreto cerca del borde tensionado, utilizando dicho punto como pivote. Esto incrementa exponencialmente la demanda de tracción en el perno de anclaje, superando la carga teórica derivada del análisis estático convencional.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la </w:t>
      </w:r>
      <w:r w:rsidDel="00000000" w:rsidR="00000000" w:rsidRPr="00000000">
        <w:rPr>
          <w:rFonts w:ascii="Google Sans" w:cs="Google Sans" w:eastAsia="Google Sans" w:hAnsi="Google Sans"/>
          <w:b w:val="1"/>
          <w:bCs w:val="1"/>
          <w:color w:val="1f1f1f"/>
          <w:rtl w:val="0"/>
        </w:rPr>
        <w:t xml:space="preserve">transferencia de fuerza cortante basal</w:t>
      </w:r>
      <w:r w:rsidDel="00000000" w:rsidR="00000000" w:rsidRPr="00000000">
        <w:rPr>
          <w:rFonts w:ascii="Google Sans" w:cs="Google Sans" w:eastAsia="Google Sans" w:hAnsi="Google Sans"/>
          <w:color w:val="1f1f1f"/>
          <w:rtl w:val="0"/>
        </w:rPr>
        <w:t xml:space="preserve"> involucra la fricción en la interfaz acero-concreto-grout, el soporte directo por aplastamiento del perno contra los barrenos de la placa, y la adherencia química si existen dispositivos como llaves de cortante transversales (shear lugs) embebidas en el concreto.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Bajo sismos severos, la fricción se pierde momentáneamente cuando el sismo induce levantamiento (tensión) en toda la placa por componentes sísmicas verticales severas. Toda la fuerza cortante recae en los pernos y en el concreto confinado tras ellos.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Clasificación Mecánica de las Fallas Típicas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comportamiento de la conexión durante las demandas inelásticas se categoriza mediante los estados límite de falla previstos por las teorías de diseño por capacidad. Las inspecciones de campo de edificios colapsados o dañados severamente en México y otros territorios altamente sísmicos (como el sismo de Northridge) han tipificado los siguientes mecanismos de falla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Modo de Falla Observado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Mecánica del Fenómeno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Ductilidad y Desempeño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Fluencia Flexionante de la Placa 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placa base alcanza el esfuerzo de fluencia (</w:t>
            </w:r>
            <w:r w:rsidDel="00000000" w:rsidR="00000000" w:rsidRPr="00000000">
              <w:rPr>
                <w:rFonts w:ascii="Google Sans" w:cs="Google Sans" w:eastAsia="Google Sans" w:hAnsi="Google Sans"/>
                <w:color w:val="1f1f1f"/>
                <w:shd w:fill="auto" w:val="clear"/>
              </w:rPr>
              <w:drawing>
                <wp:inline distB="19050" distT="19050" distL="19050" distR="19050">
                  <wp:extent cx="177933" cy="251199"/>
                  <wp:effectExtent b="0" l="0" r="0" t="0"/>
                  <wp:docPr id="2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77933" cy="2511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formando líneas de rótulas plásticas a lo largo del perímetro de la columna de acero. Resulta en rotaciones excesivas de la base.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Moderadamente Dúctil.</w:t>
            </w:r>
            <w:r w:rsidDel="00000000" w:rsidR="00000000" w:rsidRPr="00000000">
              <w:rPr>
                <w:rFonts w:ascii="Google Sans" w:cs="Google Sans" w:eastAsia="Google Sans" w:hAnsi="Google Sans"/>
                <w:color w:val="1f1f1f"/>
                <w:shd w:fill="auto" w:val="clear"/>
                <w:rtl w:val="0"/>
              </w:rPr>
              <w:t xml:space="preserve"> Disipa energía, pero induce altas derivas de entrepiso y exacerba el efecto palanca en los anclajes, comprometiendo la estabilidad secundaria (</w:t>
            </w:r>
            <w:r w:rsidDel="00000000" w:rsidR="00000000" w:rsidRPr="00000000">
              <w:rPr>
                <w:rFonts w:ascii="Google Sans" w:cs="Google Sans" w:eastAsia="Google Sans" w:hAnsi="Google Sans"/>
                <w:color w:val="1f1f1f"/>
                <w:shd w:fill="auto" w:val="clear"/>
              </w:rPr>
              <w:drawing>
                <wp:inline distB="19050" distT="19050" distL="19050" distR="19050">
                  <wp:extent cx="490306" cy="228809"/>
                  <wp:effectExtent b="0" l="0" r="0" t="0"/>
                  <wp:docPr id="31"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490306" cy="2288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Aplastamiento del Concreto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Falla por compresión localizada en la superficie de contacto del pedestal o zapata al superarse la capacidad confinada </w:t>
            </w:r>
            <w:r w:rsidDel="00000000" w:rsidR="00000000" w:rsidRPr="00000000">
              <w:rPr>
                <w:rFonts w:ascii="Google Sans" w:cs="Google Sans" w:eastAsia="Google Sans" w:hAnsi="Google Sans"/>
                <w:color w:val="1f1f1f"/>
                <w:shd w:fill="auto" w:val="clear"/>
              </w:rPr>
              <w:drawing>
                <wp:inline distB="19050" distT="19050" distL="19050" distR="19050">
                  <wp:extent cx="204556" cy="272741"/>
                  <wp:effectExtent b="0" l="0" r="0" t="0"/>
                  <wp:docPr id="3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4556" cy="2727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 agrava por mala colocación de mortero de nivelación (grout) o falta de espesor de placa.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Frágil/Semidúctil.</w:t>
            </w:r>
            <w:r w:rsidDel="00000000" w:rsidR="00000000" w:rsidRPr="00000000">
              <w:rPr>
                <w:rFonts w:ascii="Google Sans" w:cs="Google Sans" w:eastAsia="Google Sans" w:hAnsi="Google Sans"/>
                <w:color w:val="1f1f1f"/>
                <w:shd w:fill="auto" w:val="clear"/>
                <w:rtl w:val="0"/>
              </w:rPr>
              <w:t xml:space="preserve"> Ocasiona asentamientos diferenciales severos en la columna, induciendo momentos parasitarios no previstos en el resto del marco estructural rígido.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Falla Dúctil del Acero de las Anclas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Elongación macroscópica y estricción transversal del vástago de acero del perno de anclaje antes de la rotura por tensión pura.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Dúctil.</w:t>
            </w:r>
            <w:r w:rsidDel="00000000" w:rsidR="00000000" w:rsidRPr="00000000">
              <w:rPr>
                <w:rFonts w:ascii="Google Sans" w:cs="Google Sans" w:eastAsia="Google Sans" w:hAnsi="Google Sans"/>
                <w:color w:val="1f1f1f"/>
                <w:shd w:fill="auto" w:val="clear"/>
                <w:rtl w:val="0"/>
              </w:rPr>
              <w:t xml:space="preserve"> Sin embargo, bajo un diseño estricto por capacidad ("columna fuerte"), es un modo que busca evitarse para que la disipación recaiga en las vigas o fusibles intencionales.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Desprendimiento del Cono de Concreto (Breakout en Tensión)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Las microfisuras de tensión se propagan desde la cabeza o tuerca embebida del anclaje hacia la superficie libre a un ángulo aproximado de </w:t>
            </w:r>
            <w:r w:rsidDel="00000000" w:rsidR="00000000" w:rsidRPr="00000000">
              <w:rPr>
                <w:rFonts w:ascii="Google Sans" w:cs="Google Sans" w:eastAsia="Google Sans" w:hAnsi="Google Sans"/>
                <w:color w:val="1f1f1f"/>
                <w:shd w:fill="auto" w:val="clear"/>
              </w:rPr>
              <w:drawing>
                <wp:inline distB="19050" distT="19050" distL="19050" distR="19050">
                  <wp:extent cx="242094" cy="209081"/>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242094" cy="2090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causando la explosión de un bloque cónico masivo de concreto.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Extremadamente Frágil.</w:t>
            </w:r>
            <w:r w:rsidDel="00000000" w:rsidR="00000000" w:rsidRPr="00000000">
              <w:rPr>
                <w:rFonts w:ascii="Google Sans" w:cs="Google Sans" w:eastAsia="Google Sans" w:hAnsi="Google Sans"/>
                <w:color w:val="1f1f1f"/>
                <w:shd w:fill="auto" w:val="clear"/>
                <w:rtl w:val="0"/>
              </w:rPr>
              <w:t xml:space="preserve"> Pérdida súbita e irreversible de la capacidad de anclaje. Resulta en la separación de la superestructura y el riesgo inminente de volteo del edificio.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Falla de Borde por Cortante (Lateral Breakout)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Fuerzas laterales empujan los anclajes instalados cerca de un borde libre, provocando el estallido del recubrimiento de concreto hacia el exterior.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Frágil.</w:t>
            </w:r>
            <w:r w:rsidDel="00000000" w:rsidR="00000000" w:rsidRPr="00000000">
              <w:rPr>
                <w:rFonts w:ascii="Google Sans" w:cs="Google Sans" w:eastAsia="Google Sans" w:hAnsi="Google Sans"/>
                <w:color w:val="1f1f1f"/>
                <w:shd w:fill="auto" w:val="clear"/>
                <w:rtl w:val="0"/>
              </w:rPr>
              <w:t xml:space="preserve"> Común en pedestales esbeltos sin suficiente refuerzo transversal (estribos) rodeando la zona de anclaje en el tercio superior.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Arrancamiento (Pullout) y Deslizamiento (Pryout)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Falla del mecanismo de adherencia mecánica o química entre el fuste del perno y el concreto circundante.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Frágil.</w:t>
            </w:r>
            <w:r w:rsidDel="00000000" w:rsidR="00000000" w:rsidRPr="00000000">
              <w:rPr>
                <w:rFonts w:ascii="Google Sans" w:cs="Google Sans" w:eastAsia="Google Sans" w:hAnsi="Google Sans"/>
                <w:color w:val="1f1f1f"/>
                <w:shd w:fill="auto" w:val="clear"/>
                <w:rtl w:val="0"/>
              </w:rPr>
              <w:t xml:space="preserve"> Generalmente ocasionado por insuficiencia en la longitud de anclaje efectivo o fallas en la consolidación del colado del concreto alrededor de las anclas.</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persistencia de fallas por </w:t>
      </w:r>
      <w:r w:rsidDel="00000000" w:rsidR="00000000" w:rsidRPr="00000000">
        <w:rPr>
          <w:rFonts w:ascii="Google Sans" w:cs="Google Sans" w:eastAsia="Google Sans" w:hAnsi="Google Sans"/>
          <w:i w:val="1"/>
          <w:iCs w:val="1"/>
          <w:color w:val="1f1f1f"/>
          <w:rtl w:val="0"/>
        </w:rPr>
        <w:t xml:space="preserve">desprendimiento de cono de concreto</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arrancamiento</w:t>
      </w:r>
      <w:r w:rsidDel="00000000" w:rsidR="00000000" w:rsidRPr="00000000">
        <w:rPr>
          <w:rFonts w:ascii="Google Sans" w:cs="Google Sans" w:eastAsia="Google Sans" w:hAnsi="Google Sans"/>
          <w:color w:val="1f1f1f"/>
          <w:rtl w:val="0"/>
        </w:rPr>
        <w:t xml:space="preserve"> durante los eventos recientes demostró que las fuerzas que llegaban a la placa base y a los anclajes excedían sistemáticamente las consideraciones elásticas de los análisis espectrales normativos, indicando que las sobre-resistencias aleatorias del acero de la superestructura estaban siendo omitidas en el diseño local de la base.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Diseño Estructural y de Placas Base bajo la NTC-2017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medir de manera rigurosa la magnitud del salto cualitativo y cuantitativo introducido en 2023, es preciso establecer una radiografía detallada de la arquitectura normativa y las fórmulas de evaluación estipuladas en la NTC-DCEA-2017 (Norma Técnica Complementaria para el Diseño y Construcción de Estructuras de Acero de 2017).</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Ubicación Periférica: El Apéndice B</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rasgo más distintivo del enfoque de diseño de conexiones de base en la normativa de 2017 residía en su ubicación en el documento. Toda la teoría, consideraciones geométricas y formulaciones analíticas correspondientes al diseño de placas base de acero se encontraban relegadas al </w:t>
      </w:r>
      <w:r w:rsidDel="00000000" w:rsidR="00000000" w:rsidRPr="00000000">
        <w:rPr>
          <w:rFonts w:ascii="Google Sans" w:cs="Google Sans" w:eastAsia="Google Sans" w:hAnsi="Google Sans"/>
          <w:b w:val="1"/>
          <w:bCs w:val="1"/>
          <w:color w:val="1f1f1f"/>
          <w:rtl w:val="0"/>
        </w:rPr>
        <w:t xml:space="preserve">Apéndice B</w:t>
      </w:r>
      <w:r w:rsidDel="00000000" w:rsidR="00000000" w:rsidRPr="00000000">
        <w:rPr>
          <w:rFonts w:ascii="Google Sans" w:cs="Google Sans" w:eastAsia="Google Sans" w:hAnsi="Google Sans"/>
          <w:color w:val="1f1f1f"/>
          <w:rtl w:val="0"/>
        </w:rPr>
        <w:t xml:space="preserve"> del código.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léxico jurídico-técnico de la ingeniería, estructurar información crítica en un apéndice conlleva interpretaciones perjudiciales en la práctica profesional de las firmas de cálculo. Históricamente, en México, los apéndices han sido tratados como lineamientos auxiliares, métodos alternativos o recomendaciones secundarias, en lugar de exigencias ineludibles que merezcan el mismo rigor computacional que la validación de un esfuerzo de pandeo flexotorsionante de un miembro principal.</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Metodología de Revisión y Limitaciones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Apéndice B.1 delineaba metodologías clásicas del diseño LRFD, concentrándose en evitar los modos de falla primarios bajo consideraciones estáticas e independientes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Diseño en Compresión Axial (Sección B.1.1):</w:t>
      </w:r>
      <w:r w:rsidDel="00000000" w:rsidR="00000000" w:rsidRPr="00000000">
        <w:rPr>
          <w:rFonts w:ascii="Google Sans" w:cs="Google Sans" w:eastAsia="Google Sans" w:hAnsi="Google Sans"/>
          <w:color w:val="1f1f1f"/>
          <w:rtl w:val="0"/>
        </w:rPr>
        <w:t xml:space="preserve"> La resistencia de diseño al aplastamiento del concreto que sirve de apoyo a la placa se estipulaba calculando la máxima presión confinada, fundamentada en la relación de áreas. La carga factorizada debía ser inferior a la resistencia límite </w:t>
      </w:r>
      <w:r w:rsidDel="00000000" w:rsidR="00000000" w:rsidRPr="00000000">
        <w:rPr>
          <w:rFonts w:ascii="Google Sans" w:cs="Google Sans" w:eastAsia="Google Sans" w:hAnsi="Google Sans"/>
          <w:color w:val="1f1f1f"/>
        </w:rPr>
        <w:drawing>
          <wp:inline distB="19050" distT="19050" distL="19050" distR="19050">
            <wp:extent cx="204556" cy="272741"/>
            <wp:effectExtent b="0" l="0" r="0" t="0"/>
            <wp:docPr id="3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4556" cy="272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intervienen el área de apoyo geométrico directo (</w:t>
      </w:r>
      <w:r w:rsidDel="00000000" w:rsidR="00000000" w:rsidRPr="00000000">
        <w:rPr>
          <w:rFonts w:ascii="Google Sans" w:cs="Google Sans" w:eastAsia="Google Sans" w:hAnsi="Google Sans"/>
          <w:color w:val="1f1f1f"/>
        </w:rPr>
        <w:drawing>
          <wp:inline distB="19050" distT="19050" distL="19050" distR="19050">
            <wp:extent cx="225392" cy="257591"/>
            <wp:effectExtent b="0" l="0" r="0" t="0"/>
            <wp:docPr id="3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25392" cy="257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área máxima de contacto efectivo amplificada por el dado de concreto (</w:t>
      </w:r>
      <w:r w:rsidDel="00000000" w:rsidR="00000000" w:rsidRPr="00000000">
        <w:rPr>
          <w:rFonts w:ascii="Google Sans" w:cs="Google Sans" w:eastAsia="Google Sans" w:hAnsi="Google Sans"/>
          <w:color w:val="1f1f1f"/>
        </w:rPr>
        <w:drawing>
          <wp:inline distB="19050" distT="19050" distL="19050" distR="19050">
            <wp:extent cx="225392" cy="257591"/>
            <wp:effectExtent b="0" l="0" r="0" t="0"/>
            <wp:docPr id="3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25392" cy="257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esfuerzo de diseño del concreto (</w:t>
      </w:r>
      <w:r w:rsidDel="00000000" w:rsidR="00000000" w:rsidRPr="00000000">
        <w:rPr>
          <w:rFonts w:ascii="Google Sans" w:cs="Google Sans" w:eastAsia="Google Sans" w:hAnsi="Google Sans"/>
          <w:color w:val="1f1f1f"/>
        </w:rPr>
        <w:drawing>
          <wp:inline distB="19050" distT="19050" distL="19050" distR="19050">
            <wp:extent cx="699658" cy="258335"/>
            <wp:effectExtent b="0" l="0" r="0" t="0"/>
            <wp:docPr id="35"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699658" cy="258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espesor de la placa base </w:t>
      </w:r>
      <w:r w:rsidDel="00000000" w:rsidR="00000000" w:rsidRPr="00000000">
        <w:rPr>
          <w:rFonts w:ascii="Google Sans" w:cs="Google Sans" w:eastAsia="Google Sans" w:hAnsi="Google Sans"/>
          <w:color w:val="1f1f1f"/>
        </w:rPr>
        <w:drawing>
          <wp:inline distB="19050" distT="19050" distL="19050" distR="19050">
            <wp:extent cx="70776" cy="283104"/>
            <wp:effectExtent b="0" l="0" r="0" t="0"/>
            <wp:docPr id="3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70776" cy="283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dimensionaba determinando las distancias de vuelo crítico equivalentes (longitudes </w:t>
      </w:r>
      <w:r w:rsidDel="00000000" w:rsidR="00000000" w:rsidRPr="00000000">
        <w:rPr>
          <w:rFonts w:ascii="Google Sans" w:cs="Google Sans" w:eastAsia="Google Sans" w:hAnsi="Google Sans"/>
          <w:color w:val="1f1f1f"/>
        </w:rPr>
        <w:drawing>
          <wp:inline distB="19050" distT="19050" distL="19050" distR="19050">
            <wp:extent cx="172144" cy="258217"/>
            <wp:effectExtent b="0" l="0" r="0" t="0"/>
            <wp:docPr id="38"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72144" cy="2582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17575" cy="282179"/>
            <wp:effectExtent b="0" l="0" r="0" t="0"/>
            <wp:docPr id="3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117575" cy="282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Murray, asumiendo un bloque de presiones rectangulares uniforme bajo la placa.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Diseño en Tensión Axial (Sección B.1.2) y Cortante (Sección B.1.3):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La validación recaía principalmente en verificar el área neta a la raíz de la rosca del grupo de anclajes. Se calculaba la resistencia a la tensión nominal basada en el esfuerzo último del acero del ancla (</w:t>
      </w:r>
      <w:r w:rsidDel="00000000" w:rsidR="00000000" w:rsidRPr="00000000">
        <w:rPr>
          <w:rFonts w:ascii="Google Sans" w:cs="Google Sans" w:eastAsia="Google Sans" w:hAnsi="Google Sans"/>
          <w:color w:val="1f1f1f"/>
        </w:rPr>
        <w:drawing>
          <wp:inline distB="19050" distT="19050" distL="19050" distR="19050">
            <wp:extent cx="214313" cy="257175"/>
            <wp:effectExtent b="0" l="0" r="0" t="0"/>
            <wp:docPr id="40"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14313" cy="257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cortante consideraba factores de reducción penalizados si la zona de las roscas estaba incluida en el plano de corte.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Deficiencias en Flexocompresión y Efectos Bidireccionales (Sección B.1.4):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Cuando la conexión estaba sometida simultáneamente a carga axial </w:t>
      </w:r>
      <w:r w:rsidDel="00000000" w:rsidR="00000000" w:rsidRPr="00000000">
        <w:rPr>
          <w:rFonts w:ascii="Google Sans" w:cs="Google Sans" w:eastAsia="Google Sans" w:hAnsi="Google Sans"/>
          <w:color w:val="1f1f1f"/>
        </w:rPr>
        <w:drawing>
          <wp:inline distB="19050" distT="19050" distL="19050" distR="19050">
            <wp:extent cx="214147" cy="270501"/>
            <wp:effectExtent b="0" l="0" r="0" t="0"/>
            <wp:docPr id="41"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214147" cy="270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a momento flexionante </w:t>
      </w:r>
      <w:r w:rsidDel="00000000" w:rsidR="00000000" w:rsidRPr="00000000">
        <w:rPr>
          <w:rFonts w:ascii="Google Sans" w:cs="Google Sans" w:eastAsia="Google Sans" w:hAnsi="Google Sans"/>
          <w:color w:val="1f1f1f"/>
        </w:rPr>
        <w:drawing>
          <wp:inline distB="19050" distT="19050" distL="19050" distR="19050">
            <wp:extent cx="278474" cy="257053"/>
            <wp:effectExtent b="0" l="0" r="0" t="0"/>
            <wp:docPr id="4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78474" cy="257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NTC-2017 empleaba la teoría del triángulo elástico o el bloque de presiones simplificado para encontrar la excentricidad </w:t>
      </w:r>
      <w:r w:rsidDel="00000000" w:rsidR="00000000" w:rsidRPr="00000000">
        <w:rPr>
          <w:rFonts w:ascii="Google Sans" w:cs="Google Sans" w:eastAsia="Google Sans" w:hAnsi="Google Sans"/>
          <w:color w:val="1f1f1f"/>
        </w:rPr>
        <w:drawing>
          <wp:inline distB="19050" distT="19050" distL="19050" distR="19050">
            <wp:extent cx="91447" cy="274340"/>
            <wp:effectExtent b="0" l="0" r="0" t="0"/>
            <wp:docPr id="4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91447" cy="274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 </w:t>
      </w:r>
      <w:r w:rsidDel="00000000" w:rsidR="00000000" w:rsidRPr="00000000">
        <w:rPr>
          <w:rFonts w:ascii="Google Sans" w:cs="Google Sans" w:eastAsia="Google Sans" w:hAnsi="Google Sans"/>
          <w:color w:val="1f1f1f"/>
        </w:rPr>
        <w:drawing>
          <wp:inline distB="19050" distT="19050" distL="19050" distR="19050">
            <wp:extent cx="91447" cy="274340"/>
            <wp:effectExtent b="0" l="0" r="0" t="0"/>
            <wp:docPr id="44"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91447" cy="274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era grande, se determinaba la porción traccionada y se calculaba el volumen de acero del perno necesario. Sin embargo, estas ecuaciones carecían de robustez paramétrica para lidiar con solicitaciones biaxiales severas continuas (sismo) y no integraban mandatos imperativos para modelar la flexibilidad real de la placa y su interacción con los factores de modificación de repuesta sísmica (</w:t>
      </w:r>
      <w:r w:rsidDel="00000000" w:rsidR="00000000" w:rsidRPr="00000000">
        <w:rPr>
          <w:rFonts w:ascii="Google Sans" w:cs="Google Sans" w:eastAsia="Google Sans" w:hAnsi="Google Sans"/>
          <w:color w:val="1f1f1f"/>
        </w:rPr>
        <w:drawing>
          <wp:inline distB="19050" distT="19050" distL="19050" distR="19050">
            <wp:extent cx="155112" cy="265906"/>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55112" cy="265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Ausencia del Diseño por Capacidad Explícito para la Base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mayor deficiencia conceptual de la NTC-2017 residía en la ambigüedad referente a la filosofía de Diseño por Capacidad (Capacity Design) aplicada al subsistema placa-ancla-dado.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 bien el cuerpo principal de la NTC-2017 requería que los nudos viga-columna fuesen más fuertes que las vigas (fomentando la articulación plástica en los elementos horizontales), no había un lenguaje jurídico suficientemente coercitivo que forzara a los diseñadores a diseñar la placa base y los anclajes para el </w:t>
      </w:r>
      <w:r w:rsidDel="00000000" w:rsidR="00000000" w:rsidRPr="00000000">
        <w:rPr>
          <w:rFonts w:ascii="Google Sans" w:cs="Google Sans" w:eastAsia="Google Sans" w:hAnsi="Google Sans"/>
          <w:i w:val="1"/>
          <w:iCs w:val="1"/>
          <w:color w:val="1f1f1f"/>
          <w:rtl w:val="0"/>
        </w:rPr>
        <w:t xml:space="preserve">momento plástico máximo esperado</w:t>
      </w:r>
      <w:r w:rsidDel="00000000" w:rsidR="00000000" w:rsidRPr="00000000">
        <w:rPr>
          <w:rFonts w:ascii="Google Sans" w:cs="Google Sans" w:eastAsia="Google Sans" w:hAnsi="Google Sans"/>
          <w:color w:val="1f1f1f"/>
          <w:rtl w:val="0"/>
        </w:rPr>
        <w:t xml:space="preserve"> y la </w:t>
      </w:r>
      <w:r w:rsidDel="00000000" w:rsidR="00000000" w:rsidRPr="00000000">
        <w:rPr>
          <w:rFonts w:ascii="Google Sans" w:cs="Google Sans" w:eastAsia="Google Sans" w:hAnsi="Google Sans"/>
          <w:i w:val="1"/>
          <w:iCs w:val="1"/>
          <w:color w:val="1f1f1f"/>
          <w:rtl w:val="0"/>
        </w:rPr>
        <w:t xml:space="preserve">capacidad a tracción última</w:t>
      </w:r>
      <w:r w:rsidDel="00000000" w:rsidR="00000000" w:rsidRPr="00000000">
        <w:rPr>
          <w:rFonts w:ascii="Google Sans" w:cs="Google Sans" w:eastAsia="Google Sans" w:hAnsi="Google Sans"/>
          <w:color w:val="1f1f1f"/>
          <w:rtl w:val="0"/>
        </w:rPr>
        <w:t xml:space="preserve"> de la columna adyacente. Esto permitía que, legalmente, muchos ingenieros diseñaran las placas base utilizando únicamente las reacciones sísmicas espectrales reducidas por el factor de comportamiento sísmico (</w:t>
      </w:r>
      <w:r w:rsidDel="00000000" w:rsidR="00000000" w:rsidRPr="00000000">
        <w:rPr>
          <w:rFonts w:ascii="Google Sans" w:cs="Google Sans" w:eastAsia="Google Sans" w:hAnsi="Google Sans"/>
          <w:color w:val="1f1f1f"/>
        </w:rPr>
        <w:drawing>
          <wp:inline distB="19050" distT="19050" distL="19050" distR="19050">
            <wp:extent cx="155112" cy="265906"/>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55112" cy="265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sobre-resistencia (</w:t>
      </w:r>
      <w:r w:rsidDel="00000000" w:rsidR="00000000" w:rsidRPr="00000000">
        <w:rPr>
          <w:rFonts w:ascii="Google Sans" w:cs="Google Sans" w:eastAsia="Google Sans" w:hAnsi="Google Sans"/>
          <w:color w:val="1f1f1f"/>
        </w:rPr>
        <w:drawing>
          <wp:inline distB="19050" distT="19050" distL="19050" distR="19050">
            <wp:extent cx="150317" cy="257686"/>
            <wp:effectExtent b="0" l="0" r="0" t="0"/>
            <wp:docPr id="1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50317" cy="257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garantizaba que, en el evento de un sismo mayor, la conexión frágil en el concreto colapsara mucho antes de que la columna de acero pudiera fluir de manera dúctil para disipar la energía cinética del terremoto.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Además, el código de 2017 basaba gran parte de sus asunciones empíricas de conexiones precalificadas en el manual estadounidense AISC 358. Las formulaciones del AISC están desarrolladas casi en su totalidad para columnas de patín ancho (Perfiles tipo I o "Wide Flange") trabajando en su eje fuerte. No obstante, en la práctica arquitectónica y estructural mexicana se privilegia el uso intensivo de </w:t>
      </w:r>
      <w:r w:rsidDel="00000000" w:rsidR="00000000" w:rsidRPr="00000000">
        <w:rPr>
          <w:rFonts w:ascii="Google Sans" w:cs="Google Sans" w:eastAsia="Google Sans" w:hAnsi="Google Sans"/>
          <w:b w:val="1"/>
          <w:bCs w:val="1"/>
          <w:color w:val="1f1f1f"/>
          <w:rtl w:val="0"/>
        </w:rPr>
        <w:t xml:space="preserve">Columnas de Sección Tubular Cuadrada, Rectangular en Cajón, o perfiles HSS</w:t>
      </w:r>
      <w:r w:rsidDel="00000000" w:rsidR="00000000" w:rsidRPr="00000000">
        <w:rPr>
          <w:rFonts w:ascii="Google Sans" w:cs="Google Sans" w:eastAsia="Google Sans" w:hAnsi="Google Sans"/>
          <w:color w:val="1f1f1f"/>
          <w:rtl w:val="0"/>
        </w:rPr>
        <w:t xml:space="preserve"> armados a base de cuatro placas soldadas, así como el análisis de perfiles "I" trabajando en su eje débil para lograr rigideces bidireccionales homogéneas.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NTC-2017 carecía de pautas sólidas y experimentación tropicalizada para extrapolar el comportamiento paramétrico del aplastamiento y el efecto de líneas de fluencia en placas base conectadas a secciones perimetrales cerradas (tubulares) sujetas a sismo.</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Razones Técnicas y Contextuales que Justificaron la Rápida Actualización Normativa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un suceso atípico en el ciclo de vida de los reglamentos de construcción que un documento se reforme sustancialmente apenas seis años después de su emisión (2017 a 2023). Este fenómeno se encuentra fundamentado por una conjunción de urgencia técnica, evolución metodológica global y amplias campañas de experimentación local.</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El Impacto de Nuevas Investigaciones y la Metalurgia Local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Inmediatamente después del sismo de 2017, laboratorios universitarios e investigadores clave como el Dr. Edgar Tapia Hernández, en conjunto con comités técnicos de la SMIE, emprendieron investigaciones destructivas y paramétricas masivas.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propósito era verificar si los factores de sobreresistencia teóricos (el factor </w:t>
      </w:r>
      <w:r w:rsidDel="00000000" w:rsidR="00000000" w:rsidRPr="00000000">
        <w:rPr>
          <w:rFonts w:ascii="Google Sans" w:cs="Google Sans" w:eastAsia="Google Sans" w:hAnsi="Google Sans"/>
          <w:color w:val="1f1f1f"/>
        </w:rPr>
        <w:drawing>
          <wp:inline distB="19050" distT="19050" distL="19050" distR="19050">
            <wp:extent cx="230684" cy="263639"/>
            <wp:effectExtent b="0" l="0" r="0" t="0"/>
            <wp:docPr id="1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30684" cy="263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predice cuánto esfuerzo adicional desarrolla un acero comercial por encima de su valor de fluencia nominal </w:t>
      </w:r>
      <w:r w:rsidDel="00000000" w:rsidR="00000000" w:rsidRPr="00000000">
        <w:rPr>
          <w:rFonts w:ascii="Google Sans" w:cs="Google Sans" w:eastAsia="Google Sans" w:hAnsi="Google Sans"/>
          <w:color w:val="1f1f1f"/>
        </w:rPr>
        <w:drawing>
          <wp:inline distB="19050" distT="19050" distL="19050" distR="19050">
            <wp:extent cx="207863" cy="262564"/>
            <wp:effectExtent b="0" l="0" r="0" t="0"/>
            <wp:docPr id="1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07863" cy="26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establecido en fábrica) eran concordantes con los perfiles y placas disponibles en el mercado metalúrgico mexicano.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ensayaron numerosos especímenes de aceros comerciales (A36, A572 Gr. 50, entre otros) construyendo columnas y vigas para llevarlas a la fractura bajo cargas cíclicas.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Estas pruebas dictaminaron que la variabilidad local justificaba calibraciones paramétricas únicas en los códigos mexicanos. Asimismo, los estudios metalúrgicos abordaron la problemática de la </w:t>
      </w:r>
      <w:r w:rsidDel="00000000" w:rsidR="00000000" w:rsidRPr="00000000">
        <w:rPr>
          <w:rFonts w:ascii="Google Sans" w:cs="Google Sans" w:eastAsia="Google Sans" w:hAnsi="Google Sans"/>
          <w:b w:val="1"/>
          <w:bCs w:val="1"/>
          <w:color w:val="1f1f1f"/>
          <w:rtl w:val="0"/>
        </w:rPr>
        <w:t xml:space="preserve">fatiga y los esfuerzos residuales</w:t>
      </w:r>
      <w:r w:rsidDel="00000000" w:rsidR="00000000" w:rsidRPr="00000000">
        <w:rPr>
          <w:rFonts w:ascii="Google Sans" w:cs="Google Sans" w:eastAsia="Google Sans" w:hAnsi="Google Sans"/>
          <w:color w:val="1f1f1f"/>
          <w:rtl w:val="0"/>
        </w:rPr>
        <w:t xml:space="preserve"> generados por la soldadura masiva en la zona afectada por el calor (HAZ) al construir secciones en cajón o conectar columnas a placas base de alto espesor.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calor severo altera la estructura granular del acero a nivel microscópico, fragilizándolo, requiriendo normas más estrictas de precalentamiento y detallado de soldaduras de demanda crítica que la NTC-2017 no preveía con el mismo rigor.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El Salto Evolutivo hacia el Diseño Sísmico Basado en Desempeño (DSBD)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internacional, la ingeniería sísmica ha transitado del análisis prescriptivo lineal al Diseño Sísmico Basado en Desempeño (DSBD). Este paradigma, consagrado en la nueva estructura de la NTC-Sismo 2023, dicta que una edificación no solo debe evitar colapsar, sino que debe diseñarse permitiendo a los ingenieros predecir y controlar estadísticamente los niveles de daño bajo espectros sísmicos de distintas probabilidades de excedencia (sismos frecuentes, sismos de diseño y sismos máximos considerados).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marco de la NTC-2017, la herramienta fundamental del DSBD, el </w:t>
      </w:r>
      <w:r w:rsidDel="00000000" w:rsidR="00000000" w:rsidRPr="00000000">
        <w:rPr>
          <w:rFonts w:ascii="Google Sans" w:cs="Google Sans" w:eastAsia="Google Sans" w:hAnsi="Google Sans"/>
          <w:b w:val="1"/>
          <w:bCs w:val="1"/>
          <w:color w:val="1f1f1f"/>
          <w:rtl w:val="0"/>
        </w:rPr>
        <w:t xml:space="preserve">Análisis Sísmico No Lineal</w:t>
      </w:r>
      <w:r w:rsidDel="00000000" w:rsidR="00000000" w:rsidRPr="00000000">
        <w:rPr>
          <w:rFonts w:ascii="Google Sans" w:cs="Google Sans" w:eastAsia="Google Sans" w:hAnsi="Google Sans"/>
          <w:color w:val="1f1f1f"/>
          <w:rtl w:val="0"/>
        </w:rPr>
        <w:t xml:space="preserve">, estaba proscrita al remoto </w:t>
      </w:r>
      <w:r w:rsidDel="00000000" w:rsidR="00000000" w:rsidRPr="00000000">
        <w:rPr>
          <w:rFonts w:ascii="Google Sans" w:cs="Google Sans" w:eastAsia="Google Sans" w:hAnsi="Google Sans"/>
          <w:i w:val="1"/>
          <w:iCs w:val="1"/>
          <w:color w:val="1f1f1f"/>
          <w:rtl w:val="0"/>
        </w:rPr>
        <w:t xml:space="preserve">Apéndice 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rápida actualización hacia 2023 forzó la incorporación formal y central de técnicas inelásticas y de pushover (análisis estático no lineal), así como de las curvas fuerza-deformación y diagramas de histéresis de articulaciones plásticas concentradas, hacia los capítulos principales del diseño de la súper y sub-estructura (como el Capítulo 17 de la NTC-Acero 2023).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diseño paramétrico de placas base debía actualizarse inmediatamente para soportar las masivas deformaciones plásticas precalculadas en las superestructuras diseñadas mediante DSBD.</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Cambios Relevantes Introducidos en la NTC-2023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promulgación en la Gaceta Oficial de la Ciudad de México de las </w:t>
      </w:r>
      <w:r w:rsidDel="00000000" w:rsidR="00000000" w:rsidRPr="00000000">
        <w:rPr>
          <w:rFonts w:ascii="Google Sans" w:cs="Google Sans" w:eastAsia="Google Sans" w:hAnsi="Google Sans"/>
          <w:i w:val="1"/>
          <w:iCs w:val="1"/>
          <w:color w:val="1f1f1f"/>
          <w:rtl w:val="0"/>
        </w:rPr>
        <w:t xml:space="preserve">Normas Técnicas Complementarias para el Diseño y Construcción de Estructuras de Acero</w:t>
      </w:r>
      <w:r w:rsidDel="00000000" w:rsidR="00000000" w:rsidRPr="00000000">
        <w:rPr>
          <w:rFonts w:ascii="Google Sans" w:cs="Google Sans" w:eastAsia="Google Sans" w:hAnsi="Google Sans"/>
          <w:color w:val="1f1f1f"/>
          <w:rtl w:val="0"/>
        </w:rPr>
        <w:t xml:space="preserve"> y de </w:t>
      </w:r>
      <w:r w:rsidDel="00000000" w:rsidR="00000000" w:rsidRPr="00000000">
        <w:rPr>
          <w:rFonts w:ascii="Google Sans" w:cs="Google Sans" w:eastAsia="Google Sans" w:hAnsi="Google Sans"/>
          <w:i w:val="1"/>
          <w:iCs w:val="1"/>
          <w:color w:val="1f1f1f"/>
          <w:rtl w:val="0"/>
        </w:rPr>
        <w:t xml:space="preserve">Concreto</w:t>
      </w:r>
      <w:r w:rsidDel="00000000" w:rsidR="00000000" w:rsidRPr="00000000">
        <w:rPr>
          <w:rFonts w:ascii="Google Sans" w:cs="Google Sans" w:eastAsia="Google Sans" w:hAnsi="Google Sans"/>
          <w:color w:val="1f1f1f"/>
          <w:rtl w:val="0"/>
        </w:rPr>
        <w:t xml:space="preserve"> en noviembre de 2023 representó una reestructuración orgánica y procedimental sin paralelos, en la que confluyeron las investigaciones y lecciones previas.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Jerarquización y Expansión: De Apéndice a Capítulo Principal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transformación más trascendente a nivel operativo y cognitivo para el diseñador estructural es la reubicación del contenido normativo. El diseño de placas base y anclajes dejó de ser un lineamiento accesorio en un apéndice (Apéndice B de 2017) para convertirse en el </w:t>
      </w:r>
      <w:r w:rsidDel="00000000" w:rsidR="00000000" w:rsidRPr="00000000">
        <w:rPr>
          <w:rFonts w:ascii="Google Sans" w:cs="Google Sans" w:eastAsia="Google Sans" w:hAnsi="Google Sans"/>
          <w:b w:val="1"/>
          <w:bCs w:val="1"/>
          <w:color w:val="1f1f1f"/>
          <w:rtl w:val="0"/>
        </w:rPr>
        <w:t xml:space="preserve">Capítulo 13 (Diseño de Placas Base)</w:t>
      </w:r>
      <w:r w:rsidDel="00000000" w:rsidR="00000000" w:rsidRPr="00000000">
        <w:rPr>
          <w:rFonts w:ascii="Google Sans" w:cs="Google Sans" w:eastAsia="Google Sans" w:hAnsi="Google Sans"/>
          <w:color w:val="1f1f1f"/>
          <w:rtl w:val="0"/>
        </w:rPr>
        <w:t xml:space="preserve"> y tener una integración directa con el </w:t>
      </w:r>
      <w:r w:rsidDel="00000000" w:rsidR="00000000" w:rsidRPr="00000000">
        <w:rPr>
          <w:rFonts w:ascii="Google Sans" w:cs="Google Sans" w:eastAsia="Google Sans" w:hAnsi="Google Sans"/>
          <w:b w:val="1"/>
          <w:bCs w:val="1"/>
          <w:color w:val="1f1f1f"/>
          <w:rtl w:val="0"/>
        </w:rPr>
        <w:t xml:space="preserve">Capítulo 14 (Conexiones de Perfiles Estructurales Huecos y Cajón)</w:t>
      </w:r>
      <w:r w:rsidDel="00000000" w:rsidR="00000000" w:rsidRPr="00000000">
        <w:rPr>
          <w:rFonts w:ascii="Google Sans" w:cs="Google Sans" w:eastAsia="Google Sans" w:hAnsi="Google Sans"/>
          <w:color w:val="1f1f1f"/>
          <w:rtl w:val="0"/>
        </w:rPr>
        <w:t xml:space="preserve"> de la NTC-DCEA-2023.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jerarquización legaliza el rigor absoluto que deben aplicar los auditores (Corresponsables en Seguridad Estructural) sobre estas interfaces.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cuadro comparativo sintetiza las diferencias estructurales y normativas: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 Analizada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Abordaje en la NTC-2017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Abordaje en la NTC-2023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Ubicación en el Cuerpo Normativo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Apéndice B. Documento complementario sin protagonismo visual.</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Capítulos Principales 13 y 14. Mandatorio para toda estructura principal.</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Integración con Diseño de Concreto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Referencias laxas a prácticas generales del ACI o empíricas.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Integración profunda y explícita con el Capítulo 14 de la NTC-Concreto 2023 para anclajes.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Secciones Típicas Evaluadas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Foco primario en columnas tipo IR (Perfiles "I" de patín ancho) en flexión uniaxial.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"Tropicalización": Especificaciones empíricas vastas para placas asociadas a columnas Tubulares y en Cajón (Secciones OR) comunes en México.</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Análisis No Lineal y Curvas Plásticas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Relegado al Apéndice F.</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Integrado en los Capítulos principales 16 y 17.</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El Imperativo del Diseño por Capacidad: Conexiones Infalibles y Revisión en Dos Pasos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piedra angular de la actualización normativa en materia sísmica radica en la filosofía de protección estricta. La NTC-2023 instituye un riguroso esquema de establecimiento de </w:t>
      </w:r>
      <w:r w:rsidDel="00000000" w:rsidR="00000000" w:rsidRPr="00000000">
        <w:rPr>
          <w:rFonts w:ascii="Google Sans" w:cs="Google Sans" w:eastAsia="Google Sans" w:hAnsi="Google Sans"/>
          <w:i w:val="1"/>
          <w:iCs w:val="1"/>
          <w:color w:val="1f1f1f"/>
          <w:rtl w:val="0"/>
        </w:rPr>
        <w:t xml:space="preserve">líneas de defensa</w:t>
      </w:r>
      <w:r w:rsidDel="00000000" w:rsidR="00000000" w:rsidRPr="00000000">
        <w:rPr>
          <w:rFonts w:ascii="Google Sans" w:cs="Google Sans" w:eastAsia="Google Sans" w:hAnsi="Google Sans"/>
          <w:color w:val="1f1f1f"/>
          <w:rtl w:val="0"/>
        </w:rPr>
        <w:t xml:space="preserve"> dentro del sistema estructural.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proteger a las columnas ante demandas catastróficas, la normativa introdujo una exigente evaluación metodológica de </w:t>
      </w:r>
      <w:r w:rsidDel="00000000" w:rsidR="00000000" w:rsidRPr="00000000">
        <w:rPr>
          <w:rFonts w:ascii="Google Sans" w:cs="Google Sans" w:eastAsia="Google Sans" w:hAnsi="Google Sans"/>
          <w:b w:val="1"/>
          <w:bCs w:val="1"/>
          <w:color w:val="1f1f1f"/>
          <w:rtl w:val="0"/>
        </w:rPr>
        <w:t xml:space="preserve">"Revisión en Dos Etapas" (Two-step check)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Evaluación de las Secciones Extremas:</w:t>
      </w:r>
      <w:r w:rsidDel="00000000" w:rsidR="00000000" w:rsidRPr="00000000">
        <w:rPr>
          <w:rFonts w:ascii="Google Sans" w:cs="Google Sans" w:eastAsia="Google Sans" w:hAnsi="Google Sans"/>
          <w:color w:val="1f1f1f"/>
          <w:rtl w:val="0"/>
        </w:rPr>
        <w:t xml:space="preserve"> Se modela el comportamiento localizado en los extremos de la columna para soportar las máximas deformaciones y momentos flexionantes originados por la fluencia plástica total de las vigas incidentes o contraventeos.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Evaluación del Miembro Completo Global:</w:t>
      </w:r>
      <w:r w:rsidDel="00000000" w:rsidR="00000000" w:rsidRPr="00000000">
        <w:rPr>
          <w:rFonts w:ascii="Google Sans" w:cs="Google Sans" w:eastAsia="Google Sans" w:hAnsi="Google Sans"/>
          <w:color w:val="1f1f1f"/>
          <w:rtl w:val="0"/>
        </w:rPr>
        <w:t xml:space="preserve"> Se revisa la columna a nivel general para prevenir fenómenos de pandeo flexotorsional inestables bajo las fuerzas masivas calculadas.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este rigor, la base de la edificación debe comportarse como el cimiento inquebrantable de la ductilidad. Por ello, la NTC-2023 en su Capítulo 13 tipifica implícita y metodológicamente a las placas base, pernos de sujeción, soldaduras de demanda crítica y dados de cimentación como </w:t>
      </w:r>
      <w:r w:rsidDel="00000000" w:rsidR="00000000" w:rsidRPr="00000000">
        <w:rPr>
          <w:rFonts w:ascii="Google Sans" w:cs="Google Sans" w:eastAsia="Google Sans" w:hAnsi="Google Sans"/>
          <w:b w:val="1"/>
          <w:bCs w:val="1"/>
          <w:color w:val="1f1f1f"/>
          <w:rtl w:val="0"/>
        </w:rPr>
        <w:t xml:space="preserve">"Conexiones Infalibles"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precepto es claro: la conexión columna-base no se diseña con los resultados del análisis modal espectral reducido, sino que </w:t>
      </w:r>
      <w:r w:rsidDel="00000000" w:rsidR="00000000" w:rsidRPr="00000000">
        <w:rPr>
          <w:rFonts w:ascii="Google Sans" w:cs="Google Sans" w:eastAsia="Google Sans" w:hAnsi="Google Sans"/>
          <w:i w:val="1"/>
          <w:iCs w:val="1"/>
          <w:color w:val="1f1f1f"/>
          <w:rtl w:val="0"/>
        </w:rPr>
        <w:t xml:space="preserve">debe poseer una capacidad de resistencia superior al momento máximo probable, al cortante inelástico máximo y a las tracciones derivadas de la formación de una rótula plástica en la base de la columna (evaluada bajo los factores de sobreresistencia del acero </w:t>
      </w:r>
      <w:r w:rsidDel="00000000" w:rsidR="00000000" w:rsidRPr="00000000">
        <w:rPr>
          <w:rFonts w:ascii="Google Sans" w:cs="Google Sans" w:eastAsia="Google Sans" w:hAnsi="Google Sans"/>
          <w:i w:val="1"/>
          <w:iCs w:val="1"/>
          <w:color w:val="1f1f1f"/>
        </w:rPr>
        <w:drawing>
          <wp:inline distB="19050" distT="19050" distL="19050" distR="19050">
            <wp:extent cx="230684" cy="263639"/>
            <wp:effectExtent b="0" l="0" r="0" t="0"/>
            <wp:docPr id="2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30684" cy="26363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Este es el principal agente de sobredimensionamiento (para bien) que incrementa masivamente el área y espesor de las placas bajo la nueva norma respecto a 2017.</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Sinergia Total con la NTC-Concreto 2023: Diseño Riguroso de Anclajes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comportamiento de la placa de acero es indisociable del soporte de concreto que subyace y envuelve los anclajes. El documento NTC-Concreto 2023 se expidió con reformas monumentales orientadas al anclaje post-instalado y embebido.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cambio de paradigma abandonó los enfoques genéricos de resistencia por adherencia y adoptó con rigor el enfoque de </w:t>
      </w:r>
      <w:r w:rsidDel="00000000" w:rsidR="00000000" w:rsidRPr="00000000">
        <w:rPr>
          <w:rFonts w:ascii="Google Sans" w:cs="Google Sans" w:eastAsia="Google Sans" w:hAnsi="Google Sans"/>
          <w:b w:val="1"/>
          <w:bCs w:val="1"/>
          <w:color w:val="1f1f1f"/>
          <w:rtl w:val="0"/>
        </w:rPr>
        <w:t xml:space="preserve">Método de Diseño por Capacidad del Concreto (CCD - Concrete Capacity Design Method)</w:t>
      </w:r>
      <w:r w:rsidDel="00000000" w:rsidR="00000000" w:rsidRPr="00000000">
        <w:rPr>
          <w:rFonts w:ascii="Google Sans" w:cs="Google Sans" w:eastAsia="Google Sans" w:hAnsi="Google Sans"/>
          <w:color w:val="1f1f1f"/>
          <w:rtl w:val="0"/>
        </w:rPr>
        <w:t xml:space="preserve">, homologando, refinando y superando las directrices del ACI 318-19 para la práctica mexicana.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principales afectaciones normativas sobre los anclajes y la conexión base son:</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Fórmulas Mandatorias de Desprendimiento Cónico:</w:t>
      </w:r>
      <w:r w:rsidDel="00000000" w:rsidR="00000000" w:rsidRPr="00000000">
        <w:rPr>
          <w:rFonts w:ascii="Google Sans" w:cs="Google Sans" w:eastAsia="Google Sans" w:hAnsi="Google Sans"/>
          <w:color w:val="1f1f1f"/>
          <w:rtl w:val="0"/>
        </w:rPr>
        <w:t xml:space="preserve"> El Capítulo 14.10 de la NTC-Concreto 2023 obliga a calcular la resistencia nominal al arrancamiento en tensión (</w:t>
      </w:r>
      <w:r w:rsidDel="00000000" w:rsidR="00000000" w:rsidRPr="00000000">
        <w:rPr>
          <w:rFonts w:ascii="Google Sans" w:cs="Google Sans" w:eastAsia="Google Sans" w:hAnsi="Google Sans"/>
          <w:color w:val="1f1f1f"/>
        </w:rPr>
        <w:drawing>
          <wp:inline distB="19050" distT="19050" distL="19050" distR="19050">
            <wp:extent cx="285419" cy="263464"/>
            <wp:effectExtent b="0" l="0" r="0" t="0"/>
            <wp:docPr id="2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85419" cy="2634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55700" cy="258691"/>
            <wp:effectExtent b="0" l="0" r="0" t="0"/>
            <wp:docPr id="2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55700" cy="2586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al desprendimiento lateral en cortante considerando rigurosamente el </w:t>
      </w:r>
      <w:r w:rsidDel="00000000" w:rsidR="00000000" w:rsidRPr="00000000">
        <w:rPr>
          <w:rFonts w:ascii="Google Sans" w:cs="Google Sans" w:eastAsia="Google Sans" w:hAnsi="Google Sans"/>
          <w:i w:val="1"/>
          <w:iCs w:val="1"/>
          <w:color w:val="1f1f1f"/>
          <w:rtl w:val="0"/>
        </w:rPr>
        <w:t xml:space="preserve">área proyectada de la superficie de falla del cono de concreto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73273" cy="258149"/>
            <wp:effectExtent b="0" l="0" r="0" t="0"/>
            <wp:docPr id="23"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73273" cy="258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interceptada por distancias a los bordes libres y el espaciamiento entre los pernos adyacentes del grupo.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Empotramientos Efectivos de Diseño:</w:t>
      </w:r>
      <w:r w:rsidDel="00000000" w:rsidR="00000000" w:rsidRPr="00000000">
        <w:rPr>
          <w:rFonts w:ascii="Google Sans" w:cs="Google Sans" w:eastAsia="Google Sans" w:hAnsi="Google Sans"/>
          <w:color w:val="1f1f1f"/>
          <w:rtl w:val="0"/>
        </w:rPr>
        <w:t xml:space="preserve"> Se penaliza la utilización empírica de anclas cortas. Para evaluar escenarios dúctiles y de falla transversal al corte, se exige considerar profundidades analíticas de referencia (por ejemplo, el uso de </w:t>
      </w:r>
      <w:r w:rsidDel="00000000" w:rsidR="00000000" w:rsidRPr="00000000">
        <w:rPr>
          <w:rFonts w:ascii="Google Sans" w:cs="Google Sans" w:eastAsia="Google Sans" w:hAnsi="Google Sans"/>
          <w:color w:val="1f1f1f"/>
        </w:rPr>
        <w:drawing>
          <wp:inline distB="19050" distT="19050" distL="19050" distR="19050">
            <wp:extent cx="250362" cy="239476"/>
            <wp:effectExtent b="0" l="0" r="0" t="0"/>
            <wp:docPr id="2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50362" cy="239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veces el diámetro del perno para cálculos de cortante sin armadura de borde) y la utilización de la resistencia esperada del concreto (no la nominal) para calcular umbrales inelásticos realistas.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Aplastamiento (</w:t>
      </w:r>
      <w:r w:rsidDel="00000000" w:rsidR="00000000" w:rsidRPr="00000000">
        <w:rPr>
          <w:rFonts w:ascii="Google Sans" w:cs="Google Sans" w:eastAsia="Google Sans" w:hAnsi="Google Sans"/>
          <w:b w:val="1"/>
          <w:bCs w:val="1"/>
          <w:color w:val="1f1f1f"/>
        </w:rPr>
        <w:drawing>
          <wp:inline distB="19050" distT="19050" distL="19050" distR="19050">
            <wp:extent cx="204556" cy="272741"/>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4556" cy="2727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En la sección 13.3 de la NTC-Acero 2023 y sus contrapartes en concreto, las metodologías para determinar la resistencia al aplastamiento incorporan un control más refinado sobre la amplificación por área adyacente y aplican coeficientes de resistencia LRFD orientados a salvaguardar los bordes de la cimentación de la disgregación por cargas excéntricas dinámicas recurrentes.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Importancia y Utilidad del Análisis Comparativo y Paramétrico entre Normas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mera comprensión lingüística y conceptual de los profundos cambios introducidos en los Capítulos 13 y 14 de las NTC-2023 resulta insuficiente para la instrumentación real y el diseño en gabinetes de ingeniería estructural. Determinar en qué medida técnica y económica la NTC-2023 "penaliza" el uso de materiales o mejora el índice de seguridad respecto a la NTC-2017 requiere la extracción de datos cuantitativos puros. Aquí reside el valor inconmensurable de ejecutar un </w:t>
      </w:r>
      <w:r w:rsidDel="00000000" w:rsidR="00000000" w:rsidRPr="00000000">
        <w:rPr>
          <w:rFonts w:ascii="Google Sans" w:cs="Google Sans" w:eastAsia="Google Sans" w:hAnsi="Google Sans"/>
          <w:b w:val="1"/>
          <w:bCs w:val="1"/>
          <w:color w:val="1f1f1f"/>
          <w:rtl w:val="0"/>
        </w:rPr>
        <w:t xml:space="preserve">Análisis Paramétrico</w:t>
      </w:r>
      <w:r w:rsidDel="00000000" w:rsidR="00000000" w:rsidRPr="00000000">
        <w:rPr>
          <w:rFonts w:ascii="Google Sans" w:cs="Google Sans" w:eastAsia="Google Sans" w:hAnsi="Google Sans"/>
          <w:color w:val="1f1f1f"/>
          <w:rtl w:val="0"/>
        </w:rPr>
        <w:t xml:space="preserve"> riguroso en el contexto de una investigación de tesis.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Concepto y Ventajas del Análisis Paramétrico Computacional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paramétrico, en el ámbito del modelado computacional y elementos finitos (FEM), es un procedimiento sistemático en el que se programan las ecuaciones constitutivas de la normativa en un entorno matricial o iterativo, permitiendo variar sistemáticamente y de forma automatizada decenas de variables interdependientes (por ejemplo: la carga axial </w:t>
      </w:r>
      <w:r w:rsidDel="00000000" w:rsidR="00000000" w:rsidRPr="00000000">
        <w:rPr>
          <w:rFonts w:ascii="Google Sans" w:cs="Google Sans" w:eastAsia="Google Sans" w:hAnsi="Google Sans"/>
          <w:color w:val="1f1f1f"/>
        </w:rPr>
        <w:drawing>
          <wp:inline distB="19050" distT="19050" distL="19050" distR="19050">
            <wp:extent cx="152962" cy="262221"/>
            <wp:effectExtent b="0" l="0" r="0" t="0"/>
            <wp:docPr id="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52962" cy="262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momento </w:t>
      </w:r>
      <w:r w:rsidDel="00000000" w:rsidR="00000000" w:rsidRPr="00000000">
        <w:rPr>
          <w:rFonts w:ascii="Google Sans" w:cs="Google Sans" w:eastAsia="Google Sans" w:hAnsi="Google Sans"/>
          <w:color w:val="1f1f1f"/>
        </w:rPr>
        <w:drawing>
          <wp:inline distB="19050" distT="19050" distL="19050" distR="19050">
            <wp:extent cx="278474" cy="257053"/>
            <wp:effectExtent b="0" l="0" r="0" t="0"/>
            <wp:docPr id="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78474" cy="257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72024" cy="251100"/>
            <wp:effectExtent b="0" l="0" r="0" t="0"/>
            <wp:docPr id="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72024" cy="2511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cortante </w:t>
      </w:r>
      <w:r w:rsidDel="00000000" w:rsidR="00000000" w:rsidRPr="00000000">
        <w:rPr>
          <w:rFonts w:ascii="Google Sans" w:cs="Google Sans" w:eastAsia="Google Sans" w:hAnsi="Google Sans"/>
          <w:color w:val="1f1f1f"/>
        </w:rPr>
        <w:drawing>
          <wp:inline distB="19050" distT="19050" distL="19050" distR="19050">
            <wp:extent cx="157758" cy="252413"/>
            <wp:effectExtent b="0" l="0" r="0" t="0"/>
            <wp:docPr id="9"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157758"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espesor de la placa </w:t>
      </w:r>
      <w:r w:rsidDel="00000000" w:rsidR="00000000" w:rsidRPr="00000000">
        <w:rPr>
          <w:rFonts w:ascii="Google Sans" w:cs="Google Sans" w:eastAsia="Google Sans" w:hAnsi="Google Sans"/>
          <w:color w:val="1f1f1f"/>
        </w:rPr>
        <w:drawing>
          <wp:inline distB="19050" distT="19050" distL="19050" distR="19050">
            <wp:extent cx="70776" cy="283104"/>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70776" cy="283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resistencia de fluencia </w:t>
      </w:r>
      <w:r w:rsidDel="00000000" w:rsidR="00000000" w:rsidRPr="00000000">
        <w:rPr>
          <w:rFonts w:ascii="Google Sans" w:cs="Google Sans" w:eastAsia="Google Sans" w:hAnsi="Google Sans"/>
          <w:color w:val="1f1f1f"/>
        </w:rPr>
        <w:drawing>
          <wp:inline distB="19050" distT="19050" distL="19050" distR="19050">
            <wp:extent cx="177933" cy="251199"/>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77933" cy="251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grado del concreto </w:t>
      </w:r>
      <w:r w:rsidDel="00000000" w:rsidR="00000000" w:rsidRPr="00000000">
        <w:rPr>
          <w:rFonts w:ascii="Google Sans" w:cs="Google Sans" w:eastAsia="Google Sans" w:hAnsi="Google Sans"/>
          <w:color w:val="1f1f1f"/>
        </w:rPr>
        <w:drawing>
          <wp:inline distB="19050" distT="19050" distL="19050" distR="19050">
            <wp:extent cx="165200" cy="26432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65200" cy="264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arreglo geométrico de pernos y sus empotramientos </w:t>
      </w:r>
      <w:r w:rsidDel="00000000" w:rsidR="00000000" w:rsidRPr="00000000">
        <w:rPr>
          <w:rFonts w:ascii="Google Sans" w:cs="Google Sans" w:eastAsia="Google Sans" w:hAnsi="Google Sans"/>
          <w:color w:val="1f1f1f"/>
        </w:rPr>
        <w:drawing>
          <wp:inline distB="19050" distT="19050" distL="19050" distR="19050">
            <wp:extent cx="268717" cy="257969"/>
            <wp:effectExtent b="0" l="0" r="0" t="0"/>
            <wp:docPr id="13"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68717" cy="257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ventajas fundamentales de este abordaje en la ingeniería estructural avanzada son múltiples y profundas: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Mapeo Exhaustivo del Espacio de Diseño (Superficies de Falla):</w:t>
      </w:r>
      <w:r w:rsidDel="00000000" w:rsidR="00000000" w:rsidRPr="00000000">
        <w:rPr>
          <w:rFonts w:ascii="Google Sans" w:cs="Google Sans" w:eastAsia="Google Sans" w:hAnsi="Google Sans"/>
          <w:color w:val="1f1f1f"/>
          <w:rtl w:val="0"/>
        </w:rPr>
        <w:t xml:space="preserve"> En lugar de verificar un solo dado o columna para un proyecto aislado, la variación de parámetros permite graficar las fronteras de falla en tres o más dimensiones (Superficies de interacción </w:t>
      </w:r>
      <w:r w:rsidDel="00000000" w:rsidR="00000000" w:rsidRPr="00000000">
        <w:rPr>
          <w:rFonts w:ascii="Google Sans" w:cs="Google Sans" w:eastAsia="Google Sans" w:hAnsi="Google Sans"/>
          <w:color w:val="1f1f1f"/>
        </w:rPr>
        <w:drawing>
          <wp:inline distB="19050" distT="19050" distL="19050" distR="19050">
            <wp:extent cx="1001116" cy="255604"/>
            <wp:effectExtent b="0" l="0" r="0" t="0"/>
            <wp:docPr id="1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001116" cy="255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Esto ilumina visual y matemáticamente en qué instantes exactos de la excentricidad la placa base deja de gobernar por espesor y el diseño comienza a ser regido por la rotura frágil del cono de concreto.</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Detección de Bifurcaciones y Comportamientos No Lineales:</w:t>
      </w:r>
      <w:r w:rsidDel="00000000" w:rsidR="00000000" w:rsidRPr="00000000">
        <w:rPr>
          <w:rFonts w:ascii="Google Sans" w:cs="Google Sans" w:eastAsia="Google Sans" w:hAnsi="Google Sans"/>
          <w:color w:val="1f1f1f"/>
          <w:rtl w:val="0"/>
        </w:rPr>
        <w:t xml:space="preserve"> Revela la sensibilidad extrema del sistema; por ejemplo, evidenciando de qué manera un incremento nimio en el vuelo del voladizo de la placa dispara drásticamente el fenómeno del efecto palanca (prying action), sobrecargando los pernos tensores un 40% más de lo previsto de manera puramente estática.</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Identificación de Óptimos Constructivos:</w:t>
      </w:r>
      <w:r w:rsidDel="00000000" w:rsidR="00000000" w:rsidRPr="00000000">
        <w:rPr>
          <w:rFonts w:ascii="Google Sans" w:cs="Google Sans" w:eastAsia="Google Sans" w:hAnsi="Google Sans"/>
          <w:color w:val="1f1f1f"/>
          <w:rtl w:val="0"/>
        </w:rPr>
        <w:t xml:space="preserve"> Permite al gremio formular nomogramas de diseño. Al analizar simultáneamente miles de iteraciones, los ingenieros pueden discernir las proporciones ideales de esbeltez donde el costo del material (toneladas de acero versus metros cúbicos de concreto de alta resistencia) y la seguridad convergen en el mínimo aceptable.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Pertinencia Estructural de la Comparativa 2017 contra 2023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Aplicar un análisis paramétrico masivo alimentado simultáneamente con las bases algorítmicas del Apéndice B (2017) frente al Capítulo 13/14 (2023) aporta revelaciones invaluables que justifican sólidamente una disertación técnica y profesional:</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Cuantificación Tangible de la Sobrerresistencia en el "Costo de la Seguridad":</w:t>
      </w:r>
      <w:r w:rsidDel="00000000" w:rsidR="00000000" w:rsidRPr="00000000">
        <w:rPr>
          <w:rFonts w:ascii="Google Sans" w:cs="Google Sans" w:eastAsia="Google Sans" w:hAnsi="Google Sans"/>
          <w:color w:val="1f1f1f"/>
          <w:rtl w:val="0"/>
        </w:rPr>
        <w:t xml:space="preserve"> La transición del diseño espectral elástico subyacente en la vieja norma al diseño "infalible" por capacidad de la nueva norma aumentará radicalmente la masa de las conexiones. Un estudio paramétrico establecerá métricas precisas (v.gr., "</w:t>
      </w:r>
      <w:r w:rsidDel="00000000" w:rsidR="00000000" w:rsidRPr="00000000">
        <w:rPr>
          <w:rFonts w:ascii="Google Sans" w:cs="Google Sans" w:eastAsia="Google Sans" w:hAnsi="Google Sans"/>
          <w:i w:val="1"/>
          <w:iCs w:val="1"/>
          <w:color w:val="1f1f1f"/>
          <w:rtl w:val="0"/>
        </w:rPr>
        <w:t xml:space="preserve">Para relaciones de excentricidad mayores a </w:t>
      </w:r>
      <w:r w:rsidDel="00000000" w:rsidR="00000000" w:rsidRPr="00000000">
        <w:rPr>
          <w:rFonts w:ascii="Google Sans" w:cs="Google Sans" w:eastAsia="Google Sans" w:hAnsi="Google Sans"/>
          <w:i w:val="1"/>
          <w:iCs w:val="1"/>
          <w:color w:val="1f1f1f"/>
        </w:rPr>
        <w:drawing>
          <wp:inline distB="19050" distT="19050" distL="19050" distR="19050">
            <wp:extent cx="932657" cy="254361"/>
            <wp:effectExtent b="0" l="0" r="0" t="0"/>
            <wp:docPr id="1"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932657" cy="25436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la NTC-2023 exige un incremento paramétrico del </w:t>
      </w:r>
      <w:r w:rsidDel="00000000" w:rsidR="00000000" w:rsidRPr="00000000">
        <w:rPr>
          <w:rFonts w:ascii="Google Sans" w:cs="Google Sans" w:eastAsia="Google Sans" w:hAnsi="Google Sans"/>
          <w:i w:val="1"/>
          <w:iCs w:val="1"/>
          <w:color w:val="1f1f1f"/>
        </w:rPr>
        <w:drawing>
          <wp:inline distB="19050" distT="19050" distL="19050" distR="19050">
            <wp:extent cx="359172" cy="232405"/>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59172" cy="23240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en el volumen de la placa de apoyo</w:t>
      </w:r>
      <w:r w:rsidDel="00000000" w:rsidR="00000000" w:rsidRPr="00000000">
        <w:rPr>
          <w:rFonts w:ascii="Google Sans" w:cs="Google Sans" w:eastAsia="Google Sans" w:hAnsi="Google Sans"/>
          <w:color w:val="1f1f1f"/>
          <w:rtl w:val="0"/>
        </w:rPr>
        <w:t xml:space="preserve">"). Proveerá certidumbre financiera a los proyectistas al transitar a la nueva norma.</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Comportamiento Paramétrico de Columnas Tubulares Mexicanas:</w:t>
      </w:r>
      <w:r w:rsidDel="00000000" w:rsidR="00000000" w:rsidRPr="00000000">
        <w:rPr>
          <w:rFonts w:ascii="Google Sans" w:cs="Google Sans" w:eastAsia="Google Sans" w:hAnsi="Google Sans"/>
          <w:color w:val="1f1f1f"/>
          <w:rtl w:val="0"/>
        </w:rPr>
        <w:t xml:space="preserve"> Como se mencionó, gran parte del acierto de la NTC-2023 fue incorporar experimentación sobre columnas en cajón y perfiles HSS.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 análisis paramétrico comparativo arrojará luz sobre cómo estas geometrías perimetrales cerradas distribuyen las presiones de aplastamiento sobre el concreto (</w:t>
      </w:r>
      <w:r w:rsidDel="00000000" w:rsidR="00000000" w:rsidRPr="00000000">
        <w:rPr>
          <w:rFonts w:ascii="Google Sans" w:cs="Google Sans" w:eastAsia="Google Sans" w:hAnsi="Google Sans"/>
          <w:color w:val="1f1f1f"/>
        </w:rPr>
        <w:drawing>
          <wp:inline distB="19050" distT="19050" distL="19050" distR="19050">
            <wp:extent cx="204556" cy="272741"/>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4556" cy="272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una manera diametralmente opuesta al patrón de distribución de alas de una viga I. Demostrará si la NTC-2017 penalizaba artificialmente o ponía en riesgo subrepticio a las columnas en cajón al asumir mecánicas de viga I que no les eran aplicables.</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Evaluación y Rehabilitación Retrospectiva (Resiliencia Sísmica Urbana):</w:t>
      </w:r>
      <w:r w:rsidDel="00000000" w:rsidR="00000000" w:rsidRPr="00000000">
        <w:rPr>
          <w:rFonts w:ascii="Google Sans" w:cs="Google Sans" w:eastAsia="Google Sans" w:hAnsi="Google Sans"/>
          <w:color w:val="1f1f1f"/>
          <w:rtl w:val="0"/>
        </w:rPr>
        <w:t xml:space="preserve"> Resulta crítico entender el pasado para asegurar el futuro. Al correr diseños de placas reales modeladas con NTC-2017 e iterarlas sistemáticamente a través del tamiz algorítmico y los factores de reducción por desprendimiento en tensión de la NTC-Concreto 2023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ingeniero investigador puede identificar con exactitud qué porcentajes del parque inmobiliario construido entre 2018 y 2023 albergan un déficit crónico de ductilidad basal (índices de sobreesfuerzo </w:t>
      </w:r>
      <w:r w:rsidDel="00000000" w:rsidR="00000000" w:rsidRPr="00000000">
        <w:rPr>
          <w:rFonts w:ascii="Google Sans" w:cs="Google Sans" w:eastAsia="Google Sans" w:hAnsi="Google Sans"/>
          <w:color w:val="1f1f1f"/>
        </w:rPr>
        <w:drawing>
          <wp:inline distB="19050" distT="19050" distL="19050" distR="19050">
            <wp:extent cx="457233" cy="233933"/>
            <wp:effectExtent b="0" l="0" r="0" t="0"/>
            <wp:docPr id="4"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457233" cy="233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parametrización estadística justifica las exigencias de intervención física masiva estipuladas en la </w:t>
      </w:r>
      <w:r w:rsidDel="00000000" w:rsidR="00000000" w:rsidRPr="00000000">
        <w:rPr>
          <w:rFonts w:ascii="Google Sans" w:cs="Google Sans" w:eastAsia="Google Sans" w:hAnsi="Google Sans"/>
          <w:i w:val="1"/>
          <w:iCs w:val="1"/>
          <w:color w:val="1f1f1f"/>
          <w:rtl w:val="0"/>
        </w:rPr>
        <w:t xml:space="preserve">NTC-Evaluación y Rehabilitación de Edificios Existentes</w:t>
      </w:r>
      <w:r w:rsidDel="00000000" w:rsidR="00000000" w:rsidRPr="00000000">
        <w:rPr>
          <w:rFonts w:ascii="Google Sans" w:cs="Google Sans" w:eastAsia="Google Sans" w:hAnsi="Google Sans"/>
          <w:color w:val="1f1f1f"/>
          <w:rtl w:val="0"/>
        </w:rPr>
        <w:t xml:space="preserve">, previendo colapsos en el próximo evento severo de zona de subducción.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Validación de Fenomenologías Biaxiales:</w:t>
      </w:r>
      <w:r w:rsidDel="00000000" w:rsidR="00000000" w:rsidRPr="00000000">
        <w:rPr>
          <w:rFonts w:ascii="Google Sans" w:cs="Google Sans" w:eastAsia="Google Sans" w:hAnsi="Google Sans"/>
          <w:color w:val="1f1f1f"/>
          <w:rtl w:val="0"/>
        </w:rPr>
        <w:t xml:space="preserve"> La interacción biaxial inelástica es matemáticamente tortuosa. El enfoque computacional paramétrico integra rutinas automatizadas de convergencia para resolver el equilibrio de fuerzas sobre el bloque equivalente no lineal del concreto (por ejemplo, al considerar la flexión en diagonal sobre la zapata). Superponer los dominios de capacidad elásticos bidimensionales de 2017 contra los envolventes no lineales y de capacidad de 2023 clarifica explícitamente los campos ciegos del antiguo apéndice B.</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Conclusiones Parciales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disertación sobre el estado del arte y el contexto en torno al diseño de placas base de acero a través del lente comparativo NTC-2017 frente a NTC-2023 arroja conclusiones primordiales de valor técnico, académico y legislativo:</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interfaz columna-base-concreto concentra algunas de las mecánicas de falla no lineales más complejas y determinantes en la sobrevida estructural (pandeos locales, aplastamientos inelásticos, estricción de pernos y ruptura cónica frágil del dado). La minimización histórica de estas interacciones hacia simples comprobaciones axiales elásticas representó un talón de Aquiles sistémico para los edificios mexicanos durante décadas.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sismo de septiembre de 2017, con su inusual contenido espectral en periodos bajos y medianos, evidenció trágicamente que las demandas de flexotracción y volteo en la cimentación excedían exponencialmente los cálculos convencionales. Desnudo un hecho crucial: la versión de 2017, diseñada antes del sismo, carecía de directivas coercitivas inelásticas y dependía excesivamente de modelos importados centrados en columnas con perfil "I", no aptas para el uso masivo de secciones huecas en cajón locales.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promulgación ultra-acelerada de la NTC-2023 es producto de una investigación metalúrgica e instrumental masiva local. Sus cambios no son incrementos numéricos arbitrarios de factores de seguridad. Son cambios dogmáticos. Al instaurar la revisión de la columna en dos etapas y exigir que la placa base, las soldaduras de alta energía y los anclajes embebidos se comporten como componentes de capacidad "Infalibles" diseñados bajo el espectro de resistencia esperada y no de las fuerzas elásticas reducidas, la NTC-2023 legaliza definitivamente la preminencia del colapso global dúctil sobre cualquier falla basal frágil.</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amalgama de la NTC-DCEA-2023 con el estricto Capítulo 14 de la NTC-Concreto 2023 revoluciona la evaluación del arrancamiento de conos de concreto (Concrete Capacity Design), controlando matemáticamente la interacción perniciosa de bordes libres cercanos y superposiciones de microfisuras de tensión a través de empotramientos penalizados analíticamente.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Finalmente, las metodologías de análisis paramétrico computacional surgen no solo como un sofisticado recurso de graficación, sino como el único vehículo teórico idóneo para contrastar eficientemente volúmenes de interacciones (Superficies de falla). Son indispensables para cuantificar técnica y económicamente el "costo de la ductilidad infalible" dictaminada por la nueva normativa, y para establecer directrices urgentes que permitan salvaguardar el acervo construido existente de la inminente fatalidad de un diseño pretérito elástico obsoleto.</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Diseño de Placas Base y Anclajes Estructurales | PDF | Rigidez ..., fecha de acceso: mayo 26, 2026, </w:t>
      </w:r>
      <w:hyperlink r:id="rId41">
        <w:r w:rsidDel="00000000" w:rsidR="00000000" w:rsidRPr="00000000">
          <w:rPr>
            <w:rFonts w:ascii="Google Sans" w:cs="Google Sans" w:eastAsia="Google Sans" w:hAnsi="Google Sans"/>
            <w:color w:val="0000ee"/>
            <w:sz w:val="24"/>
            <w:szCs w:val="24"/>
            <w:u w:val="single"/>
            <w:rtl w:val="0"/>
          </w:rPr>
          <w:t xml:space="preserve">https://es.scribd.com/document/873947395/2-Julio-2024-Placas-Base-y-Anclajes</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Diseño de Placas Base en Estructuras de Acero | PDF | Doblar - Scribd, fecha de acceso: mayo 26, 2026, </w:t>
      </w:r>
      <w:hyperlink r:id="rId42">
        <w:r w:rsidDel="00000000" w:rsidR="00000000" w:rsidRPr="00000000">
          <w:rPr>
            <w:rFonts w:ascii="Google Sans" w:cs="Google Sans" w:eastAsia="Google Sans" w:hAnsi="Google Sans"/>
            <w:color w:val="0000ee"/>
            <w:sz w:val="24"/>
            <w:szCs w:val="24"/>
            <w:u w:val="single"/>
            <w:rtl w:val="0"/>
          </w:rPr>
          <w:t xml:space="preserve">https://es.scribd.com/document/458297221/DISENO-PLACAS-BASE-NTC-DCEA-2017</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maestría y doctorado en arquitectura - UNAM, fecha de acceso: mayo 26, 2026, </w:t>
      </w:r>
      <w:hyperlink r:id="rId43">
        <w:r w:rsidDel="00000000" w:rsidR="00000000" w:rsidRPr="00000000">
          <w:rPr>
            <w:rFonts w:ascii="Google Sans" w:cs="Google Sans" w:eastAsia="Google Sans" w:hAnsi="Google Sans"/>
            <w:color w:val="0000ee"/>
            <w:sz w:val="24"/>
            <w:szCs w:val="24"/>
            <w:u w:val="single"/>
            <w:rtl w:val="0"/>
          </w:rPr>
          <w:t xml:space="preserve">https://ru.dgb.unam.mx/bitstreams/1011ff0e-ae20-4785-9dcb-d0b6b580c7c8/download</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NTC-DC-Estructuras de Acero del 2023: Actualización y cambios - YouTube, fecha de acceso: mayo 26,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https://www.youtube.com/watch?v=nloIvOQZuNc</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NTC-Acero 2023 | PDF - Scribd, fecha de acceso: mayo 26, 2026, </w:t>
      </w:r>
      <w:hyperlink r:id="rId45">
        <w:r w:rsidDel="00000000" w:rsidR="00000000" w:rsidRPr="00000000">
          <w:rPr>
            <w:rFonts w:ascii="Google Sans" w:cs="Google Sans" w:eastAsia="Google Sans" w:hAnsi="Google Sans"/>
            <w:color w:val="0000ee"/>
            <w:sz w:val="24"/>
            <w:szCs w:val="24"/>
            <w:u w:val="single"/>
            <w:rtl w:val="0"/>
          </w:rPr>
          <w:t xml:space="preserve">https://www.scribd.com/document/840868789/NTC-Acero-2023</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 TÉCNICA COMPLEMENTARIA PARA EL DISEÑO POR SISMO, fecha de acceso: mayo 26, 2026, </w:t>
      </w:r>
      <w:hyperlink r:id="rId46">
        <w:r w:rsidDel="00000000" w:rsidR="00000000" w:rsidRPr="00000000">
          <w:rPr>
            <w:rFonts w:ascii="Google Sans" w:cs="Google Sans" w:eastAsia="Google Sans" w:hAnsi="Google Sans"/>
            <w:color w:val="0000ee"/>
            <w:sz w:val="24"/>
            <w:szCs w:val="24"/>
            <w:u w:val="single"/>
            <w:rtl w:val="0"/>
          </w:rPr>
          <w:t xml:space="preserve">https://world.moleg.go.kr/cms/commonDown.do?DLD_CFM_NO=ONUNPUHIV3U5E4O43DUD&amp;FL_SEQ=150586</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Comportamiento de estructuras de acero durante los sismos de septiembre de 2017, fecha de acceso: mayo 26,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https://www.researchgate.net/publication/338296972_Comportamiento_de_estructuras_de_acero_durante_los_sismos_de_septiembre_de_2017</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Modelado Numérico No Lineal de Columnas de CR Encmisadas con Elementos Metálicos, fecha de acceso: mayo 26,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https://www.researchgate.net/publication/391987804_Modelado_Numerico_No_Lineal_de_Columnas_de_CR_Encmisadas_con_Elementos_Metalicos</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NTC-2020.pdf - Slideshare, fecha de acceso: mayo 26, 2026, </w:t>
      </w:r>
      <w:hyperlink r:id="rId49">
        <w:r w:rsidDel="00000000" w:rsidR="00000000" w:rsidRPr="00000000">
          <w:rPr>
            <w:rFonts w:ascii="Google Sans" w:cs="Google Sans" w:eastAsia="Google Sans" w:hAnsi="Google Sans"/>
            <w:color w:val="0000ee"/>
            <w:sz w:val="24"/>
            <w:szCs w:val="24"/>
            <w:u w:val="single"/>
            <w:rtl w:val="0"/>
          </w:rPr>
          <w:t xml:space="preserve">https://es.slideshare.net/slideshow/ntc2020pdf/262436201</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 2023: Diseño por Sismo en México | PDF | Rigidez | Fundación (Ingeniería) - Scribd, fecha de acceso: mayo 26, 2026, </w:t>
      </w:r>
      <w:hyperlink r:id="rId50">
        <w:r w:rsidDel="00000000" w:rsidR="00000000" w:rsidRPr="00000000">
          <w:rPr>
            <w:rFonts w:ascii="Google Sans" w:cs="Google Sans" w:eastAsia="Google Sans" w:hAnsi="Google Sans"/>
            <w:color w:val="0000ee"/>
            <w:sz w:val="24"/>
            <w:szCs w:val="24"/>
            <w:u w:val="single"/>
            <w:rtl w:val="0"/>
          </w:rPr>
          <w:t xml:space="preserve">https://es.scribd.com/document/647637679/NTC-Sismo-20230409</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NTC-ACERO: Diseño Estructuras de Acero | PDF | Rigidez | Soldadura - Scribd, fecha de acceso: mayo 26, 2026, </w:t>
      </w:r>
      <w:hyperlink r:id="rId51">
        <w:r w:rsidDel="00000000" w:rsidR="00000000" w:rsidRPr="00000000">
          <w:rPr>
            <w:rFonts w:ascii="Google Sans" w:cs="Google Sans" w:eastAsia="Google Sans" w:hAnsi="Google Sans"/>
            <w:color w:val="0000ee"/>
            <w:sz w:val="24"/>
            <w:szCs w:val="24"/>
            <w:u w:val="single"/>
            <w:rtl w:val="0"/>
          </w:rPr>
          <w:t xml:space="preserve">https://es.scribd.com/document/436322027/Sesion-01-v06-Raul-Jean</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NTC-DCEA-2023: Conexiones de Acero | PDF | Construcción | Soldadura - Scribd, fecha de acceso: mayo 26, 2026, </w:t>
      </w:r>
      <w:hyperlink r:id="rId52">
        <w:r w:rsidDel="00000000" w:rsidR="00000000" w:rsidRPr="00000000">
          <w:rPr>
            <w:rFonts w:ascii="Google Sans" w:cs="Google Sans" w:eastAsia="Google Sans" w:hAnsi="Google Sans"/>
            <w:color w:val="0000ee"/>
            <w:sz w:val="24"/>
            <w:szCs w:val="24"/>
            <w:u w:val="single"/>
            <w:rtl w:val="0"/>
          </w:rPr>
          <w:t xml:space="preserve">https://es.scribd.com/document/833060219/Dr-Edgar-Tapia-Normatividad-NTC-Acero-y-caracteristicas-del-acero-estructural</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Sociedad Mexicana de Ingeniería Estructural, A.C. - SMIE, fecha de acceso: mayo 26, 2026, </w:t>
      </w:r>
      <w:hyperlink r:id="rId53">
        <w:r w:rsidDel="00000000" w:rsidR="00000000" w:rsidRPr="00000000">
          <w:rPr>
            <w:rFonts w:ascii="Google Sans" w:cs="Google Sans" w:eastAsia="Google Sans" w:hAnsi="Google Sans"/>
            <w:color w:val="0000ee"/>
            <w:sz w:val="24"/>
            <w:szCs w:val="24"/>
            <w:u w:val="single"/>
            <w:rtl w:val="0"/>
          </w:rPr>
          <w:t xml:space="preserve">https://www.smie.org.mx/uploads/2/2026-04/boletin-smie-abril-2026.pdf</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maestría y doctorado en ingeniería - UNIVERSIDAD NACIONAL AUTÓNOMA DE MÉXICO - UNAM, fecha de acceso: mayo 26, 2026, </w:t>
      </w:r>
      <w:hyperlink r:id="rId54">
        <w:r w:rsidDel="00000000" w:rsidR="00000000" w:rsidRPr="00000000">
          <w:rPr>
            <w:rFonts w:ascii="Google Sans" w:cs="Google Sans" w:eastAsia="Google Sans" w:hAnsi="Google Sans"/>
            <w:color w:val="0000ee"/>
            <w:sz w:val="24"/>
            <w:szCs w:val="24"/>
            <w:u w:val="single"/>
            <w:rtl w:val="0"/>
          </w:rPr>
          <w:t xml:space="preserve">https://ru.dgb.unam.mx/server/api/core/bitstreams/be2771ae-df9e-4aa8-b946-56580989fd8c/content</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DISEÑO SÍSMICO BASADO EN DESEMPEÑO, UNA ALTERNATIVA EN LA NORMATIVA MEXICANA - ResearchGate, fecha de acceso: mayo 26,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https://www.researchgate.net/publication/385721750_DISENO_SISMICO_BASADO_EN_DESEMPENO_UNA_ALTERNATIVA_EN_LA_NORMATIVA_MEXICANA</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 AGO 023, fecha de acceso: mayo 26, 2026, </w:t>
      </w:r>
      <w:hyperlink r:id="rId56">
        <w:r w:rsidDel="00000000" w:rsidR="00000000" w:rsidRPr="00000000">
          <w:rPr>
            <w:rFonts w:ascii="Google Sans" w:cs="Google Sans" w:eastAsia="Google Sans" w:hAnsi="Google Sans"/>
            <w:color w:val="0000ee"/>
            <w:sz w:val="24"/>
            <w:szCs w:val="24"/>
            <w:u w:val="single"/>
            <w:rtl w:val="0"/>
          </w:rPr>
          <w:t xml:space="preserve">https://www3.congreso.gob.pe/Docs/comisiones2023/Constitucion/files/tie-024_compressed.pdf</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CONVOCATORIAS PARA CONCURSOS DE ADQUISICIONES, ARRENDAMIENTOS, OBRAS Y SERVICIOS DEL SECTOR PUBLICO H. CAMARA DE DIPUTADOS - Aplicaciones sobre Tecnología Avanzada S. de R.L. de C.V. [ APTA CE ], fecha de acceso: mayo 26, 2026, </w:t>
      </w:r>
      <w:hyperlink r:id="rId57">
        <w:r w:rsidDel="00000000" w:rsidR="00000000" w:rsidRPr="00000000">
          <w:rPr>
            <w:rFonts w:ascii="Google Sans" w:cs="Google Sans" w:eastAsia="Google Sans" w:hAnsi="Google Sans"/>
            <w:color w:val="0000ee"/>
            <w:sz w:val="24"/>
            <w:szCs w:val="24"/>
            <w:u w:val="single"/>
            <w:rtl w:val="0"/>
          </w:rPr>
          <w:t xml:space="preserve">http://www.apta.com.mx/apta2008/ce/dof/descargapdf/2023/06Junio/20230606/cnv23060610-12.pdf</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 TÉCNICA COMPLEMENTARIA PARA EVALUACIÓN Y REHABILITACIÓN ESTRUCTURAL DE EDIFICIOS EXISTENTES, fecha de acceso: mayo 26, 2026, </w:t>
      </w:r>
      <w:hyperlink r:id="rId58">
        <w:r w:rsidDel="00000000" w:rsidR="00000000" w:rsidRPr="00000000">
          <w:rPr>
            <w:rFonts w:ascii="Google Sans" w:cs="Google Sans" w:eastAsia="Google Sans" w:hAnsi="Google Sans"/>
            <w:color w:val="0000ee"/>
            <w:sz w:val="24"/>
            <w:szCs w:val="24"/>
            <w:u w:val="single"/>
            <w:rtl w:val="0"/>
          </w:rPr>
          <w:t xml:space="preserve">https://world.moleg.go.kr/cms/commonDown.do?DLD_CFM_NO=BAWK1A995ZLSBQMHNK6Z&amp;FL_SEQ=150588</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 Concreto 2023: Diseño y Construcción | PDF | Viga (Estructura) | Hormigón - Scribd, fecha de acceso: mayo 26, 2026, </w:t>
      </w:r>
      <w:hyperlink r:id="rId59">
        <w:r w:rsidDel="00000000" w:rsidR="00000000" w:rsidRPr="00000000">
          <w:rPr>
            <w:rFonts w:ascii="Google Sans" w:cs="Google Sans" w:eastAsia="Google Sans" w:hAnsi="Google Sans"/>
            <w:color w:val="0000ee"/>
            <w:sz w:val="24"/>
            <w:szCs w:val="24"/>
            <w:u w:val="single"/>
            <w:rtl w:val="0"/>
          </w:rPr>
          <w:t xml:space="preserve">https://es.scribd.com/document/647637929/NTC-Concreto-20230411</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 Evaluación y Rehabilitación Estructural | PDF | Diseño - Scribd, fecha de acceso: mayo 26, 2026, </w:t>
      </w:r>
      <w:hyperlink r:id="rId60">
        <w:r w:rsidDel="00000000" w:rsidR="00000000" w:rsidRPr="00000000">
          <w:rPr>
            <w:rFonts w:ascii="Google Sans" w:cs="Google Sans" w:eastAsia="Google Sans" w:hAnsi="Google Sans"/>
            <w:color w:val="0000ee"/>
            <w:sz w:val="24"/>
            <w:szCs w:val="24"/>
            <w:u w:val="single"/>
            <w:rtl w:val="0"/>
          </w:rPr>
          <w:t xml:space="preserve">https://es.scribd.com/document/669549173/NTC-Evaluacion-y-Rehabilitacion-20230409</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NTC para Diseño de Estructuras de Concreto | PDF | Hormigón | Doblar - Scribd, fecha de acceso: mayo 26, 2026, </w:t>
      </w:r>
      <w:hyperlink r:id="rId61">
        <w:r w:rsidDel="00000000" w:rsidR="00000000" w:rsidRPr="00000000">
          <w:rPr>
            <w:rFonts w:ascii="Google Sans" w:cs="Google Sans" w:eastAsia="Google Sans" w:hAnsi="Google Sans"/>
            <w:color w:val="0000ee"/>
            <w:sz w:val="24"/>
            <w:szCs w:val="24"/>
            <w:u w:val="single"/>
            <w:rtl w:val="0"/>
          </w:rPr>
          <w:t xml:space="preserve">https://es.scribd.com/document/941055179/NTC-Diseno-y-Construccion-de-Estructuras-de-Concreto-1</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 Diseño de Conexión en Acero | NeXus, fecha de acceso: mayo 26, 2026, </w:t>
      </w:r>
      <w:hyperlink r:id="rId62">
        <w:r w:rsidDel="00000000" w:rsidR="00000000" w:rsidRPr="00000000">
          <w:rPr>
            <w:rFonts w:ascii="Google Sans" w:cs="Google Sans" w:eastAsia="Google Sans" w:hAnsi="Google Sans"/>
            <w:color w:val="0000ee"/>
            <w:sz w:val="24"/>
            <w:szCs w:val="24"/>
            <w:u w:val="single"/>
            <w:rtl w:val="0"/>
          </w:rPr>
          <w:t xml:space="preserve">https://www.accasoftware.com/es/software-de-diseno-de-conexion-en-acero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hyperlink" Target="https://es.scribd.com/document/458297221/DISENO-PLACAS-BASE-NTC-DCEA-2017" TargetMode="External"/><Relationship Id="rId41" Type="http://schemas.openxmlformats.org/officeDocument/2006/relationships/hyperlink" Target="https://es.scribd.com/document/873947395/2-Julio-2024-Placas-Base-y-Anclajes" TargetMode="External"/><Relationship Id="rId44" Type="http://schemas.openxmlformats.org/officeDocument/2006/relationships/hyperlink" Target="https://www.youtube.com/watch?v=nloIvOQZuNc" TargetMode="External"/><Relationship Id="rId43" Type="http://schemas.openxmlformats.org/officeDocument/2006/relationships/hyperlink" Target="https://ru.dgb.unam.mx/bitstreams/1011ff0e-ae20-4785-9dcb-d0b6b580c7c8/download" TargetMode="External"/><Relationship Id="rId46" Type="http://schemas.openxmlformats.org/officeDocument/2006/relationships/hyperlink" Target="https://world.moleg.go.kr/cms/commonDown.do?DLD_CFM_NO=ONUNPUHIV3U5E4O43DUD&amp;FL_SEQ=150586" TargetMode="External"/><Relationship Id="rId45" Type="http://schemas.openxmlformats.org/officeDocument/2006/relationships/hyperlink" Target="https://www.scribd.com/document/840868789/NTC-Acero-2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yperlink" Target="https://www.researchgate.net/publication/391987804_Modelado_Numerico_No_Lineal_de_Columnas_de_CR_Encmisadas_con_Elementos_Metalicos" TargetMode="External"/><Relationship Id="rId47" Type="http://schemas.openxmlformats.org/officeDocument/2006/relationships/hyperlink" Target="https://www.researchgate.net/publication/338296972_Comportamiento_de_estructuras_de_acero_durante_los_sismos_de_septiembre_de_2017" TargetMode="External"/><Relationship Id="rId49" Type="http://schemas.openxmlformats.org/officeDocument/2006/relationships/hyperlink" Target="https://es.slideshare.net/slideshow/ntc2020pdf/262436201" TargetMode="Externa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24.png"/><Relationship Id="rId8" Type="http://schemas.openxmlformats.org/officeDocument/2006/relationships/image" Target="media/image14.png"/><Relationship Id="rId31" Type="http://schemas.openxmlformats.org/officeDocument/2006/relationships/image" Target="media/image20.png"/><Relationship Id="rId30" Type="http://schemas.openxmlformats.org/officeDocument/2006/relationships/image" Target="media/image26.png"/><Relationship Id="rId33" Type="http://schemas.openxmlformats.org/officeDocument/2006/relationships/image" Target="media/image3.png"/><Relationship Id="rId32" Type="http://schemas.openxmlformats.org/officeDocument/2006/relationships/image" Target="media/image11.png"/><Relationship Id="rId35" Type="http://schemas.openxmlformats.org/officeDocument/2006/relationships/image" Target="media/image15.png"/><Relationship Id="rId34" Type="http://schemas.openxmlformats.org/officeDocument/2006/relationships/image" Target="media/image1.png"/><Relationship Id="rId37" Type="http://schemas.openxmlformats.org/officeDocument/2006/relationships/image" Target="media/image12.png"/><Relationship Id="rId36" Type="http://schemas.openxmlformats.org/officeDocument/2006/relationships/image" Target="media/image8.png"/><Relationship Id="rId39" Type="http://schemas.openxmlformats.org/officeDocument/2006/relationships/image" Target="media/image2.png"/><Relationship Id="rId38" Type="http://schemas.openxmlformats.org/officeDocument/2006/relationships/image" Target="media/image17.png"/><Relationship Id="rId62" Type="http://schemas.openxmlformats.org/officeDocument/2006/relationships/hyperlink" Target="https://www.accasoftware.com/es/software-de-diseno-de-conexion-en-acero" TargetMode="External"/><Relationship Id="rId61" Type="http://schemas.openxmlformats.org/officeDocument/2006/relationships/hyperlink" Target="https://es.scribd.com/document/941055179/NTC-Diseno-y-Construccion-de-Estructuras-de-Concreto-1" TargetMode="External"/><Relationship Id="rId20" Type="http://schemas.openxmlformats.org/officeDocument/2006/relationships/image" Target="media/image35.png"/><Relationship Id="rId22" Type="http://schemas.openxmlformats.org/officeDocument/2006/relationships/image" Target="media/image18.png"/><Relationship Id="rId21" Type="http://schemas.openxmlformats.org/officeDocument/2006/relationships/image" Target="media/image34.png"/><Relationship Id="rId24" Type="http://schemas.openxmlformats.org/officeDocument/2006/relationships/image" Target="media/image4.png"/><Relationship Id="rId23" Type="http://schemas.openxmlformats.org/officeDocument/2006/relationships/image" Target="media/image21.png"/><Relationship Id="rId60" Type="http://schemas.openxmlformats.org/officeDocument/2006/relationships/hyperlink" Target="https://es.scribd.com/document/669549173/NTC-Evaluacion-y-Rehabilitacion-20230409" TargetMode="External"/><Relationship Id="rId26" Type="http://schemas.openxmlformats.org/officeDocument/2006/relationships/image" Target="media/image22.png"/><Relationship Id="rId25" Type="http://schemas.openxmlformats.org/officeDocument/2006/relationships/image" Target="media/image9.png"/><Relationship Id="rId28" Type="http://schemas.openxmlformats.org/officeDocument/2006/relationships/image" Target="media/image16.png"/><Relationship Id="rId27" Type="http://schemas.openxmlformats.org/officeDocument/2006/relationships/image" Target="media/image6.png"/><Relationship Id="rId29" Type="http://schemas.openxmlformats.org/officeDocument/2006/relationships/image" Target="media/image13.png"/><Relationship Id="rId51" Type="http://schemas.openxmlformats.org/officeDocument/2006/relationships/hyperlink" Target="https://es.scribd.com/document/436322027/Sesion-01-v06-Raul-Jean" TargetMode="External"/><Relationship Id="rId50" Type="http://schemas.openxmlformats.org/officeDocument/2006/relationships/hyperlink" Target="https://es.scribd.com/document/647637679/NTC-Sismo-20230409" TargetMode="External"/><Relationship Id="rId53" Type="http://schemas.openxmlformats.org/officeDocument/2006/relationships/hyperlink" Target="https://www.smie.org.mx/uploads/2/2026-04/boletin-smie-abril-2026.pdf" TargetMode="External"/><Relationship Id="rId52" Type="http://schemas.openxmlformats.org/officeDocument/2006/relationships/hyperlink" Target="https://es.scribd.com/document/833060219/Dr-Edgar-Tapia-Normatividad-NTC-Acero-y-caracteristicas-del-acero-estructural" TargetMode="External"/><Relationship Id="rId11" Type="http://schemas.openxmlformats.org/officeDocument/2006/relationships/image" Target="media/image30.png"/><Relationship Id="rId55" Type="http://schemas.openxmlformats.org/officeDocument/2006/relationships/hyperlink" Target="https://www.researchgate.net/publication/385721750_DISENO_SISMICO_BASADO_EN_DESEMPENO_UNA_ALTERNATIVA_EN_LA_NORMATIVA_MEXICANA" TargetMode="External"/><Relationship Id="rId10" Type="http://schemas.openxmlformats.org/officeDocument/2006/relationships/image" Target="media/image10.png"/><Relationship Id="rId54" Type="http://schemas.openxmlformats.org/officeDocument/2006/relationships/hyperlink" Target="https://ru.dgb.unam.mx/server/api/core/bitstreams/be2771ae-df9e-4aa8-b946-56580989fd8c/content" TargetMode="External"/><Relationship Id="rId13" Type="http://schemas.openxmlformats.org/officeDocument/2006/relationships/image" Target="media/image33.png"/><Relationship Id="rId57" Type="http://schemas.openxmlformats.org/officeDocument/2006/relationships/hyperlink" Target="http://www.apta.com.mx/apta2008/ce/dof/descargapdf/2023/06Junio/20230606/cnv23060610-12.pdf" TargetMode="External"/><Relationship Id="rId12" Type="http://schemas.openxmlformats.org/officeDocument/2006/relationships/image" Target="media/image7.png"/><Relationship Id="rId56" Type="http://schemas.openxmlformats.org/officeDocument/2006/relationships/hyperlink" Target="https://www3.congreso.gob.pe/Docs/comisiones2023/Constitucion/files/tie-024_compressed.pdf" TargetMode="External"/><Relationship Id="rId15" Type="http://schemas.openxmlformats.org/officeDocument/2006/relationships/image" Target="media/image25.png"/><Relationship Id="rId59" Type="http://schemas.openxmlformats.org/officeDocument/2006/relationships/hyperlink" Target="https://es.scribd.com/document/647637929/NTC-Concreto-20230411" TargetMode="External"/><Relationship Id="rId14" Type="http://schemas.openxmlformats.org/officeDocument/2006/relationships/image" Target="media/image28.png"/><Relationship Id="rId58" Type="http://schemas.openxmlformats.org/officeDocument/2006/relationships/hyperlink" Target="https://world.moleg.go.kr/cms/commonDown.do?DLD_CFM_NO=BAWK1A995ZLSBQMHNK6Z&amp;FL_SEQ=150588" TargetMode="External"/><Relationship Id="rId17" Type="http://schemas.openxmlformats.org/officeDocument/2006/relationships/image" Target="media/image5.png"/><Relationship Id="rId16" Type="http://schemas.openxmlformats.org/officeDocument/2006/relationships/image" Target="media/image31.png"/><Relationship Id="rId19" Type="http://schemas.openxmlformats.org/officeDocument/2006/relationships/image" Target="media/image29.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