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Times New Roman" w:hAnsi="Times New Roman"/>
          <w:b/>
          <w:i w:val="0"/>
          <w:sz w:val="22"/>
        </w:rPr>
        <w:t xml:space="preserve">Б-41 </w:t>
      </w:r>
      <w:r>
        <w:rPr>
          <w:rFonts w:ascii="Times New Roman" w:hAnsi="Times New Roman"/>
          <w:b w:val="0"/>
          <w:i w:val="0"/>
          <w:sz w:val="22"/>
        </w:rPr>
        <w:t xml:space="preserve">• </w:t>
      </w:r>
      <w:r>
        <w:rPr>
          <w:rFonts w:ascii="Times New Roman" w:hAnsi="Times New Roman"/>
          <w:b/>
          <w:i w:val="0"/>
          <w:sz w:val="22"/>
        </w:rPr>
        <w:t>БЕДА́ (НИКОГДА́) НЕ ПРИХО́ДИТ 〈НЕ ХО́-ДИТ〉 ОДНА́</w:t>
      </w:r>
      <w:r>
        <w:rPr>
          <w:rFonts w:ascii="Times New Roman" w:hAnsi="Times New Roman"/>
          <w:b w:val="0"/>
          <w:i w:val="0"/>
          <w:sz w:val="22"/>
        </w:rPr>
        <w:t xml:space="preserve">; </w:t>
      </w:r>
      <w:r>
        <w:rPr>
          <w:rFonts w:ascii="Times New Roman" w:hAnsi="Times New Roman"/>
          <w:b/>
          <w:i w:val="0"/>
          <w:sz w:val="22"/>
        </w:rPr>
        <w:t>БЕДА́ В ОДИНО́ЧКУ НЕ ХО́ДИТ</w:t>
      </w:r>
    </w:p>
    <w:p>
      <w:pPr>
        <w:spacing w:after="20"/>
      </w:pPr>
      <w:r>
        <w:rPr>
          <w:rFonts w:ascii="Times New Roman" w:hAnsi="Times New Roman"/>
          <w:b w:val="0"/>
          <w:i w:val="0"/>
          <w:color w:val="505050"/>
          <w:sz w:val="20"/>
        </w:rPr>
        <w:t>[loc. prov.]</w:t>
      </w:r>
    </w:p>
    <w:p>
      <w:pPr>
        <w:spacing w:after="40"/>
      </w:pPr>
      <w:r>
        <w:rPr>
          <w:rFonts w:ascii="Times New Roman" w:hAnsi="Times New Roman"/>
          <w:b/>
          <w:i w:val="0"/>
          <w:sz w:val="22"/>
        </w:rPr>
        <w:t>un malheur ne vient jamais seul</w:t>
      </w:r>
    </w:p>
    <w:p>
      <w:pPr>
        <w:spacing w:after="20"/>
        <w:ind w:left="360"/>
      </w:pPr>
      <w:r>
        <w:rPr>
          <w:rFonts w:ascii="Times New Roman" w:hAnsi="Times New Roman"/>
          <w:b w:val="0"/>
          <w:i w:val="0"/>
          <w:sz w:val="22"/>
        </w:rPr>
        <w:t xml:space="preserve">◆ </w:t>
      </w:r>
      <w:r>
        <w:rPr>
          <w:rFonts w:ascii="Times New Roman" w:hAnsi="Times New Roman"/>
          <w:b w:val="0"/>
          <w:i/>
          <w:sz w:val="22"/>
        </w:rPr>
        <w:t>Тетя Рая тоже об этом думала ― беда не приходит одна.</w:t>
      </w:r>
      <w:r>
        <w:rPr>
          <w:rFonts w:ascii="Times New Roman" w:hAnsi="Times New Roman"/>
          <w:b w:val="0"/>
          <w:i w:val="0"/>
          <w:color w:val="505050"/>
          <w:sz w:val="20"/>
        </w:rPr>
        <w:t xml:space="preserve"> (Маша Трауб, Замочная скважина (2012))</w:t>
      </w:r>
    </w:p>
    <w:p>
      <w:pPr>
        <w:spacing w:after="80"/>
        <w:ind w:left="360"/>
      </w:pPr>
      <w:r>
        <w:rPr>
          <w:rFonts w:ascii="Times New Roman" w:hAnsi="Times New Roman"/>
          <w:b w:val="0"/>
          <w:i w:val="0"/>
          <w:sz w:val="22"/>
        </w:rPr>
        <w:t>Tante Raya y pensait aussi — un malheur ne vient jamais seul.</w:t>
      </w:r>
      <w:r>
        <w:rPr>
          <w:rFonts w:ascii="Times New Roman" w:hAnsi="Times New Roman"/>
          <w:b w:val="0"/>
          <w:i/>
          <w:color w:val="0070C0"/>
          <w:sz w:val="18"/>
        </w:rPr>
        <w:t xml:space="preserve"> [forgé]</w:t>
      </w:r>
    </w:p>
    <w:p>
      <w:pPr>
        <w:spacing w:before="80" w:after="80"/>
        <w:pBdr>
          <w:bottom w:val="single" w:sz="2" w:space="1" w:color="CCCCCC"/>
        </w:pBdr>
      </w:pPr>
    </w:p>
    <w:sectPr w:rsidR="00FC693F" w:rsidRPr="0006063C" w:rsidSect="00034616">
      <w:pgSz w:w="8395" w:h="11909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