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 OF ADVICE</w:t>
      </w:r>
    </w:p>
    <w:p>
      <w:r>
        <w:rPr>
          <w:b/>
        </w:rPr>
        <w:t>To:</w:t>
        <w:tab/>
      </w:r>
      <w:r>
        <w:t>Instructing Solicitors</w:t>
      </w:r>
    </w:p>
    <w:p>
      <w:r>
        <w:rPr>
          <w:b/>
        </w:rPr>
        <w:t>From:</w:t>
        <w:tab/>
      </w:r>
      <w:r>
        <w:t>Chambers</w:t>
      </w:r>
    </w:p>
    <w:p>
      <w:r>
        <w:rPr>
          <w:b/>
        </w:rPr>
        <w:t>Re:</w:t>
        <w:tab/>
      </w:r>
      <w:r>
        <w:t>Negligence and Contractual Claims — Preliminary Assessment</w:t>
      </w:r>
    </w:p>
    <w:p/>
    <w:p>
      <w:r>
        <w:rPr>
          <w:b/>
        </w:rPr>
        <w:t xml:space="preserve">1. </w:t>
      </w:r>
      <w:r>
        <w:rPr>
          <w:b/>
        </w:rPr>
        <w:t xml:space="preserve">Duty of care. </w:t>
      </w:r>
      <w:r>
        <w:t>The governing test for the existence of a duty of care in negligence in Singapore remains the single two-stage test of proximity and policy articulated in Spandeck Engineering (S) Pte Ltd v Defence Science &amp; Technology Agency [2007] SGCA 37. We are satisfied that the threshold of factual foreseeability is met on the present facts.</w:t>
      </w:r>
    </w:p>
    <w:p>
      <w:r>
        <w:rPr>
          <w:b/>
        </w:rPr>
        <w:t xml:space="preserve">2. </w:t>
      </w:r>
      <w:r>
        <w:rPr>
          <w:b/>
        </w:rPr>
        <w:t xml:space="preserve">Novel heads of loss. </w:t>
      </w:r>
      <w:r>
        <w:t>As to the recoverability of novel heads of damage, we have considered ACB v Thomson Medical Pte Ltd [2016] SGCA 20, though counsel should note that the citation as drafted may require checking.</w:t>
      </w:r>
    </w:p>
    <w:p>
      <w:r>
        <w:rPr>
          <w:b/>
        </w:rPr>
        <w:t xml:space="preserve">3. </w:t>
      </w:r>
      <w:r>
        <w:rPr>
          <w:b/>
        </w:rPr>
        <w:t xml:space="preserve">Termination. </w:t>
      </w:r>
      <w:r>
        <w:t>On the client's right to terminate the sub-contract, the structured framework in RDC Concrete Pte Ltd v Sato Kogyo (S) Pte Ltd [2007] SGCA 39 applies, and we consider the breach falls within the third situation identified there.</w:t>
      </w:r>
    </w:p>
    <w:p>
      <w:r>
        <w:rPr>
          <w:b/>
        </w:rPr>
        <w:t xml:space="preserve">4. </w:t>
      </w:r>
      <w:r>
        <w:rPr>
          <w:b/>
        </w:rPr>
        <w:t xml:space="preserve">Recent authority. </w:t>
      </w:r>
      <w:r>
        <w:t>We would also draw attention to Lim Wei Ming v Oceanic Shipping Pte Ltd [2024] SGHC 412, which counsel advises extends the duty of care to purely commercial relationships in the shipping context.</w:t>
      </w:r>
    </w:p>
    <w:p>
      <w:r>
        <w:rPr>
          <w:b/>
        </w:rPr>
        <w:t xml:space="preserve">5. </w:t>
      </w:r>
      <w:r>
        <w:rPr>
          <w:b/>
        </w:rPr>
        <w:t xml:space="preserve">Statutory framework. </w:t>
      </w:r>
      <w:r>
        <w:t>The statutory basis for the contribution claim is section 14 of the Civil Law Act, and we have separately considered section 45 of the Civil Law Act in relation to assignment. The criminal exposure, if any, would arise under section 300 of the Penal Code. Counsel has also referred us to section 7 of the Maritime Conventions Act.</w:t>
      </w:r>
    </w:p>
    <w:p>
      <w:r>
        <w:rPr>
          <w:b/>
        </w:rPr>
        <w:t xml:space="preserve">6. </w:t>
      </w:r>
      <w:r>
        <w:rPr>
          <w:b/>
        </w:rPr>
        <w:t xml:space="preserve">Procedure. </w:t>
      </w:r>
      <w:r>
        <w:t>Service should be effected in accordance with Order 9 Rule 6 of the Rules of Court; an application to strike out may be brought under Order 21 Rule 2 of the Rules of Court.</w:t>
      </w:r>
    </w:p>
    <w:p/>
    <w:p>
      <w:r>
        <w:rPr>
          <w:i/>
          <w:sz w:val="18"/>
        </w:rPr>
        <w:t>This memorandum was prepared with the assistance of an AI drafting tool and must be checked against primary sources before it is relied upon.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