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03985" w14:textId="77777777" w:rsidR="0097084F" w:rsidRDefault="00000000">
      <w:pPr>
        <w:spacing w:after="100"/>
        <w:jc w:val="center"/>
      </w:pPr>
      <w:r>
        <w:rPr>
          <w:rFonts w:ascii="Calibri" w:eastAsia="Calibri" w:hAnsi="Calibri" w:cs="Calibri"/>
          <w:b/>
          <w:bCs/>
          <w:sz w:val="28"/>
          <w:szCs w:val="28"/>
        </w:rPr>
        <w:t>CRITICAL ANALYSIS OF INTERFACES</w:t>
      </w:r>
    </w:p>
    <w:p w14:paraId="4A9B876C" w14:textId="77777777" w:rsidR="0097084F" w:rsidRDefault="00000000">
      <w:pPr>
        <w:spacing w:after="100"/>
        <w:jc w:val="center"/>
      </w:pPr>
      <w:r>
        <w:rPr>
          <w:rFonts w:ascii="Calibri" w:eastAsia="Calibri" w:hAnsi="Calibri" w:cs="Calibri"/>
          <w:b/>
          <w:bCs/>
          <w:sz w:val="24"/>
          <w:szCs w:val="24"/>
        </w:rPr>
        <w:t>A Usability and Interface Design Evaluation of the Angel One Website</w:t>
      </w:r>
    </w:p>
    <w:p w14:paraId="4BA7077C" w14:textId="77777777" w:rsidR="0097084F" w:rsidRDefault="00000000">
      <w:pPr>
        <w:spacing w:after="300"/>
        <w:jc w:val="center"/>
      </w:pPr>
      <w:r>
        <w:rPr>
          <w:rFonts w:ascii="Calibri" w:eastAsia="Calibri" w:hAnsi="Calibri" w:cs="Calibri"/>
          <w:i/>
          <w:iCs/>
          <w:sz w:val="22"/>
          <w:szCs w:val="22"/>
        </w:rPr>
        <w:t>(www.angelone.in)</w:t>
      </w:r>
    </w:p>
    <w:p w14:paraId="61D7044D" w14:textId="318D2FDC" w:rsidR="0097084F" w:rsidRDefault="00000000">
      <w:pPr>
        <w:spacing w:after="80"/>
        <w:jc w:val="center"/>
      </w:pPr>
      <w:r>
        <w:rPr>
          <w:rFonts w:ascii="Calibri" w:eastAsia="Calibri" w:hAnsi="Calibri" w:cs="Calibri"/>
          <w:sz w:val="22"/>
          <w:szCs w:val="22"/>
        </w:rPr>
        <w:t xml:space="preserve">Submitted by: </w:t>
      </w:r>
      <w:r w:rsidR="00BD0217">
        <w:rPr>
          <w:rFonts w:ascii="Calibri" w:eastAsia="Calibri" w:hAnsi="Calibri" w:cs="Calibri"/>
          <w:sz w:val="22"/>
          <w:szCs w:val="22"/>
        </w:rPr>
        <w:t>Ayan Ahmad</w:t>
      </w:r>
    </w:p>
    <w:p w14:paraId="10CCD92A" w14:textId="3481025C" w:rsidR="0097084F" w:rsidRDefault="00000000">
      <w:pPr>
        <w:spacing w:after="80"/>
        <w:jc w:val="center"/>
      </w:pPr>
      <w:r>
        <w:rPr>
          <w:rFonts w:ascii="Calibri" w:eastAsia="Calibri" w:hAnsi="Calibri" w:cs="Calibri"/>
          <w:sz w:val="22"/>
          <w:szCs w:val="22"/>
        </w:rPr>
        <w:t xml:space="preserve">PRN: </w:t>
      </w:r>
      <w:r w:rsidR="00BD0217">
        <w:rPr>
          <w:rFonts w:ascii="Calibri" w:eastAsia="Calibri" w:hAnsi="Calibri" w:cs="Calibri"/>
          <w:sz w:val="22"/>
          <w:szCs w:val="22"/>
        </w:rPr>
        <w:t>1032232862</w:t>
      </w:r>
    </w:p>
    <w:p w14:paraId="1DB3D5E9" w14:textId="057E22B0" w:rsidR="0097084F" w:rsidRDefault="00000000">
      <w:pPr>
        <w:spacing w:after="80"/>
        <w:jc w:val="center"/>
      </w:pPr>
      <w:r>
        <w:rPr>
          <w:rFonts w:ascii="Calibri" w:eastAsia="Calibri" w:hAnsi="Calibri" w:cs="Calibri"/>
          <w:sz w:val="22"/>
          <w:szCs w:val="22"/>
        </w:rPr>
        <w:t>Panel/Batch: Panel</w:t>
      </w:r>
      <w:r w:rsidR="00BD0217">
        <w:rPr>
          <w:rFonts w:ascii="Calibri" w:eastAsia="Calibri" w:hAnsi="Calibri" w:cs="Calibri"/>
          <w:sz w:val="22"/>
          <w:szCs w:val="22"/>
        </w:rPr>
        <w:t xml:space="preserve"> – D / </w:t>
      </w:r>
      <w:r>
        <w:rPr>
          <w:rFonts w:ascii="Calibri" w:eastAsia="Calibri" w:hAnsi="Calibri" w:cs="Calibri"/>
          <w:sz w:val="22"/>
          <w:szCs w:val="22"/>
        </w:rPr>
        <w:t>Batch</w:t>
      </w:r>
      <w:r w:rsidR="00BD0217">
        <w:rPr>
          <w:rFonts w:ascii="Calibri" w:eastAsia="Calibri" w:hAnsi="Calibri" w:cs="Calibri"/>
          <w:sz w:val="22"/>
          <w:szCs w:val="22"/>
        </w:rPr>
        <w:t xml:space="preserve"> – D2</w:t>
      </w:r>
    </w:p>
    <w:p w14:paraId="17220139" w14:textId="77777777" w:rsidR="0097084F" w:rsidRDefault="00000000">
      <w:pPr>
        <w:spacing w:after="80"/>
        <w:jc w:val="center"/>
      </w:pPr>
      <w:r>
        <w:rPr>
          <w:rFonts w:ascii="Calibri" w:eastAsia="Calibri" w:hAnsi="Calibri" w:cs="Calibri"/>
          <w:sz w:val="22"/>
          <w:szCs w:val="22"/>
        </w:rPr>
        <w:t xml:space="preserve">Programme: </w:t>
      </w:r>
      <w:proofErr w:type="spellStart"/>
      <w:proofErr w:type="gramStart"/>
      <w:r>
        <w:rPr>
          <w:rFonts w:ascii="Calibri" w:eastAsia="Calibri" w:hAnsi="Calibri" w:cs="Calibri"/>
          <w:sz w:val="22"/>
          <w:szCs w:val="22"/>
        </w:rPr>
        <w:t>B.Tech</w:t>
      </w:r>
      <w:proofErr w:type="spellEnd"/>
      <w:proofErr w:type="gramEnd"/>
      <w:r>
        <w:rPr>
          <w:rFonts w:ascii="Calibri" w:eastAsia="Calibri" w:hAnsi="Calibri" w:cs="Calibri"/>
          <w:sz w:val="22"/>
          <w:szCs w:val="22"/>
        </w:rPr>
        <w:t xml:space="preserve"> Computer Science</w:t>
      </w:r>
    </w:p>
    <w:p w14:paraId="0E959651" w14:textId="77777777" w:rsidR="0097084F" w:rsidRDefault="00000000">
      <w:pPr>
        <w:spacing w:after="80"/>
        <w:jc w:val="center"/>
      </w:pPr>
      <w:r>
        <w:rPr>
          <w:rFonts w:ascii="Calibri" w:eastAsia="Calibri" w:hAnsi="Calibri" w:cs="Calibri"/>
          <w:sz w:val="22"/>
          <w:szCs w:val="22"/>
        </w:rPr>
        <w:t>MIT World Peace University, Pune</w:t>
      </w:r>
    </w:p>
    <w:p w14:paraId="1BB45428" w14:textId="77777777" w:rsidR="0097084F" w:rsidRDefault="00000000">
      <w:pPr>
        <w:spacing w:after="300"/>
        <w:jc w:val="center"/>
      </w:pPr>
      <w:r>
        <w:rPr>
          <w:rFonts w:ascii="Calibri" w:eastAsia="Calibri" w:hAnsi="Calibri" w:cs="Calibri"/>
          <w:sz w:val="22"/>
          <w:szCs w:val="22"/>
        </w:rPr>
        <w:t>Assignment: Critical Analysis of Interfaces</w:t>
      </w:r>
    </w:p>
    <w:p w14:paraId="700D34E1" w14:textId="77777777" w:rsidR="0097084F" w:rsidRDefault="00000000">
      <w:pPr>
        <w:pStyle w:val="Heading1"/>
        <w:spacing w:before="300" w:after="150"/>
      </w:pPr>
      <w:r>
        <w:rPr>
          <w:rFonts w:ascii="Calibri" w:eastAsia="Calibri" w:hAnsi="Calibri" w:cs="Calibri"/>
          <w:b/>
          <w:bCs/>
        </w:rPr>
        <w:t>1. Introduction</w:t>
      </w:r>
    </w:p>
    <w:p w14:paraId="45B29E57" w14:textId="77777777" w:rsidR="0097084F" w:rsidRDefault="00000000">
      <w:pPr>
        <w:spacing w:after="200" w:line="276" w:lineRule="auto"/>
      </w:pPr>
      <w:r>
        <w:rPr>
          <w:rFonts w:ascii="Calibri" w:eastAsia="Calibri" w:hAnsi="Calibri" w:cs="Calibri"/>
          <w:sz w:val="22"/>
          <w:szCs w:val="22"/>
        </w:rPr>
        <w:t>This assignment examines an interface built for a very different kind of visitor than a purely informational site: prospective and existing investors who arrive either to open a trading account or to actively manage stocks, mutual funds, and derivatives. The interface chosen is the official website of Angel One (formerly Angel Broking), a SEBI-registered stockbroking and financial services platform headquartered in Mumbai, accessible at www.angelone.in. Angel One is one of India's largest retail brokers, offering trading and investment across equities, F&amp;O, mutual funds, IPOs, commodities, currencies, US stocks, and adjacent financial products such as loans and insurance. Because the platform depends on converting visitors into funded, active accounts while also serving existing customers who trade daily, its website has to double as a marketing and conversion funnel as well as a gateway into a full trading product, and this tension shapes much of what follows. As with any interface evaluation, the intent here is not to judge Angel One's investment offerings or pricing on their merits, but to examine how learnable, usable, consistent, and trustworthy the site is purely as a piece of interaction design.</w:t>
      </w:r>
    </w:p>
    <w:p w14:paraId="70713A28" w14:textId="77777777" w:rsidR="0097084F" w:rsidRDefault="00000000">
      <w:pPr>
        <w:pStyle w:val="Heading1"/>
        <w:spacing w:before="300" w:after="150"/>
      </w:pPr>
      <w:r>
        <w:rPr>
          <w:rFonts w:ascii="Calibri" w:eastAsia="Calibri" w:hAnsi="Calibri" w:cs="Calibri"/>
          <w:b/>
          <w:bCs/>
        </w:rPr>
        <w:t>2. Overview of the Interface</w:t>
      </w:r>
    </w:p>
    <w:p w14:paraId="42D10678" w14:textId="77777777" w:rsidR="0097084F" w:rsidRDefault="00000000">
      <w:pPr>
        <w:spacing w:after="200" w:line="276" w:lineRule="auto"/>
      </w:pPr>
      <w:r>
        <w:rPr>
          <w:rFonts w:ascii="Calibri" w:eastAsia="Calibri" w:hAnsi="Calibri" w:cs="Calibri"/>
          <w:sz w:val="22"/>
          <w:szCs w:val="22"/>
        </w:rPr>
        <w:t xml:space="preserve">The Angel One homepage opens with a hero section built around a single dominant action: opening a free demat and trading account, reinforced by a trust badge citing over 3.5 crore customers and zero-brokerage messaging for cash delivery trades. Running close behind this is an equally prominent nudge to download the mobile "Super App", positioned as a near-equal competing call to action. Beneath these two headline prompts, the page moves into a sequence of feature cards covering the platform's core products — Stocks, F&amp;O, Mutual Funds, IPOs, Commodities, Currencies, US Stocks, and lending/insurance add-ons — each with its own short description and "Know More" link. Further down, the homepage surfaces a brokerage-and-pricing comparison block, a strip of blog and Knowledge </w:t>
      </w:r>
      <w:proofErr w:type="spellStart"/>
      <w:r>
        <w:rPr>
          <w:rFonts w:ascii="Calibri" w:eastAsia="Calibri" w:hAnsi="Calibri" w:cs="Calibri"/>
          <w:sz w:val="22"/>
          <w:szCs w:val="22"/>
        </w:rPr>
        <w:t>Center</w:t>
      </w:r>
      <w:proofErr w:type="spellEnd"/>
      <w:r>
        <w:rPr>
          <w:rFonts w:ascii="Calibri" w:eastAsia="Calibri" w:hAnsi="Calibri" w:cs="Calibri"/>
          <w:sz w:val="22"/>
          <w:szCs w:val="22"/>
        </w:rPr>
        <w:t xml:space="preserve"> article previews, and interactive tools such as a brokerage calculator. The footer holds the site's fuller navigation — Products, Pricing, Support, Knowledge </w:t>
      </w:r>
      <w:proofErr w:type="spellStart"/>
      <w:r>
        <w:rPr>
          <w:rFonts w:ascii="Calibri" w:eastAsia="Calibri" w:hAnsi="Calibri" w:cs="Calibri"/>
          <w:sz w:val="22"/>
          <w:szCs w:val="22"/>
        </w:rPr>
        <w:t>Center</w:t>
      </w:r>
      <w:proofErr w:type="spellEnd"/>
      <w:r>
        <w:rPr>
          <w:rFonts w:ascii="Calibri" w:eastAsia="Calibri" w:hAnsi="Calibri" w:cs="Calibri"/>
          <w:sz w:val="22"/>
          <w:szCs w:val="22"/>
        </w:rPr>
        <w:t xml:space="preserve">, Company, and legal/regulatory disclosures including SEBI registration and exchange membership numbers — alongside social-media links. Once a visitor actually opens an account, the experience shifts into the trading app or web platform itself, a considerably denser interface organised around tabs for Watchlist, Orders, Portfolio, and Charts, which </w:t>
      </w:r>
      <w:r>
        <w:rPr>
          <w:rFonts w:ascii="Calibri" w:eastAsia="Calibri" w:hAnsi="Calibri" w:cs="Calibri"/>
          <w:sz w:val="22"/>
          <w:szCs w:val="22"/>
        </w:rPr>
        <w:lastRenderedPageBreak/>
        <w:t>functions almost as a second, distinct product layered behind the marketing site's conversion-first front door.</w:t>
      </w:r>
    </w:p>
    <w:p w14:paraId="67F1FFD6" w14:textId="77777777" w:rsidR="0097084F" w:rsidRDefault="00000000">
      <w:pPr>
        <w:pStyle w:val="Heading1"/>
        <w:spacing w:before="300" w:after="150"/>
      </w:pPr>
      <w:r>
        <w:rPr>
          <w:rFonts w:ascii="Calibri" w:eastAsia="Calibri" w:hAnsi="Calibri" w:cs="Calibri"/>
          <w:b/>
          <w:bCs/>
        </w:rPr>
        <w:t>3. Parameter-Wise Evaluation</w:t>
      </w:r>
    </w:p>
    <w:p w14:paraId="49F09134" w14:textId="77777777" w:rsidR="0097084F" w:rsidRDefault="00000000">
      <w:pPr>
        <w:spacing w:after="200" w:line="276" w:lineRule="auto"/>
      </w:pPr>
      <w:r>
        <w:rPr>
          <w:rFonts w:ascii="Calibri" w:eastAsia="Calibri" w:hAnsi="Calibri" w:cs="Calibri"/>
          <w:sz w:val="22"/>
          <w:szCs w:val="22"/>
        </w:rPr>
        <w:t>The table below evaluates the interface against the standard set of interface-design parameters, describing what each parameter measures and how the Angel One website performs against it.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300"/>
        <w:gridCol w:w="4340"/>
      </w:tblGrid>
      <w:tr w:rsidR="0097084F" w14:paraId="44341B42" w14:textId="77777777">
        <w:tblPrEx>
          <w:tblCellMar>
            <w:top w:w="0" w:type="dxa"/>
            <w:bottom w:w="0" w:type="dxa"/>
          </w:tblCellMar>
        </w:tblPrEx>
        <w:trPr>
          <w:tblHeader/>
        </w:trPr>
        <w:tc>
          <w:tcPr>
            <w:tcW w:w="2000" w:type="dxa"/>
            <w:shd w:val="clear" w:color="auto" w:fill="1F3864"/>
            <w:tcMar>
              <w:top w:w="100" w:type="dxa"/>
              <w:left w:w="100" w:type="dxa"/>
              <w:bottom w:w="100" w:type="dxa"/>
              <w:right w:w="100" w:type="dxa"/>
            </w:tcMar>
          </w:tcPr>
          <w:p w14:paraId="2CFF5747" w14:textId="77777777" w:rsidR="0097084F" w:rsidRDefault="00000000">
            <w:pPr>
              <w:spacing w:after="100" w:line="264" w:lineRule="auto"/>
            </w:pPr>
            <w:r>
              <w:rPr>
                <w:rFonts w:ascii="Calibri" w:eastAsia="Calibri" w:hAnsi="Calibri" w:cs="Calibri"/>
                <w:b/>
                <w:bCs/>
                <w:color w:val="FFFFFF"/>
              </w:rPr>
              <w:t>Parameter</w:t>
            </w:r>
          </w:p>
        </w:tc>
        <w:tc>
          <w:tcPr>
            <w:tcW w:w="3300" w:type="dxa"/>
            <w:shd w:val="clear" w:color="auto" w:fill="1F3864"/>
            <w:tcMar>
              <w:top w:w="100" w:type="dxa"/>
              <w:left w:w="100" w:type="dxa"/>
              <w:bottom w:w="100" w:type="dxa"/>
              <w:right w:w="100" w:type="dxa"/>
            </w:tcMar>
          </w:tcPr>
          <w:p w14:paraId="5AC3FB09" w14:textId="77777777" w:rsidR="0097084F" w:rsidRDefault="00000000">
            <w:pPr>
              <w:spacing w:after="100" w:line="264" w:lineRule="auto"/>
            </w:pPr>
            <w:r>
              <w:rPr>
                <w:rFonts w:ascii="Calibri" w:eastAsia="Calibri" w:hAnsi="Calibri" w:cs="Calibri"/>
                <w:b/>
                <w:bCs/>
                <w:color w:val="FFFFFF"/>
              </w:rPr>
              <w:t>What It Measures</w:t>
            </w:r>
          </w:p>
        </w:tc>
        <w:tc>
          <w:tcPr>
            <w:tcW w:w="4340" w:type="dxa"/>
            <w:shd w:val="clear" w:color="auto" w:fill="1F3864"/>
            <w:tcMar>
              <w:top w:w="100" w:type="dxa"/>
              <w:left w:w="100" w:type="dxa"/>
              <w:bottom w:w="100" w:type="dxa"/>
              <w:right w:w="100" w:type="dxa"/>
            </w:tcMar>
          </w:tcPr>
          <w:p w14:paraId="2B82639C" w14:textId="77777777" w:rsidR="0097084F" w:rsidRDefault="00000000">
            <w:pPr>
              <w:spacing w:after="100" w:line="264" w:lineRule="auto"/>
            </w:pPr>
            <w:r>
              <w:rPr>
                <w:rFonts w:ascii="Calibri" w:eastAsia="Calibri" w:hAnsi="Calibri" w:cs="Calibri"/>
                <w:b/>
                <w:bCs/>
                <w:color w:val="FFFFFF"/>
              </w:rPr>
              <w:t>Observation on Angel One Website</w:t>
            </w:r>
          </w:p>
        </w:tc>
      </w:tr>
      <w:tr w:rsidR="0097084F" w14:paraId="58229321" w14:textId="77777777">
        <w:tblPrEx>
          <w:tblCellMar>
            <w:top w:w="0" w:type="dxa"/>
            <w:bottom w:w="0" w:type="dxa"/>
          </w:tblCellMar>
        </w:tblPrEx>
        <w:tc>
          <w:tcPr>
            <w:tcW w:w="2000" w:type="dxa"/>
            <w:tcMar>
              <w:top w:w="100" w:type="dxa"/>
              <w:left w:w="100" w:type="dxa"/>
              <w:bottom w:w="100" w:type="dxa"/>
              <w:right w:w="100" w:type="dxa"/>
            </w:tcMar>
          </w:tcPr>
          <w:p w14:paraId="1E0686AD" w14:textId="77777777" w:rsidR="0097084F" w:rsidRDefault="00000000">
            <w:pPr>
              <w:spacing w:after="100" w:line="264" w:lineRule="auto"/>
            </w:pPr>
            <w:r>
              <w:rPr>
                <w:rFonts w:ascii="Calibri" w:eastAsia="Calibri" w:hAnsi="Calibri" w:cs="Calibri"/>
                <w:b/>
                <w:bCs/>
              </w:rPr>
              <w:t>Learnability</w:t>
            </w:r>
          </w:p>
        </w:tc>
        <w:tc>
          <w:tcPr>
            <w:tcW w:w="3300" w:type="dxa"/>
            <w:tcMar>
              <w:top w:w="100" w:type="dxa"/>
              <w:left w:w="100" w:type="dxa"/>
              <w:bottom w:w="100" w:type="dxa"/>
              <w:right w:w="100" w:type="dxa"/>
            </w:tcMar>
          </w:tcPr>
          <w:p w14:paraId="7B694A33" w14:textId="77777777" w:rsidR="0097084F" w:rsidRDefault="00000000">
            <w:pPr>
              <w:spacing w:after="100" w:line="264" w:lineRule="auto"/>
            </w:pPr>
            <w:r>
              <w:rPr>
                <w:rFonts w:ascii="Calibri" w:eastAsia="Calibri" w:hAnsi="Calibri" w:cs="Calibri"/>
              </w:rPr>
              <w:t>How easily a first-time user can understand and use the site without guidance.</w:t>
            </w:r>
          </w:p>
        </w:tc>
        <w:tc>
          <w:tcPr>
            <w:tcW w:w="4340" w:type="dxa"/>
            <w:tcMar>
              <w:top w:w="100" w:type="dxa"/>
              <w:left w:w="100" w:type="dxa"/>
              <w:bottom w:w="100" w:type="dxa"/>
              <w:right w:w="100" w:type="dxa"/>
            </w:tcMar>
          </w:tcPr>
          <w:p w14:paraId="11507EF1" w14:textId="77777777" w:rsidR="0097084F" w:rsidRDefault="00000000">
            <w:pPr>
              <w:spacing w:after="100" w:line="264" w:lineRule="auto"/>
            </w:pPr>
            <w:r>
              <w:rPr>
                <w:rFonts w:ascii="Calibri" w:eastAsia="Calibri" w:hAnsi="Calibri" w:cs="Calibri"/>
              </w:rPr>
              <w:t xml:space="preserve">The homepage opens with a hero banner pushing free demat account opening and a "3.5 Cr+ customers" trust badge before a first-time visitor sees any explanation of what trading, F&amp;O, or mutual funds actually involve. A student researching the platform, rather than opening an account, has to scroll past several conversion-focused sections before reaching the Knowledge </w:t>
            </w:r>
            <w:proofErr w:type="spellStart"/>
            <w:r>
              <w:rPr>
                <w:rFonts w:ascii="Calibri" w:eastAsia="Calibri" w:hAnsi="Calibri" w:cs="Calibri"/>
              </w:rPr>
              <w:t>Center</w:t>
            </w:r>
            <w:proofErr w:type="spellEnd"/>
            <w:r>
              <w:rPr>
                <w:rFonts w:ascii="Calibri" w:eastAsia="Calibri" w:hAnsi="Calibri" w:cs="Calibri"/>
              </w:rPr>
              <w:t xml:space="preserve"> or blog content that would actually teach them anything.</w:t>
            </w:r>
          </w:p>
        </w:tc>
      </w:tr>
      <w:tr w:rsidR="0097084F" w14:paraId="3309AD3A" w14:textId="77777777">
        <w:tblPrEx>
          <w:tblCellMar>
            <w:top w:w="0" w:type="dxa"/>
            <w:bottom w:w="0" w:type="dxa"/>
          </w:tblCellMar>
        </w:tblPrEx>
        <w:tc>
          <w:tcPr>
            <w:tcW w:w="2000" w:type="dxa"/>
            <w:tcMar>
              <w:top w:w="100" w:type="dxa"/>
              <w:left w:w="100" w:type="dxa"/>
              <w:bottom w:w="100" w:type="dxa"/>
              <w:right w:w="100" w:type="dxa"/>
            </w:tcMar>
          </w:tcPr>
          <w:p w14:paraId="41733FF1" w14:textId="77777777" w:rsidR="0097084F" w:rsidRDefault="00000000">
            <w:pPr>
              <w:spacing w:after="100" w:line="264" w:lineRule="auto"/>
            </w:pPr>
            <w:r>
              <w:rPr>
                <w:rFonts w:ascii="Calibri" w:eastAsia="Calibri" w:hAnsi="Calibri" w:cs="Calibri"/>
                <w:b/>
                <w:bCs/>
              </w:rPr>
              <w:t>Usability</w:t>
            </w:r>
          </w:p>
        </w:tc>
        <w:tc>
          <w:tcPr>
            <w:tcW w:w="3300" w:type="dxa"/>
            <w:tcMar>
              <w:top w:w="100" w:type="dxa"/>
              <w:left w:w="100" w:type="dxa"/>
              <w:bottom w:w="100" w:type="dxa"/>
              <w:right w:w="100" w:type="dxa"/>
            </w:tcMar>
          </w:tcPr>
          <w:p w14:paraId="7D68CA0D" w14:textId="77777777" w:rsidR="0097084F" w:rsidRDefault="00000000">
            <w:pPr>
              <w:spacing w:after="100" w:line="264" w:lineRule="auto"/>
            </w:pPr>
            <w:r>
              <w:rPr>
                <w:rFonts w:ascii="Calibri" w:eastAsia="Calibri" w:hAnsi="Calibri" w:cs="Calibri"/>
              </w:rPr>
              <w:t>Efficiency and effectiveness with which users can complete tasks such as searching, browsing, or accessing documentation.</w:t>
            </w:r>
          </w:p>
        </w:tc>
        <w:tc>
          <w:tcPr>
            <w:tcW w:w="4340" w:type="dxa"/>
            <w:tcMar>
              <w:top w:w="100" w:type="dxa"/>
              <w:left w:w="100" w:type="dxa"/>
              <w:bottom w:w="100" w:type="dxa"/>
              <w:right w:w="100" w:type="dxa"/>
            </w:tcMar>
          </w:tcPr>
          <w:p w14:paraId="381C5C32" w14:textId="77777777" w:rsidR="0097084F" w:rsidRDefault="00000000">
            <w:pPr>
              <w:spacing w:after="100" w:line="264" w:lineRule="auto"/>
            </w:pPr>
            <w:r>
              <w:rPr>
                <w:rFonts w:ascii="Calibri" w:eastAsia="Calibri" w:hAnsi="Calibri" w:cs="Calibri"/>
              </w:rPr>
              <w:t>Once a visitor has an account, the in-app tab structure for Stocks, F&amp;O, and Mutual Funds is genuinely efficient, and the search bar can resolve a company name, a mutual fund, or a help article from one field. On the marketing website, however, the same efficiency is not present: locating a specific fact, such as brokerage charges for a particular segment, means moving between the pricing page, a calculator, and several FAQ entries rather than finding it in one place.</w:t>
            </w:r>
          </w:p>
        </w:tc>
      </w:tr>
      <w:tr w:rsidR="0097084F" w14:paraId="72C9FA56" w14:textId="77777777">
        <w:tblPrEx>
          <w:tblCellMar>
            <w:top w:w="0" w:type="dxa"/>
            <w:bottom w:w="0" w:type="dxa"/>
          </w:tblCellMar>
        </w:tblPrEx>
        <w:tc>
          <w:tcPr>
            <w:tcW w:w="2000" w:type="dxa"/>
            <w:tcMar>
              <w:top w:w="100" w:type="dxa"/>
              <w:left w:w="100" w:type="dxa"/>
              <w:bottom w:w="100" w:type="dxa"/>
              <w:right w:w="100" w:type="dxa"/>
            </w:tcMar>
          </w:tcPr>
          <w:p w14:paraId="1547535A" w14:textId="77777777" w:rsidR="0097084F" w:rsidRDefault="00000000">
            <w:pPr>
              <w:spacing w:after="100" w:line="264" w:lineRule="auto"/>
            </w:pPr>
            <w:r>
              <w:rPr>
                <w:rFonts w:ascii="Calibri" w:eastAsia="Calibri" w:hAnsi="Calibri" w:cs="Calibri"/>
                <w:b/>
                <w:bCs/>
              </w:rPr>
              <w:t>Consistency</w:t>
            </w:r>
          </w:p>
        </w:tc>
        <w:tc>
          <w:tcPr>
            <w:tcW w:w="3300" w:type="dxa"/>
            <w:tcMar>
              <w:top w:w="100" w:type="dxa"/>
              <w:left w:w="100" w:type="dxa"/>
              <w:bottom w:w="100" w:type="dxa"/>
              <w:right w:w="100" w:type="dxa"/>
            </w:tcMar>
          </w:tcPr>
          <w:p w14:paraId="6C556FE5" w14:textId="77777777" w:rsidR="0097084F" w:rsidRDefault="00000000">
            <w:pPr>
              <w:spacing w:after="100" w:line="264" w:lineRule="auto"/>
            </w:pPr>
            <w:r>
              <w:rPr>
                <w:rFonts w:ascii="Calibri" w:eastAsia="Calibri" w:hAnsi="Calibri" w:cs="Calibri"/>
              </w:rPr>
              <w:t>Uniformity in colours, typography, icons, layouts, and interaction patterns across pages.</w:t>
            </w:r>
          </w:p>
        </w:tc>
        <w:tc>
          <w:tcPr>
            <w:tcW w:w="4340" w:type="dxa"/>
            <w:tcMar>
              <w:top w:w="100" w:type="dxa"/>
              <w:left w:w="100" w:type="dxa"/>
              <w:bottom w:w="100" w:type="dxa"/>
              <w:right w:w="100" w:type="dxa"/>
            </w:tcMar>
          </w:tcPr>
          <w:p w14:paraId="24B299FB" w14:textId="77777777" w:rsidR="0097084F" w:rsidRDefault="00000000">
            <w:pPr>
              <w:spacing w:after="100" w:line="264" w:lineRule="auto"/>
            </w:pPr>
            <w:r>
              <w:rPr>
                <w:rFonts w:ascii="Calibri" w:eastAsia="Calibri" w:hAnsi="Calibri" w:cs="Calibri"/>
              </w:rPr>
              <w:t xml:space="preserve">The core brand palette (navy blue and white with an orange accent) and card-based layout repeat consistently across the marketing pages, the Knowledge </w:t>
            </w:r>
            <w:proofErr w:type="spellStart"/>
            <w:r>
              <w:rPr>
                <w:rFonts w:ascii="Calibri" w:eastAsia="Calibri" w:hAnsi="Calibri" w:cs="Calibri"/>
              </w:rPr>
              <w:t>Center</w:t>
            </w:r>
            <w:proofErr w:type="spellEnd"/>
            <w:r>
              <w:rPr>
                <w:rFonts w:ascii="Calibri" w:eastAsia="Calibri" w:hAnsi="Calibri" w:cs="Calibri"/>
              </w:rPr>
              <w:t>, and the blog. Where consistency breaks down is between the marketing website and the trading app/web-platform themselves, which use a denser, data-table-heavy layout suited to active traders and feel like a distinct product rather than a continuation of the same interface.</w:t>
            </w:r>
          </w:p>
        </w:tc>
      </w:tr>
      <w:tr w:rsidR="0097084F" w14:paraId="7624D24B" w14:textId="77777777">
        <w:tblPrEx>
          <w:tblCellMar>
            <w:top w:w="0" w:type="dxa"/>
            <w:bottom w:w="0" w:type="dxa"/>
          </w:tblCellMar>
        </w:tblPrEx>
        <w:tc>
          <w:tcPr>
            <w:tcW w:w="2000" w:type="dxa"/>
            <w:tcMar>
              <w:top w:w="100" w:type="dxa"/>
              <w:left w:w="100" w:type="dxa"/>
              <w:bottom w:w="100" w:type="dxa"/>
              <w:right w:w="100" w:type="dxa"/>
            </w:tcMar>
          </w:tcPr>
          <w:p w14:paraId="4995B25F" w14:textId="77777777" w:rsidR="0097084F" w:rsidRDefault="00000000">
            <w:pPr>
              <w:spacing w:after="100" w:line="264" w:lineRule="auto"/>
            </w:pPr>
            <w:r>
              <w:rPr>
                <w:rFonts w:ascii="Calibri" w:eastAsia="Calibri" w:hAnsi="Calibri" w:cs="Calibri"/>
                <w:b/>
                <w:bCs/>
              </w:rPr>
              <w:t>Use of Metaphors</w:t>
            </w:r>
          </w:p>
        </w:tc>
        <w:tc>
          <w:tcPr>
            <w:tcW w:w="3300" w:type="dxa"/>
            <w:tcMar>
              <w:top w:w="100" w:type="dxa"/>
              <w:left w:w="100" w:type="dxa"/>
              <w:bottom w:w="100" w:type="dxa"/>
              <w:right w:w="100" w:type="dxa"/>
            </w:tcMar>
          </w:tcPr>
          <w:p w14:paraId="0EE8CD8B" w14:textId="77777777" w:rsidR="0097084F" w:rsidRDefault="00000000">
            <w:pPr>
              <w:spacing w:after="100" w:line="264" w:lineRule="auto"/>
            </w:pPr>
            <w:r>
              <w:rPr>
                <w:rFonts w:ascii="Calibri" w:eastAsia="Calibri" w:hAnsi="Calibri" w:cs="Calibri"/>
              </w:rPr>
              <w:t>Whether familiar real-world concepts help users understand functionality.</w:t>
            </w:r>
          </w:p>
        </w:tc>
        <w:tc>
          <w:tcPr>
            <w:tcW w:w="4340" w:type="dxa"/>
            <w:tcMar>
              <w:top w:w="100" w:type="dxa"/>
              <w:left w:w="100" w:type="dxa"/>
              <w:bottom w:w="100" w:type="dxa"/>
              <w:right w:w="100" w:type="dxa"/>
            </w:tcMar>
          </w:tcPr>
          <w:p w14:paraId="1421F79C" w14:textId="77777777" w:rsidR="0097084F" w:rsidRDefault="00000000">
            <w:pPr>
              <w:spacing w:after="100" w:line="264" w:lineRule="auto"/>
            </w:pPr>
            <w:r>
              <w:rPr>
                <w:rFonts w:ascii="Calibri" w:eastAsia="Calibri" w:hAnsi="Calibri" w:cs="Calibri"/>
              </w:rPr>
              <w:t xml:space="preserve">Metaphor use is limited but present in places the OWASP site lacked entirely: a demat account is explained as a digital "locker" for holdings, and </w:t>
            </w:r>
            <w:r>
              <w:rPr>
                <w:rFonts w:ascii="Calibri" w:eastAsia="Calibri" w:hAnsi="Calibri" w:cs="Calibri"/>
              </w:rPr>
              <w:lastRenderedPageBreak/>
              <w:t>ARQ recommendations are framed as a curated "suggestion" rather than a raw data feed. Most calls to action, however, remain plain text ("Open Free Demat Account", "Start Investing"), and F&amp;O tools in particular assume the visitor already understands options terminology without a supporting visual metaphor.</w:t>
            </w:r>
          </w:p>
        </w:tc>
      </w:tr>
      <w:tr w:rsidR="0097084F" w14:paraId="01DFEC18" w14:textId="77777777">
        <w:tblPrEx>
          <w:tblCellMar>
            <w:top w:w="0" w:type="dxa"/>
            <w:bottom w:w="0" w:type="dxa"/>
          </w:tblCellMar>
        </w:tblPrEx>
        <w:tc>
          <w:tcPr>
            <w:tcW w:w="2000" w:type="dxa"/>
            <w:tcMar>
              <w:top w:w="100" w:type="dxa"/>
              <w:left w:w="100" w:type="dxa"/>
              <w:bottom w:w="100" w:type="dxa"/>
              <w:right w:w="100" w:type="dxa"/>
            </w:tcMar>
          </w:tcPr>
          <w:p w14:paraId="7DA4710B" w14:textId="77777777" w:rsidR="0097084F" w:rsidRDefault="00000000">
            <w:pPr>
              <w:spacing w:after="100" w:line="264" w:lineRule="auto"/>
            </w:pPr>
            <w:r>
              <w:rPr>
                <w:rFonts w:ascii="Calibri" w:eastAsia="Calibri" w:hAnsi="Calibri" w:cs="Calibri"/>
                <w:b/>
                <w:bCs/>
              </w:rPr>
              <w:lastRenderedPageBreak/>
              <w:t>Navigation Structure</w:t>
            </w:r>
          </w:p>
        </w:tc>
        <w:tc>
          <w:tcPr>
            <w:tcW w:w="3300" w:type="dxa"/>
            <w:tcMar>
              <w:top w:w="100" w:type="dxa"/>
              <w:left w:w="100" w:type="dxa"/>
              <w:bottom w:w="100" w:type="dxa"/>
              <w:right w:w="100" w:type="dxa"/>
            </w:tcMar>
          </w:tcPr>
          <w:p w14:paraId="28919F1F" w14:textId="77777777" w:rsidR="0097084F" w:rsidRDefault="00000000">
            <w:pPr>
              <w:spacing w:after="100" w:line="264" w:lineRule="auto"/>
            </w:pPr>
            <w:r>
              <w:rPr>
                <w:rFonts w:ascii="Calibri" w:eastAsia="Calibri" w:hAnsi="Calibri" w:cs="Calibri"/>
              </w:rPr>
              <w:t>Clarity and organisation of menus, breadcrumbs, links, and information hierarchy.</w:t>
            </w:r>
          </w:p>
        </w:tc>
        <w:tc>
          <w:tcPr>
            <w:tcW w:w="4340" w:type="dxa"/>
            <w:tcMar>
              <w:top w:w="100" w:type="dxa"/>
              <w:left w:w="100" w:type="dxa"/>
              <w:bottom w:w="100" w:type="dxa"/>
              <w:right w:w="100" w:type="dxa"/>
            </w:tcMar>
          </w:tcPr>
          <w:p w14:paraId="75921FEE" w14:textId="77777777" w:rsidR="0097084F" w:rsidRDefault="00000000">
            <w:pPr>
              <w:spacing w:after="100" w:line="264" w:lineRule="auto"/>
            </w:pPr>
            <w:r>
              <w:rPr>
                <w:rFonts w:ascii="Calibri" w:eastAsia="Calibri" w:hAnsi="Calibri" w:cs="Calibri"/>
              </w:rPr>
              <w:t>The marketing site carries a persistent top header with Products, Pricing, Support, and a prominent login/sign-up pairing, which is a stronger pattern than a footer-only menu. Depth is the issue: sub-products such as US Stocks, Commodities, and Insurance are nested inside dropdowns that are not always predictable, so a visitor looking for a specific offering sometimes has to guess which top-level menu it lives under.</w:t>
            </w:r>
          </w:p>
        </w:tc>
      </w:tr>
      <w:tr w:rsidR="0097084F" w14:paraId="39DDCE6E" w14:textId="77777777">
        <w:tblPrEx>
          <w:tblCellMar>
            <w:top w:w="0" w:type="dxa"/>
            <w:bottom w:w="0" w:type="dxa"/>
          </w:tblCellMar>
        </w:tblPrEx>
        <w:tc>
          <w:tcPr>
            <w:tcW w:w="2000" w:type="dxa"/>
            <w:tcMar>
              <w:top w:w="100" w:type="dxa"/>
              <w:left w:w="100" w:type="dxa"/>
              <w:bottom w:w="100" w:type="dxa"/>
              <w:right w:w="100" w:type="dxa"/>
            </w:tcMar>
          </w:tcPr>
          <w:p w14:paraId="0671074D" w14:textId="77777777" w:rsidR="0097084F" w:rsidRDefault="00000000">
            <w:pPr>
              <w:spacing w:after="100" w:line="264" w:lineRule="auto"/>
            </w:pPr>
            <w:r>
              <w:rPr>
                <w:rFonts w:ascii="Calibri" w:eastAsia="Calibri" w:hAnsi="Calibri" w:cs="Calibri"/>
                <w:b/>
                <w:bCs/>
              </w:rPr>
              <w:t>Visual Hierarchy</w:t>
            </w:r>
          </w:p>
        </w:tc>
        <w:tc>
          <w:tcPr>
            <w:tcW w:w="3300" w:type="dxa"/>
            <w:tcMar>
              <w:top w:w="100" w:type="dxa"/>
              <w:left w:w="100" w:type="dxa"/>
              <w:bottom w:w="100" w:type="dxa"/>
              <w:right w:w="100" w:type="dxa"/>
            </w:tcMar>
          </w:tcPr>
          <w:p w14:paraId="3931B964" w14:textId="77777777" w:rsidR="0097084F" w:rsidRDefault="00000000">
            <w:pPr>
              <w:spacing w:after="100" w:line="264" w:lineRule="auto"/>
            </w:pPr>
            <w:r>
              <w:rPr>
                <w:rFonts w:ascii="Calibri" w:eastAsia="Calibri" w:hAnsi="Calibri" w:cs="Calibri"/>
              </w:rPr>
              <w:t>Emphasis on important elements using size, colour, spacing, and contrast to guide attention.</w:t>
            </w:r>
          </w:p>
        </w:tc>
        <w:tc>
          <w:tcPr>
            <w:tcW w:w="4340" w:type="dxa"/>
            <w:tcMar>
              <w:top w:w="100" w:type="dxa"/>
              <w:left w:w="100" w:type="dxa"/>
              <w:bottom w:w="100" w:type="dxa"/>
              <w:right w:w="100" w:type="dxa"/>
            </w:tcMar>
          </w:tcPr>
          <w:p w14:paraId="43A20670" w14:textId="77777777" w:rsidR="0097084F" w:rsidRDefault="00000000">
            <w:pPr>
              <w:spacing w:after="100" w:line="264" w:lineRule="auto"/>
            </w:pPr>
            <w:r>
              <w:rPr>
                <w:rFonts w:ascii="Calibri" w:eastAsia="Calibri" w:hAnsi="Calibri" w:cs="Calibri"/>
              </w:rPr>
              <w:t>The account-opening CTA is unmistakably the largest, highest-contrast element on nearly every page, which suits Angel One's business goal of new sign-ups but competes with a second, near-equally sized push to download the mobile app. Between these two competing calls to action, informational content such as brokerage structure or product explanations is visually secondary, appearing in smaller text further down the page.</w:t>
            </w:r>
          </w:p>
        </w:tc>
      </w:tr>
      <w:tr w:rsidR="0097084F" w14:paraId="601A4F94" w14:textId="77777777">
        <w:tblPrEx>
          <w:tblCellMar>
            <w:top w:w="0" w:type="dxa"/>
            <w:bottom w:w="0" w:type="dxa"/>
          </w:tblCellMar>
        </w:tblPrEx>
        <w:tc>
          <w:tcPr>
            <w:tcW w:w="2000" w:type="dxa"/>
            <w:tcMar>
              <w:top w:w="100" w:type="dxa"/>
              <w:left w:w="100" w:type="dxa"/>
              <w:bottom w:w="100" w:type="dxa"/>
              <w:right w:w="100" w:type="dxa"/>
            </w:tcMar>
          </w:tcPr>
          <w:p w14:paraId="0D452057" w14:textId="77777777" w:rsidR="0097084F" w:rsidRDefault="00000000">
            <w:pPr>
              <w:spacing w:after="100" w:line="264" w:lineRule="auto"/>
            </w:pPr>
            <w:r>
              <w:rPr>
                <w:rFonts w:ascii="Calibri" w:eastAsia="Calibri" w:hAnsi="Calibri" w:cs="Calibri"/>
                <w:b/>
                <w:bCs/>
              </w:rPr>
              <w:t>Accessibility</w:t>
            </w:r>
          </w:p>
        </w:tc>
        <w:tc>
          <w:tcPr>
            <w:tcW w:w="3300" w:type="dxa"/>
            <w:tcMar>
              <w:top w:w="100" w:type="dxa"/>
              <w:left w:w="100" w:type="dxa"/>
              <w:bottom w:w="100" w:type="dxa"/>
              <w:right w:w="100" w:type="dxa"/>
            </w:tcMar>
          </w:tcPr>
          <w:p w14:paraId="2FF65CEF" w14:textId="77777777" w:rsidR="0097084F" w:rsidRDefault="00000000">
            <w:pPr>
              <w:spacing w:after="100" w:line="264" w:lineRule="auto"/>
            </w:pPr>
            <w:r>
              <w:rPr>
                <w:rFonts w:ascii="Calibri" w:eastAsia="Calibri" w:hAnsi="Calibri" w:cs="Calibri"/>
              </w:rPr>
              <w:t>Support for users with disabilities through contrast, keyboard navigation, alt text, and screen-reader compatibility.</w:t>
            </w:r>
          </w:p>
        </w:tc>
        <w:tc>
          <w:tcPr>
            <w:tcW w:w="4340" w:type="dxa"/>
            <w:tcMar>
              <w:top w:w="100" w:type="dxa"/>
              <w:left w:w="100" w:type="dxa"/>
              <w:bottom w:w="100" w:type="dxa"/>
              <w:right w:w="100" w:type="dxa"/>
            </w:tcMar>
          </w:tcPr>
          <w:p w14:paraId="19580090" w14:textId="77777777" w:rsidR="0097084F" w:rsidRDefault="00000000">
            <w:pPr>
              <w:spacing w:after="100" w:line="264" w:lineRule="auto"/>
            </w:pPr>
            <w:r>
              <w:rPr>
                <w:rFonts w:ascii="Calibri" w:eastAsia="Calibri" w:hAnsi="Calibri" w:cs="Calibri"/>
              </w:rPr>
              <w:t>Core text meets reasonable contrast ratios against the white background, and most product icons carry alt text. There is no visible high-contrast mode or font-scaling control anywhere on the site, and several interactive widgets, such as the brokerage calculator's sliders, rely on drag gestures that are not obviously operable by keyboard alone.</w:t>
            </w:r>
          </w:p>
        </w:tc>
      </w:tr>
      <w:tr w:rsidR="0097084F" w14:paraId="28458EEF" w14:textId="77777777">
        <w:tblPrEx>
          <w:tblCellMar>
            <w:top w:w="0" w:type="dxa"/>
            <w:bottom w:w="0" w:type="dxa"/>
          </w:tblCellMar>
        </w:tblPrEx>
        <w:tc>
          <w:tcPr>
            <w:tcW w:w="2000" w:type="dxa"/>
            <w:tcMar>
              <w:top w:w="100" w:type="dxa"/>
              <w:left w:w="100" w:type="dxa"/>
              <w:bottom w:w="100" w:type="dxa"/>
              <w:right w:w="100" w:type="dxa"/>
            </w:tcMar>
          </w:tcPr>
          <w:p w14:paraId="6C6BD49A" w14:textId="77777777" w:rsidR="0097084F" w:rsidRDefault="00000000">
            <w:pPr>
              <w:spacing w:after="100" w:line="264" w:lineRule="auto"/>
            </w:pPr>
            <w:r>
              <w:rPr>
                <w:rFonts w:ascii="Calibri" w:eastAsia="Calibri" w:hAnsi="Calibri" w:cs="Calibri"/>
                <w:b/>
                <w:bCs/>
              </w:rPr>
              <w:t>Responsiveness</w:t>
            </w:r>
          </w:p>
        </w:tc>
        <w:tc>
          <w:tcPr>
            <w:tcW w:w="3300" w:type="dxa"/>
            <w:tcMar>
              <w:top w:w="100" w:type="dxa"/>
              <w:left w:w="100" w:type="dxa"/>
              <w:bottom w:w="100" w:type="dxa"/>
              <w:right w:w="100" w:type="dxa"/>
            </w:tcMar>
          </w:tcPr>
          <w:p w14:paraId="7FC8111A" w14:textId="77777777" w:rsidR="0097084F" w:rsidRDefault="00000000">
            <w:pPr>
              <w:spacing w:after="100" w:line="264" w:lineRule="auto"/>
            </w:pPr>
            <w:r>
              <w:rPr>
                <w:rFonts w:ascii="Calibri" w:eastAsia="Calibri" w:hAnsi="Calibri" w:cs="Calibri"/>
              </w:rPr>
              <w:t>Ability of the website to adapt seamlessly across desktops, tablets, and mobile devices.</w:t>
            </w:r>
          </w:p>
        </w:tc>
        <w:tc>
          <w:tcPr>
            <w:tcW w:w="4340" w:type="dxa"/>
            <w:tcMar>
              <w:top w:w="100" w:type="dxa"/>
              <w:left w:w="100" w:type="dxa"/>
              <w:bottom w:w="100" w:type="dxa"/>
              <w:right w:w="100" w:type="dxa"/>
            </w:tcMar>
          </w:tcPr>
          <w:p w14:paraId="394507B5" w14:textId="77777777" w:rsidR="0097084F" w:rsidRDefault="00000000">
            <w:pPr>
              <w:spacing w:after="100" w:line="264" w:lineRule="auto"/>
            </w:pPr>
            <w:r>
              <w:rPr>
                <w:rFonts w:ascii="Calibri" w:eastAsia="Calibri" w:hAnsi="Calibri" w:cs="Calibri"/>
              </w:rPr>
              <w:t>Given that Angel One's stated priority is mobile-first trading, the site reflows cleanly to phone width, and the CTA blocks re-stack sensibly. The trade-off is that on a small screen the sign-up and app-download prompts occupy proportionally more of the visible area than on desktop, pushing product information further down the scroll.</w:t>
            </w:r>
          </w:p>
        </w:tc>
      </w:tr>
      <w:tr w:rsidR="0097084F" w14:paraId="2B22CFB7" w14:textId="77777777">
        <w:tblPrEx>
          <w:tblCellMar>
            <w:top w:w="0" w:type="dxa"/>
            <w:bottom w:w="0" w:type="dxa"/>
          </w:tblCellMar>
        </w:tblPrEx>
        <w:tc>
          <w:tcPr>
            <w:tcW w:w="2000" w:type="dxa"/>
            <w:tcMar>
              <w:top w:w="100" w:type="dxa"/>
              <w:left w:w="100" w:type="dxa"/>
              <w:bottom w:w="100" w:type="dxa"/>
              <w:right w:w="100" w:type="dxa"/>
            </w:tcMar>
          </w:tcPr>
          <w:p w14:paraId="0F893B0C" w14:textId="77777777" w:rsidR="0097084F" w:rsidRDefault="00000000">
            <w:pPr>
              <w:spacing w:after="100" w:line="264" w:lineRule="auto"/>
            </w:pPr>
            <w:r>
              <w:rPr>
                <w:rFonts w:ascii="Calibri" w:eastAsia="Calibri" w:hAnsi="Calibri" w:cs="Calibri"/>
                <w:b/>
                <w:bCs/>
              </w:rPr>
              <w:lastRenderedPageBreak/>
              <w:t>Efficiency of Interaction</w:t>
            </w:r>
          </w:p>
        </w:tc>
        <w:tc>
          <w:tcPr>
            <w:tcW w:w="3300" w:type="dxa"/>
            <w:tcMar>
              <w:top w:w="100" w:type="dxa"/>
              <w:left w:w="100" w:type="dxa"/>
              <w:bottom w:w="100" w:type="dxa"/>
              <w:right w:w="100" w:type="dxa"/>
            </w:tcMar>
          </w:tcPr>
          <w:p w14:paraId="1EAAF522" w14:textId="77777777" w:rsidR="0097084F" w:rsidRDefault="00000000">
            <w:pPr>
              <w:spacing w:after="100" w:line="264" w:lineRule="auto"/>
            </w:pPr>
            <w:r>
              <w:rPr>
                <w:rFonts w:ascii="Calibri" w:eastAsia="Calibri" w:hAnsi="Calibri" w:cs="Calibri"/>
              </w:rPr>
              <w:t>Number of steps required to complete common tasks and availability of shortcuts.</w:t>
            </w:r>
          </w:p>
        </w:tc>
        <w:tc>
          <w:tcPr>
            <w:tcW w:w="4340" w:type="dxa"/>
            <w:tcMar>
              <w:top w:w="100" w:type="dxa"/>
              <w:left w:w="100" w:type="dxa"/>
              <w:bottom w:w="100" w:type="dxa"/>
              <w:right w:w="100" w:type="dxa"/>
            </w:tcMar>
          </w:tcPr>
          <w:p w14:paraId="1F8ACE8E" w14:textId="77777777" w:rsidR="0097084F" w:rsidRDefault="00000000">
            <w:pPr>
              <w:spacing w:after="100" w:line="264" w:lineRule="auto"/>
            </w:pPr>
            <w:r>
              <w:rPr>
                <w:rFonts w:ascii="Calibri" w:eastAsia="Calibri" w:hAnsi="Calibri" w:cs="Calibri"/>
              </w:rPr>
              <w:t>Account opening is deliberately streamlined to a mobile-number-first flow with OTP verification and e-KYC, which is efficient for the site's primary conversion goal. For an existing user trying to compare, say, two mutual funds or check a specific charge, the equivalent shortcut does not exist on the marketing site, and the task typically requires navigating through several separate pages.</w:t>
            </w:r>
          </w:p>
        </w:tc>
      </w:tr>
      <w:tr w:rsidR="0097084F" w14:paraId="0C922811" w14:textId="77777777">
        <w:tblPrEx>
          <w:tblCellMar>
            <w:top w:w="0" w:type="dxa"/>
            <w:bottom w:w="0" w:type="dxa"/>
          </w:tblCellMar>
        </w:tblPrEx>
        <w:tc>
          <w:tcPr>
            <w:tcW w:w="2000" w:type="dxa"/>
            <w:tcMar>
              <w:top w:w="100" w:type="dxa"/>
              <w:left w:w="100" w:type="dxa"/>
              <w:bottom w:w="100" w:type="dxa"/>
              <w:right w:w="100" w:type="dxa"/>
            </w:tcMar>
          </w:tcPr>
          <w:p w14:paraId="718766CF" w14:textId="77777777" w:rsidR="0097084F" w:rsidRDefault="00000000">
            <w:pPr>
              <w:spacing w:after="100" w:line="264" w:lineRule="auto"/>
            </w:pPr>
            <w:r>
              <w:rPr>
                <w:rFonts w:ascii="Calibri" w:eastAsia="Calibri" w:hAnsi="Calibri" w:cs="Calibri"/>
                <w:b/>
                <w:bCs/>
              </w:rPr>
              <w:t>Feedback and System Status</w:t>
            </w:r>
          </w:p>
        </w:tc>
        <w:tc>
          <w:tcPr>
            <w:tcW w:w="3300" w:type="dxa"/>
            <w:tcMar>
              <w:top w:w="100" w:type="dxa"/>
              <w:left w:w="100" w:type="dxa"/>
              <w:bottom w:w="100" w:type="dxa"/>
              <w:right w:w="100" w:type="dxa"/>
            </w:tcMar>
          </w:tcPr>
          <w:p w14:paraId="72801067" w14:textId="77777777" w:rsidR="0097084F" w:rsidRDefault="00000000">
            <w:pPr>
              <w:spacing w:after="100" w:line="264" w:lineRule="auto"/>
            </w:pPr>
            <w:r>
              <w:rPr>
                <w:rFonts w:ascii="Calibri" w:eastAsia="Calibri" w:hAnsi="Calibri" w:cs="Calibri"/>
              </w:rPr>
              <w:t>Whether the interface gives clear responses to user actions such as loading indicators or confirmations.</w:t>
            </w:r>
          </w:p>
        </w:tc>
        <w:tc>
          <w:tcPr>
            <w:tcW w:w="4340" w:type="dxa"/>
            <w:tcMar>
              <w:top w:w="100" w:type="dxa"/>
              <w:left w:w="100" w:type="dxa"/>
              <w:bottom w:w="100" w:type="dxa"/>
              <w:right w:w="100" w:type="dxa"/>
            </w:tcMar>
          </w:tcPr>
          <w:p w14:paraId="36022D57" w14:textId="77777777" w:rsidR="0097084F" w:rsidRDefault="00000000">
            <w:pPr>
              <w:spacing w:after="100" w:line="264" w:lineRule="auto"/>
            </w:pPr>
            <w:r>
              <w:rPr>
                <w:rFonts w:ascii="Calibri" w:eastAsia="Calibri" w:hAnsi="Calibri" w:cs="Calibri"/>
              </w:rPr>
              <w:t>The account-opening flow gives good, explicit feedback: each OTP step confirms success before advancing, and application status is later shown on the dashboard. Elsewhere on the marketing pages, feedback is weaker; clicking into a calculator or a comparison tool does not always indicate that new data is loading versus simply being slow to respond.</w:t>
            </w:r>
          </w:p>
        </w:tc>
      </w:tr>
      <w:tr w:rsidR="0097084F" w14:paraId="2664B167" w14:textId="77777777">
        <w:tblPrEx>
          <w:tblCellMar>
            <w:top w:w="0" w:type="dxa"/>
            <w:bottom w:w="0" w:type="dxa"/>
          </w:tblCellMar>
        </w:tblPrEx>
        <w:tc>
          <w:tcPr>
            <w:tcW w:w="2000" w:type="dxa"/>
            <w:tcMar>
              <w:top w:w="100" w:type="dxa"/>
              <w:left w:w="100" w:type="dxa"/>
              <w:bottom w:w="100" w:type="dxa"/>
              <w:right w:w="100" w:type="dxa"/>
            </w:tcMar>
          </w:tcPr>
          <w:p w14:paraId="5E17D643" w14:textId="77777777" w:rsidR="0097084F" w:rsidRDefault="00000000">
            <w:pPr>
              <w:spacing w:after="100" w:line="264" w:lineRule="auto"/>
            </w:pPr>
            <w:r>
              <w:rPr>
                <w:rFonts w:ascii="Calibri" w:eastAsia="Calibri" w:hAnsi="Calibri" w:cs="Calibri"/>
                <w:b/>
                <w:bCs/>
              </w:rPr>
              <w:t>Error Prevention and Recovery</w:t>
            </w:r>
          </w:p>
        </w:tc>
        <w:tc>
          <w:tcPr>
            <w:tcW w:w="3300" w:type="dxa"/>
            <w:tcMar>
              <w:top w:w="100" w:type="dxa"/>
              <w:left w:w="100" w:type="dxa"/>
              <w:bottom w:w="100" w:type="dxa"/>
              <w:right w:w="100" w:type="dxa"/>
            </w:tcMar>
          </w:tcPr>
          <w:p w14:paraId="5383AA1F" w14:textId="77777777" w:rsidR="0097084F" w:rsidRDefault="00000000">
            <w:pPr>
              <w:spacing w:after="100" w:line="264" w:lineRule="auto"/>
            </w:pPr>
            <w:r>
              <w:rPr>
                <w:rFonts w:ascii="Calibri" w:eastAsia="Calibri" w:hAnsi="Calibri" w:cs="Calibri"/>
              </w:rPr>
              <w:t>Mechanisms to prevent mistakes and provide clear instructions for correcting errors.</w:t>
            </w:r>
          </w:p>
        </w:tc>
        <w:tc>
          <w:tcPr>
            <w:tcW w:w="4340" w:type="dxa"/>
            <w:tcMar>
              <w:top w:w="100" w:type="dxa"/>
              <w:left w:w="100" w:type="dxa"/>
              <w:bottom w:w="100" w:type="dxa"/>
              <w:right w:w="100" w:type="dxa"/>
            </w:tcMar>
          </w:tcPr>
          <w:p w14:paraId="7D2242AC" w14:textId="77777777" w:rsidR="0097084F" w:rsidRDefault="00000000">
            <w:pPr>
              <w:spacing w:after="100" w:line="264" w:lineRule="auto"/>
            </w:pPr>
            <w:r>
              <w:rPr>
                <w:rFonts w:ascii="Calibri" w:eastAsia="Calibri" w:hAnsi="Calibri" w:cs="Calibri"/>
              </w:rPr>
              <w:t>The sign-up form validates PAN and mobile-number formats before submission and explains document requirements upfront, which prevents a good share of avoidable errors. Order-related error prevention, such as warnings before a margin or F&amp;O order that could result in rejection, exists inside the trading app but is not something a visitor evaluating the platform from the marketing site can see or judge in advance.</w:t>
            </w:r>
          </w:p>
        </w:tc>
      </w:tr>
      <w:tr w:rsidR="0097084F" w14:paraId="2B42DF0E" w14:textId="77777777">
        <w:tblPrEx>
          <w:tblCellMar>
            <w:top w:w="0" w:type="dxa"/>
            <w:bottom w:w="0" w:type="dxa"/>
          </w:tblCellMar>
        </w:tblPrEx>
        <w:tc>
          <w:tcPr>
            <w:tcW w:w="2000" w:type="dxa"/>
            <w:tcMar>
              <w:top w:w="100" w:type="dxa"/>
              <w:left w:w="100" w:type="dxa"/>
              <w:bottom w:w="100" w:type="dxa"/>
              <w:right w:w="100" w:type="dxa"/>
            </w:tcMar>
          </w:tcPr>
          <w:p w14:paraId="7FF68C10" w14:textId="77777777" w:rsidR="0097084F" w:rsidRDefault="00000000">
            <w:pPr>
              <w:spacing w:after="100" w:line="264" w:lineRule="auto"/>
            </w:pPr>
            <w:r>
              <w:rPr>
                <w:rFonts w:ascii="Calibri" w:eastAsia="Calibri" w:hAnsi="Calibri" w:cs="Calibri"/>
                <w:b/>
                <w:bCs/>
              </w:rPr>
              <w:t>Aesthetic and Minimalist Design</w:t>
            </w:r>
          </w:p>
        </w:tc>
        <w:tc>
          <w:tcPr>
            <w:tcW w:w="3300" w:type="dxa"/>
            <w:tcMar>
              <w:top w:w="100" w:type="dxa"/>
              <w:left w:w="100" w:type="dxa"/>
              <w:bottom w:w="100" w:type="dxa"/>
              <w:right w:w="100" w:type="dxa"/>
            </w:tcMar>
          </w:tcPr>
          <w:p w14:paraId="3068453D" w14:textId="77777777" w:rsidR="0097084F" w:rsidRDefault="00000000">
            <w:pPr>
              <w:spacing w:after="100" w:line="264" w:lineRule="auto"/>
            </w:pPr>
            <w:r>
              <w:rPr>
                <w:rFonts w:ascii="Calibri" w:eastAsia="Calibri" w:hAnsi="Calibri" w:cs="Calibri"/>
              </w:rPr>
              <w:t>Avoidance of unnecessary information or clutter while maintaining visual appeal.</w:t>
            </w:r>
          </w:p>
        </w:tc>
        <w:tc>
          <w:tcPr>
            <w:tcW w:w="4340" w:type="dxa"/>
            <w:tcMar>
              <w:top w:w="100" w:type="dxa"/>
              <w:left w:w="100" w:type="dxa"/>
              <w:bottom w:w="100" w:type="dxa"/>
              <w:right w:w="100" w:type="dxa"/>
            </w:tcMar>
          </w:tcPr>
          <w:p w14:paraId="2B34FFB7" w14:textId="77777777" w:rsidR="0097084F" w:rsidRDefault="00000000">
            <w:pPr>
              <w:spacing w:after="100" w:line="264" w:lineRule="auto"/>
            </w:pPr>
            <w:r>
              <w:rPr>
                <w:rFonts w:ascii="Calibri" w:eastAsia="Calibri" w:hAnsi="Calibri" w:cs="Calibri"/>
              </w:rPr>
              <w:t xml:space="preserve">Individual sections of the marketing site are clean and card-based, but the homepage as a </w:t>
            </w:r>
            <w:proofErr w:type="gramStart"/>
            <w:r>
              <w:rPr>
                <w:rFonts w:ascii="Calibri" w:eastAsia="Calibri" w:hAnsi="Calibri" w:cs="Calibri"/>
              </w:rPr>
              <w:t>whole stacks</w:t>
            </w:r>
            <w:proofErr w:type="gramEnd"/>
            <w:r>
              <w:rPr>
                <w:rFonts w:ascii="Calibri" w:eastAsia="Calibri" w:hAnsi="Calibri" w:cs="Calibri"/>
              </w:rPr>
              <w:t xml:space="preserve"> a large number of these cards back-to-back, covering account opening, app download, pricing, products, blog, and calculators in quick succession, which reads as busy rather than minimal by the time a visitor reaches the footer.</w:t>
            </w:r>
          </w:p>
        </w:tc>
      </w:tr>
      <w:tr w:rsidR="0097084F" w14:paraId="55018717" w14:textId="77777777">
        <w:tblPrEx>
          <w:tblCellMar>
            <w:top w:w="0" w:type="dxa"/>
            <w:bottom w:w="0" w:type="dxa"/>
          </w:tblCellMar>
        </w:tblPrEx>
        <w:tc>
          <w:tcPr>
            <w:tcW w:w="2000" w:type="dxa"/>
            <w:tcMar>
              <w:top w:w="100" w:type="dxa"/>
              <w:left w:w="100" w:type="dxa"/>
              <w:bottom w:w="100" w:type="dxa"/>
              <w:right w:w="100" w:type="dxa"/>
            </w:tcMar>
          </w:tcPr>
          <w:p w14:paraId="3F73F22E" w14:textId="77777777" w:rsidR="0097084F" w:rsidRDefault="00000000">
            <w:pPr>
              <w:spacing w:after="100" w:line="264" w:lineRule="auto"/>
            </w:pPr>
            <w:r>
              <w:rPr>
                <w:rFonts w:ascii="Calibri" w:eastAsia="Calibri" w:hAnsi="Calibri" w:cs="Calibri"/>
                <w:b/>
                <w:bCs/>
              </w:rPr>
              <w:t>Content Readability</w:t>
            </w:r>
          </w:p>
        </w:tc>
        <w:tc>
          <w:tcPr>
            <w:tcW w:w="3300" w:type="dxa"/>
            <w:tcMar>
              <w:top w:w="100" w:type="dxa"/>
              <w:left w:w="100" w:type="dxa"/>
              <w:bottom w:w="100" w:type="dxa"/>
              <w:right w:w="100" w:type="dxa"/>
            </w:tcMar>
          </w:tcPr>
          <w:p w14:paraId="5E1E9D3C" w14:textId="77777777" w:rsidR="0097084F" w:rsidRDefault="00000000">
            <w:pPr>
              <w:spacing w:after="100" w:line="264" w:lineRule="auto"/>
            </w:pPr>
            <w:r>
              <w:rPr>
                <w:rFonts w:ascii="Calibri" w:eastAsia="Calibri" w:hAnsi="Calibri" w:cs="Calibri"/>
              </w:rPr>
              <w:t>Appropriate typography, font sizes, spacing, and readability of textual content.</w:t>
            </w:r>
          </w:p>
        </w:tc>
        <w:tc>
          <w:tcPr>
            <w:tcW w:w="4340" w:type="dxa"/>
            <w:tcMar>
              <w:top w:w="100" w:type="dxa"/>
              <w:left w:w="100" w:type="dxa"/>
              <w:bottom w:w="100" w:type="dxa"/>
              <w:right w:w="100" w:type="dxa"/>
            </w:tcMar>
          </w:tcPr>
          <w:p w14:paraId="5782EE6C" w14:textId="77777777" w:rsidR="0097084F" w:rsidRDefault="00000000">
            <w:pPr>
              <w:spacing w:after="100" w:line="264" w:lineRule="auto"/>
            </w:pPr>
            <w:r>
              <w:rPr>
                <w:rFonts w:ascii="Calibri" w:eastAsia="Calibri" w:hAnsi="Calibri" w:cs="Calibri"/>
              </w:rPr>
              <w:t xml:space="preserve">Knowledge </w:t>
            </w:r>
            <w:proofErr w:type="spellStart"/>
            <w:r>
              <w:rPr>
                <w:rFonts w:ascii="Calibri" w:eastAsia="Calibri" w:hAnsi="Calibri" w:cs="Calibri"/>
              </w:rPr>
              <w:t>Center</w:t>
            </w:r>
            <w:proofErr w:type="spellEnd"/>
            <w:r>
              <w:rPr>
                <w:rFonts w:ascii="Calibri" w:eastAsia="Calibri" w:hAnsi="Calibri" w:cs="Calibri"/>
              </w:rPr>
              <w:t xml:space="preserve"> and blog articles are broken into short paragraphs with clear subheadings, which supports scanning. Product pages aimed at conversion, by contrast, repeat similar promotional phrasing across sections ("Open a Free Demat Account" appears many times on a single page), which adds length without adding </w:t>
            </w:r>
            <w:r>
              <w:rPr>
                <w:rFonts w:ascii="Calibri" w:eastAsia="Calibri" w:hAnsi="Calibri" w:cs="Calibri"/>
              </w:rPr>
              <w:lastRenderedPageBreak/>
              <w:t>new information for a reader who already understands the offer.</w:t>
            </w:r>
          </w:p>
        </w:tc>
      </w:tr>
      <w:tr w:rsidR="0097084F" w14:paraId="19C7B6C5" w14:textId="77777777">
        <w:tblPrEx>
          <w:tblCellMar>
            <w:top w:w="0" w:type="dxa"/>
            <w:bottom w:w="0" w:type="dxa"/>
          </w:tblCellMar>
        </w:tblPrEx>
        <w:tc>
          <w:tcPr>
            <w:tcW w:w="2000" w:type="dxa"/>
            <w:tcMar>
              <w:top w:w="100" w:type="dxa"/>
              <w:left w:w="100" w:type="dxa"/>
              <w:bottom w:w="100" w:type="dxa"/>
              <w:right w:w="100" w:type="dxa"/>
            </w:tcMar>
          </w:tcPr>
          <w:p w14:paraId="36A85FBD" w14:textId="77777777" w:rsidR="0097084F" w:rsidRDefault="00000000">
            <w:pPr>
              <w:spacing w:after="100" w:line="264" w:lineRule="auto"/>
            </w:pPr>
            <w:r>
              <w:rPr>
                <w:rFonts w:ascii="Calibri" w:eastAsia="Calibri" w:hAnsi="Calibri" w:cs="Calibri"/>
                <w:b/>
                <w:bCs/>
              </w:rPr>
              <w:lastRenderedPageBreak/>
              <w:t>Search and Discoverability</w:t>
            </w:r>
          </w:p>
        </w:tc>
        <w:tc>
          <w:tcPr>
            <w:tcW w:w="3300" w:type="dxa"/>
            <w:tcMar>
              <w:top w:w="100" w:type="dxa"/>
              <w:left w:w="100" w:type="dxa"/>
              <w:bottom w:w="100" w:type="dxa"/>
              <w:right w:w="100" w:type="dxa"/>
            </w:tcMar>
          </w:tcPr>
          <w:p w14:paraId="746D9C17" w14:textId="77777777" w:rsidR="0097084F" w:rsidRDefault="00000000">
            <w:pPr>
              <w:spacing w:after="100" w:line="264" w:lineRule="auto"/>
            </w:pPr>
            <w:r>
              <w:rPr>
                <w:rFonts w:ascii="Calibri" w:eastAsia="Calibri" w:hAnsi="Calibri" w:cs="Calibri"/>
              </w:rPr>
              <w:t>Ease of finding information through search bars, filters, categorisation, and recommendations.</w:t>
            </w:r>
          </w:p>
        </w:tc>
        <w:tc>
          <w:tcPr>
            <w:tcW w:w="4340" w:type="dxa"/>
            <w:tcMar>
              <w:top w:w="100" w:type="dxa"/>
              <w:left w:w="100" w:type="dxa"/>
              <w:bottom w:w="100" w:type="dxa"/>
              <w:right w:w="100" w:type="dxa"/>
            </w:tcMar>
          </w:tcPr>
          <w:p w14:paraId="2C0A14AB" w14:textId="77777777" w:rsidR="0097084F" w:rsidRDefault="00000000">
            <w:pPr>
              <w:spacing w:after="100" w:line="264" w:lineRule="auto"/>
            </w:pPr>
            <w:r>
              <w:rPr>
                <w:rFonts w:ascii="Calibri" w:eastAsia="Calibri" w:hAnsi="Calibri" w:cs="Calibri"/>
              </w:rPr>
              <w:t xml:space="preserve">Search is a genuine strength once inside the app or Knowledge </w:t>
            </w:r>
            <w:proofErr w:type="spellStart"/>
            <w:r>
              <w:rPr>
                <w:rFonts w:ascii="Calibri" w:eastAsia="Calibri" w:hAnsi="Calibri" w:cs="Calibri"/>
              </w:rPr>
              <w:t>Center</w:t>
            </w:r>
            <w:proofErr w:type="spellEnd"/>
            <w:r>
              <w:rPr>
                <w:rFonts w:ascii="Calibri" w:eastAsia="Calibri" w:hAnsi="Calibri" w:cs="Calibri"/>
              </w:rPr>
              <w:t>: a single search box can resolve a stock, a fund, or an FAQ article, and filtering by index, option type, or expiry is available in the Option Watchlist. On the public marketing site, this same search capability is less consistently surfaced, so a first-time visitor comparing brokers may not realise how capable the in-product search actually is.</w:t>
            </w:r>
          </w:p>
        </w:tc>
      </w:tr>
      <w:tr w:rsidR="0097084F" w14:paraId="57439B1C" w14:textId="77777777">
        <w:tblPrEx>
          <w:tblCellMar>
            <w:top w:w="0" w:type="dxa"/>
            <w:bottom w:w="0" w:type="dxa"/>
          </w:tblCellMar>
        </w:tblPrEx>
        <w:tc>
          <w:tcPr>
            <w:tcW w:w="2000" w:type="dxa"/>
            <w:tcMar>
              <w:top w:w="100" w:type="dxa"/>
              <w:left w:w="100" w:type="dxa"/>
              <w:bottom w:w="100" w:type="dxa"/>
              <w:right w:w="100" w:type="dxa"/>
            </w:tcMar>
          </w:tcPr>
          <w:p w14:paraId="1DBB6475" w14:textId="77777777" w:rsidR="0097084F" w:rsidRDefault="00000000">
            <w:pPr>
              <w:spacing w:after="100" w:line="264" w:lineRule="auto"/>
            </w:pPr>
            <w:r>
              <w:rPr>
                <w:rFonts w:ascii="Calibri" w:eastAsia="Calibri" w:hAnsi="Calibri" w:cs="Calibri"/>
                <w:b/>
                <w:bCs/>
              </w:rPr>
              <w:t>Performance Perception</w:t>
            </w:r>
          </w:p>
        </w:tc>
        <w:tc>
          <w:tcPr>
            <w:tcW w:w="3300" w:type="dxa"/>
            <w:tcMar>
              <w:top w:w="100" w:type="dxa"/>
              <w:left w:w="100" w:type="dxa"/>
              <w:bottom w:w="100" w:type="dxa"/>
              <w:right w:w="100" w:type="dxa"/>
            </w:tcMar>
          </w:tcPr>
          <w:p w14:paraId="39099B85" w14:textId="77777777" w:rsidR="0097084F" w:rsidRDefault="00000000">
            <w:pPr>
              <w:spacing w:after="100" w:line="264" w:lineRule="auto"/>
            </w:pPr>
            <w:r>
              <w:rPr>
                <w:rFonts w:ascii="Calibri" w:eastAsia="Calibri" w:hAnsi="Calibri" w:cs="Calibri"/>
              </w:rPr>
              <w:t>User perception of speed through loading indicators, progressive loading, and smooth transitions.</w:t>
            </w:r>
          </w:p>
        </w:tc>
        <w:tc>
          <w:tcPr>
            <w:tcW w:w="4340" w:type="dxa"/>
            <w:tcMar>
              <w:top w:w="100" w:type="dxa"/>
              <w:left w:w="100" w:type="dxa"/>
              <w:bottom w:w="100" w:type="dxa"/>
              <w:right w:w="100" w:type="dxa"/>
            </w:tcMar>
          </w:tcPr>
          <w:p w14:paraId="40A00DF1" w14:textId="77777777" w:rsidR="0097084F" w:rsidRDefault="00000000">
            <w:pPr>
              <w:spacing w:after="100" w:line="264" w:lineRule="auto"/>
            </w:pPr>
            <w:r>
              <w:rPr>
                <w:rFonts w:ascii="Calibri" w:eastAsia="Calibri" w:hAnsi="Calibri" w:cs="Calibri"/>
              </w:rPr>
              <w:t>Marketing pages load quickly since most content is static text and images. Perceived performance drops on pages that embed live market data or calculators, where numbers populate a beat after the surrounding layout has already rendered, creating a brief mismatch between what looks ready and what is actually ready.</w:t>
            </w:r>
          </w:p>
        </w:tc>
      </w:tr>
      <w:tr w:rsidR="0097084F" w14:paraId="5EA09F8B" w14:textId="77777777">
        <w:tblPrEx>
          <w:tblCellMar>
            <w:top w:w="0" w:type="dxa"/>
            <w:bottom w:w="0" w:type="dxa"/>
          </w:tblCellMar>
        </w:tblPrEx>
        <w:tc>
          <w:tcPr>
            <w:tcW w:w="2000" w:type="dxa"/>
            <w:tcMar>
              <w:top w:w="100" w:type="dxa"/>
              <w:left w:w="100" w:type="dxa"/>
              <w:bottom w:w="100" w:type="dxa"/>
              <w:right w:w="100" w:type="dxa"/>
            </w:tcMar>
          </w:tcPr>
          <w:p w14:paraId="57A262BA" w14:textId="77777777" w:rsidR="0097084F" w:rsidRDefault="00000000">
            <w:pPr>
              <w:spacing w:after="100" w:line="264" w:lineRule="auto"/>
            </w:pPr>
            <w:r>
              <w:rPr>
                <w:rFonts w:ascii="Calibri" w:eastAsia="Calibri" w:hAnsi="Calibri" w:cs="Calibri"/>
                <w:b/>
                <w:bCs/>
              </w:rPr>
              <w:t>Trust and Credibility</w:t>
            </w:r>
          </w:p>
        </w:tc>
        <w:tc>
          <w:tcPr>
            <w:tcW w:w="3300" w:type="dxa"/>
            <w:tcMar>
              <w:top w:w="100" w:type="dxa"/>
              <w:left w:w="100" w:type="dxa"/>
              <w:bottom w:w="100" w:type="dxa"/>
              <w:right w:w="100" w:type="dxa"/>
            </w:tcMar>
          </w:tcPr>
          <w:p w14:paraId="0BB26672" w14:textId="77777777" w:rsidR="0097084F" w:rsidRDefault="00000000">
            <w:pPr>
              <w:spacing w:after="100" w:line="264" w:lineRule="auto"/>
            </w:pPr>
            <w:r>
              <w:rPr>
                <w:rFonts w:ascii="Calibri" w:eastAsia="Calibri" w:hAnsi="Calibri" w:cs="Calibri"/>
              </w:rPr>
              <w:t>Presence of security indicators, professional appearance, testimonials, and transparent policies.</w:t>
            </w:r>
          </w:p>
        </w:tc>
        <w:tc>
          <w:tcPr>
            <w:tcW w:w="4340" w:type="dxa"/>
            <w:tcMar>
              <w:top w:w="100" w:type="dxa"/>
              <w:left w:w="100" w:type="dxa"/>
              <w:bottom w:w="100" w:type="dxa"/>
              <w:right w:w="100" w:type="dxa"/>
            </w:tcMar>
          </w:tcPr>
          <w:p w14:paraId="5610D3F7" w14:textId="77777777" w:rsidR="0097084F" w:rsidRDefault="00000000">
            <w:pPr>
              <w:spacing w:after="100" w:line="264" w:lineRule="auto"/>
            </w:pPr>
            <w:r>
              <w:rPr>
                <w:rFonts w:ascii="Calibri" w:eastAsia="Calibri" w:hAnsi="Calibri" w:cs="Calibri"/>
              </w:rPr>
              <w:t>Trust signals are extensive and specific: SEBI registration numbers, exchange membership codes (NSE, BSE, MCX, NCDEX, MSEI), stated 2-Factor authentication, and a long operating history dating to 1996 are all disclosed, which is important for a platform handling money and securities. Customer counts and "India's largest broker" claims are prominent but are marketing statements rather than independently verifiable figures, and sit closely alongside the regulatory disclosures in a way that can blur the two.</w:t>
            </w:r>
          </w:p>
        </w:tc>
      </w:tr>
      <w:tr w:rsidR="0097084F" w14:paraId="542624BB" w14:textId="77777777">
        <w:tblPrEx>
          <w:tblCellMar>
            <w:top w:w="0" w:type="dxa"/>
            <w:bottom w:w="0" w:type="dxa"/>
          </w:tblCellMar>
        </w:tblPrEx>
        <w:tc>
          <w:tcPr>
            <w:tcW w:w="2000" w:type="dxa"/>
            <w:tcMar>
              <w:top w:w="100" w:type="dxa"/>
              <w:left w:w="100" w:type="dxa"/>
              <w:bottom w:w="100" w:type="dxa"/>
              <w:right w:w="100" w:type="dxa"/>
            </w:tcMar>
          </w:tcPr>
          <w:p w14:paraId="53157827" w14:textId="77777777" w:rsidR="0097084F" w:rsidRDefault="00000000">
            <w:pPr>
              <w:spacing w:after="100" w:line="264" w:lineRule="auto"/>
            </w:pPr>
            <w:r>
              <w:rPr>
                <w:rFonts w:ascii="Calibri" w:eastAsia="Calibri" w:hAnsi="Calibri" w:cs="Calibri"/>
                <w:b/>
                <w:bCs/>
              </w:rPr>
              <w:t>Personalization</w:t>
            </w:r>
          </w:p>
        </w:tc>
        <w:tc>
          <w:tcPr>
            <w:tcW w:w="3300" w:type="dxa"/>
            <w:tcMar>
              <w:top w:w="100" w:type="dxa"/>
              <w:left w:w="100" w:type="dxa"/>
              <w:bottom w:w="100" w:type="dxa"/>
              <w:right w:w="100" w:type="dxa"/>
            </w:tcMar>
          </w:tcPr>
          <w:p w14:paraId="79AF5624" w14:textId="77777777" w:rsidR="0097084F" w:rsidRDefault="00000000">
            <w:pPr>
              <w:spacing w:after="100" w:line="264" w:lineRule="auto"/>
            </w:pPr>
            <w:r>
              <w:rPr>
                <w:rFonts w:ascii="Calibri" w:eastAsia="Calibri" w:hAnsi="Calibri" w:cs="Calibri"/>
              </w:rPr>
              <w:t>Ability to adapt content or recommendations based on user preferences and behaviour.</w:t>
            </w:r>
          </w:p>
        </w:tc>
        <w:tc>
          <w:tcPr>
            <w:tcW w:w="4340" w:type="dxa"/>
            <w:tcMar>
              <w:top w:w="100" w:type="dxa"/>
              <w:left w:w="100" w:type="dxa"/>
              <w:bottom w:w="100" w:type="dxa"/>
              <w:right w:w="100" w:type="dxa"/>
            </w:tcMar>
          </w:tcPr>
          <w:p w14:paraId="5688AB72" w14:textId="77777777" w:rsidR="0097084F" w:rsidRDefault="00000000">
            <w:pPr>
              <w:spacing w:after="100" w:line="264" w:lineRule="auto"/>
            </w:pPr>
            <w:r>
              <w:rPr>
                <w:rFonts w:ascii="Calibri" w:eastAsia="Calibri" w:hAnsi="Calibri" w:cs="Calibri"/>
              </w:rPr>
              <w:t xml:space="preserve">Once logged in, Angel One personalises meaningfully: ARQ gives curated stock and fund suggestions, notification categories (promotional, advisory, transactional) can be individually toggled, and the Knowledge </w:t>
            </w:r>
            <w:proofErr w:type="spellStart"/>
            <w:r>
              <w:rPr>
                <w:rFonts w:ascii="Calibri" w:eastAsia="Calibri" w:hAnsi="Calibri" w:cs="Calibri"/>
              </w:rPr>
              <w:t>Center</w:t>
            </w:r>
            <w:proofErr w:type="spellEnd"/>
            <w:r>
              <w:rPr>
                <w:rFonts w:ascii="Calibri" w:eastAsia="Calibri" w:hAnsi="Calibri" w:cs="Calibri"/>
              </w:rPr>
              <w:t xml:space="preserve"> adapts its landing content to a stated investor persona. The public marketing homepage, by contrast, looks the same to a first-time student researcher, an experienced trader comparing brokers, and someone renewing a lapsed account, with no early branching by intent.</w:t>
            </w:r>
          </w:p>
        </w:tc>
      </w:tr>
      <w:tr w:rsidR="0097084F" w14:paraId="683E7B76" w14:textId="77777777">
        <w:tblPrEx>
          <w:tblCellMar>
            <w:top w:w="0" w:type="dxa"/>
            <w:bottom w:w="0" w:type="dxa"/>
          </w:tblCellMar>
        </w:tblPrEx>
        <w:tc>
          <w:tcPr>
            <w:tcW w:w="2000" w:type="dxa"/>
            <w:tcMar>
              <w:top w:w="100" w:type="dxa"/>
              <w:left w:w="100" w:type="dxa"/>
              <w:bottom w:w="100" w:type="dxa"/>
              <w:right w:w="100" w:type="dxa"/>
            </w:tcMar>
          </w:tcPr>
          <w:p w14:paraId="565BFE7C" w14:textId="77777777" w:rsidR="0097084F" w:rsidRDefault="00000000">
            <w:pPr>
              <w:spacing w:after="100" w:line="264" w:lineRule="auto"/>
            </w:pPr>
            <w:r>
              <w:rPr>
                <w:rFonts w:ascii="Calibri" w:eastAsia="Calibri" w:hAnsi="Calibri" w:cs="Calibri"/>
                <w:b/>
                <w:bCs/>
              </w:rPr>
              <w:lastRenderedPageBreak/>
              <w:t>User Satisfaction</w:t>
            </w:r>
          </w:p>
        </w:tc>
        <w:tc>
          <w:tcPr>
            <w:tcW w:w="3300" w:type="dxa"/>
            <w:tcMar>
              <w:top w:w="100" w:type="dxa"/>
              <w:left w:w="100" w:type="dxa"/>
              <w:bottom w:w="100" w:type="dxa"/>
              <w:right w:w="100" w:type="dxa"/>
            </w:tcMar>
          </w:tcPr>
          <w:p w14:paraId="223ED21C" w14:textId="77777777" w:rsidR="0097084F" w:rsidRDefault="00000000">
            <w:pPr>
              <w:spacing w:after="100" w:line="264" w:lineRule="auto"/>
            </w:pPr>
            <w:r>
              <w:rPr>
                <w:rFonts w:ascii="Calibri" w:eastAsia="Calibri" w:hAnsi="Calibri" w:cs="Calibri"/>
              </w:rPr>
              <w:t>Overall experience and perceived ease and enjoyment of using the website.</w:t>
            </w:r>
          </w:p>
        </w:tc>
        <w:tc>
          <w:tcPr>
            <w:tcW w:w="4340" w:type="dxa"/>
            <w:tcMar>
              <w:top w:w="100" w:type="dxa"/>
              <w:left w:w="100" w:type="dxa"/>
              <w:bottom w:w="100" w:type="dxa"/>
              <w:right w:w="100" w:type="dxa"/>
            </w:tcMar>
          </w:tcPr>
          <w:p w14:paraId="5F0F47B3" w14:textId="77777777" w:rsidR="0097084F" w:rsidRDefault="00000000">
            <w:pPr>
              <w:spacing w:after="100" w:line="264" w:lineRule="auto"/>
            </w:pPr>
            <w:r>
              <w:rPr>
                <w:rFonts w:ascii="Calibri" w:eastAsia="Calibri" w:hAnsi="Calibri" w:cs="Calibri"/>
              </w:rPr>
              <w:t>For a visitor who has already decided to open an account, the experience is fast and satisfying, since the entire path from landing page to a funded account can be completed in one sitting. For a visitor who is still evaluating whether to choose Angel One over a competitor, the experience is less satisfying, because comparative information (fees, tools, support quality) is scattered across several pages rather than presented together.</w:t>
            </w:r>
          </w:p>
        </w:tc>
      </w:tr>
    </w:tbl>
    <w:p w14:paraId="40134B1D" w14:textId="77777777" w:rsidR="0097084F" w:rsidRDefault="00000000">
      <w:pPr>
        <w:pStyle w:val="Heading1"/>
        <w:spacing w:before="300" w:after="150"/>
      </w:pPr>
      <w:r>
        <w:rPr>
          <w:rFonts w:ascii="Calibri" w:eastAsia="Calibri" w:hAnsi="Calibri" w:cs="Calibri"/>
          <w:b/>
          <w:bCs/>
        </w:rPr>
        <w:t xml:space="preserve">4. Evaluation Against </w:t>
      </w:r>
      <w:proofErr w:type="spellStart"/>
      <w:r>
        <w:rPr>
          <w:rFonts w:ascii="Calibri" w:eastAsia="Calibri" w:hAnsi="Calibri" w:cs="Calibri"/>
          <w:b/>
          <w:bCs/>
        </w:rPr>
        <w:t>Shneiderman's</w:t>
      </w:r>
      <w:proofErr w:type="spellEnd"/>
      <w:r>
        <w:rPr>
          <w:rFonts w:ascii="Calibri" w:eastAsia="Calibri" w:hAnsi="Calibri" w:cs="Calibri"/>
          <w:b/>
          <w:bCs/>
        </w:rPr>
        <w:t xml:space="preserve"> Eight Golden Rules</w:t>
      </w:r>
    </w:p>
    <w:p w14:paraId="3F356AEE" w14:textId="77777777" w:rsidR="0097084F" w:rsidRDefault="00000000">
      <w:pPr>
        <w:spacing w:after="200" w:line="276" w:lineRule="auto"/>
      </w:pPr>
      <w:r>
        <w:rPr>
          <w:rFonts w:ascii="Calibri" w:eastAsia="Calibri" w:hAnsi="Calibri" w:cs="Calibri"/>
          <w:sz w:val="22"/>
          <w:szCs w:val="22"/>
        </w:rPr>
        <w:t xml:space="preserve">Beyond the parameter checklist, </w:t>
      </w:r>
      <w:proofErr w:type="spellStart"/>
      <w:r>
        <w:rPr>
          <w:rFonts w:ascii="Calibri" w:eastAsia="Calibri" w:hAnsi="Calibri" w:cs="Calibri"/>
          <w:sz w:val="22"/>
          <w:szCs w:val="22"/>
        </w:rPr>
        <w:t>Shneiderman's</w:t>
      </w:r>
      <w:proofErr w:type="spellEnd"/>
      <w:r>
        <w:rPr>
          <w:rFonts w:ascii="Calibri" w:eastAsia="Calibri" w:hAnsi="Calibri" w:cs="Calibri"/>
          <w:sz w:val="22"/>
          <w:szCs w:val="22"/>
        </w:rPr>
        <w:t xml:space="preserve"> Eight Golden Rules of Interface Design offer a well-established lens for judging interactive systems. Applying each rule to the Angel One website surfaces specific, actionable design gaps rather than general impressions.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7140"/>
      </w:tblGrid>
      <w:tr w:rsidR="0097084F" w14:paraId="2948811D" w14:textId="77777777">
        <w:tblPrEx>
          <w:tblCellMar>
            <w:top w:w="0" w:type="dxa"/>
            <w:bottom w:w="0" w:type="dxa"/>
          </w:tblCellMar>
        </w:tblPrEx>
        <w:trPr>
          <w:tblHeader/>
        </w:trPr>
        <w:tc>
          <w:tcPr>
            <w:tcW w:w="2500" w:type="dxa"/>
            <w:shd w:val="clear" w:color="auto" w:fill="1F3864"/>
            <w:tcMar>
              <w:top w:w="100" w:type="dxa"/>
              <w:left w:w="100" w:type="dxa"/>
              <w:bottom w:w="100" w:type="dxa"/>
              <w:right w:w="100" w:type="dxa"/>
            </w:tcMar>
          </w:tcPr>
          <w:p w14:paraId="7F540CAA" w14:textId="77777777" w:rsidR="0097084F" w:rsidRDefault="00000000">
            <w:pPr>
              <w:spacing w:after="100" w:line="264" w:lineRule="auto"/>
            </w:pPr>
            <w:r>
              <w:rPr>
                <w:rFonts w:ascii="Calibri" w:eastAsia="Calibri" w:hAnsi="Calibri" w:cs="Calibri"/>
                <w:b/>
                <w:bCs/>
                <w:color w:val="FFFFFF"/>
              </w:rPr>
              <w:t>Golden Rule</w:t>
            </w:r>
          </w:p>
        </w:tc>
        <w:tc>
          <w:tcPr>
            <w:tcW w:w="7140" w:type="dxa"/>
            <w:shd w:val="clear" w:color="auto" w:fill="1F3864"/>
            <w:tcMar>
              <w:top w:w="100" w:type="dxa"/>
              <w:left w:w="100" w:type="dxa"/>
              <w:bottom w:w="100" w:type="dxa"/>
              <w:right w:w="100" w:type="dxa"/>
            </w:tcMar>
          </w:tcPr>
          <w:p w14:paraId="5676DEA7" w14:textId="77777777" w:rsidR="0097084F" w:rsidRDefault="00000000">
            <w:pPr>
              <w:spacing w:after="100" w:line="264" w:lineRule="auto"/>
            </w:pPr>
            <w:r>
              <w:rPr>
                <w:rFonts w:ascii="Calibri" w:eastAsia="Calibri" w:hAnsi="Calibri" w:cs="Calibri"/>
                <w:b/>
                <w:bCs/>
                <w:color w:val="FFFFFF"/>
              </w:rPr>
              <w:t>How the Interface Measures Up</w:t>
            </w:r>
          </w:p>
        </w:tc>
      </w:tr>
      <w:tr w:rsidR="0097084F" w14:paraId="555CDD8A" w14:textId="77777777">
        <w:tblPrEx>
          <w:tblCellMar>
            <w:top w:w="0" w:type="dxa"/>
            <w:bottom w:w="0" w:type="dxa"/>
          </w:tblCellMar>
        </w:tblPrEx>
        <w:tc>
          <w:tcPr>
            <w:tcW w:w="2500" w:type="dxa"/>
            <w:tcMar>
              <w:top w:w="100" w:type="dxa"/>
              <w:left w:w="100" w:type="dxa"/>
              <w:bottom w:w="100" w:type="dxa"/>
              <w:right w:w="100" w:type="dxa"/>
            </w:tcMar>
          </w:tcPr>
          <w:p w14:paraId="5D8E0435" w14:textId="77777777" w:rsidR="0097084F" w:rsidRDefault="00000000">
            <w:pPr>
              <w:spacing w:after="100" w:line="264" w:lineRule="auto"/>
            </w:pPr>
            <w:r>
              <w:rPr>
                <w:rFonts w:ascii="Calibri" w:eastAsia="Calibri" w:hAnsi="Calibri" w:cs="Calibri"/>
                <w:b/>
                <w:bCs/>
              </w:rPr>
              <w:t>1. Strive for consistency</w:t>
            </w:r>
          </w:p>
        </w:tc>
        <w:tc>
          <w:tcPr>
            <w:tcW w:w="7140" w:type="dxa"/>
            <w:tcMar>
              <w:top w:w="100" w:type="dxa"/>
              <w:left w:w="100" w:type="dxa"/>
              <w:bottom w:w="100" w:type="dxa"/>
              <w:right w:w="100" w:type="dxa"/>
            </w:tcMar>
          </w:tcPr>
          <w:p w14:paraId="2C445AD1" w14:textId="77777777" w:rsidR="0097084F" w:rsidRDefault="00000000">
            <w:pPr>
              <w:spacing w:after="100" w:line="264" w:lineRule="auto"/>
            </w:pPr>
            <w:r>
              <w:rPr>
                <w:rFonts w:ascii="Calibri" w:eastAsia="Calibri" w:hAnsi="Calibri" w:cs="Calibri"/>
              </w:rPr>
              <w:t>Partially met. The marketing site is internally consistent in colour and card layout, but the trading app and web platform use a noticeably denser, data-table-driven interface, so a user moving from "deciding to invest" to "actually trading" experiences a real shift in interaction style.</w:t>
            </w:r>
          </w:p>
        </w:tc>
      </w:tr>
      <w:tr w:rsidR="0097084F" w14:paraId="7CE5BFD1" w14:textId="77777777">
        <w:tblPrEx>
          <w:tblCellMar>
            <w:top w:w="0" w:type="dxa"/>
            <w:bottom w:w="0" w:type="dxa"/>
          </w:tblCellMar>
        </w:tblPrEx>
        <w:tc>
          <w:tcPr>
            <w:tcW w:w="2500" w:type="dxa"/>
            <w:tcMar>
              <w:top w:w="100" w:type="dxa"/>
              <w:left w:w="100" w:type="dxa"/>
              <w:bottom w:w="100" w:type="dxa"/>
              <w:right w:w="100" w:type="dxa"/>
            </w:tcMar>
          </w:tcPr>
          <w:p w14:paraId="66ABDA43" w14:textId="77777777" w:rsidR="0097084F" w:rsidRDefault="00000000">
            <w:pPr>
              <w:spacing w:after="100" w:line="264" w:lineRule="auto"/>
            </w:pPr>
            <w:r>
              <w:rPr>
                <w:rFonts w:ascii="Calibri" w:eastAsia="Calibri" w:hAnsi="Calibri" w:cs="Calibri"/>
                <w:b/>
                <w:bCs/>
              </w:rPr>
              <w:t>2. Seek universal usability</w:t>
            </w:r>
          </w:p>
        </w:tc>
        <w:tc>
          <w:tcPr>
            <w:tcW w:w="7140" w:type="dxa"/>
            <w:tcMar>
              <w:top w:w="100" w:type="dxa"/>
              <w:left w:w="100" w:type="dxa"/>
              <w:bottom w:w="100" w:type="dxa"/>
              <w:right w:w="100" w:type="dxa"/>
            </w:tcMar>
          </w:tcPr>
          <w:p w14:paraId="69E12217" w14:textId="77777777" w:rsidR="0097084F" w:rsidRDefault="00000000">
            <w:pPr>
              <w:spacing w:after="100" w:line="264" w:lineRule="auto"/>
            </w:pPr>
            <w:r>
              <w:rPr>
                <w:rFonts w:ascii="Calibri" w:eastAsia="Calibri" w:hAnsi="Calibri" w:cs="Calibri"/>
              </w:rPr>
              <w:t>Not fully met. There is no visible contrast or text-resize toggle, and several interactive elements such as calculator sliders assume mouse or touch input, which is a gap for a platform that explicitly markets itself as being for "everyone", including first-time and less tech-comfortable investors.</w:t>
            </w:r>
          </w:p>
        </w:tc>
      </w:tr>
      <w:tr w:rsidR="0097084F" w14:paraId="6BA9AFEC" w14:textId="77777777">
        <w:tblPrEx>
          <w:tblCellMar>
            <w:top w:w="0" w:type="dxa"/>
            <w:bottom w:w="0" w:type="dxa"/>
          </w:tblCellMar>
        </w:tblPrEx>
        <w:tc>
          <w:tcPr>
            <w:tcW w:w="2500" w:type="dxa"/>
            <w:tcMar>
              <w:top w:w="100" w:type="dxa"/>
              <w:left w:w="100" w:type="dxa"/>
              <w:bottom w:w="100" w:type="dxa"/>
              <w:right w:w="100" w:type="dxa"/>
            </w:tcMar>
          </w:tcPr>
          <w:p w14:paraId="14FCB19C" w14:textId="77777777" w:rsidR="0097084F" w:rsidRDefault="00000000">
            <w:pPr>
              <w:spacing w:after="100" w:line="264" w:lineRule="auto"/>
            </w:pPr>
            <w:r>
              <w:rPr>
                <w:rFonts w:ascii="Calibri" w:eastAsia="Calibri" w:hAnsi="Calibri" w:cs="Calibri"/>
                <w:b/>
                <w:bCs/>
              </w:rPr>
              <w:t>3. Offer informative feedback</w:t>
            </w:r>
          </w:p>
        </w:tc>
        <w:tc>
          <w:tcPr>
            <w:tcW w:w="7140" w:type="dxa"/>
            <w:tcMar>
              <w:top w:w="100" w:type="dxa"/>
              <w:left w:w="100" w:type="dxa"/>
              <w:bottom w:w="100" w:type="dxa"/>
              <w:right w:w="100" w:type="dxa"/>
            </w:tcMar>
          </w:tcPr>
          <w:p w14:paraId="3D366ABD" w14:textId="77777777" w:rsidR="0097084F" w:rsidRDefault="00000000">
            <w:pPr>
              <w:spacing w:after="100" w:line="264" w:lineRule="auto"/>
            </w:pPr>
            <w:r>
              <w:rPr>
                <w:rFonts w:ascii="Calibri" w:eastAsia="Calibri" w:hAnsi="Calibri" w:cs="Calibri"/>
              </w:rPr>
              <w:t>Largely met during account opening, where each OTP and verification step confirms success clearly. Feedback is weaker on informational and comparison pages, where loading states for live data (prices, calculators) are not always clearly signalled.</w:t>
            </w:r>
          </w:p>
        </w:tc>
      </w:tr>
      <w:tr w:rsidR="0097084F" w14:paraId="12FE77D4" w14:textId="77777777">
        <w:tblPrEx>
          <w:tblCellMar>
            <w:top w:w="0" w:type="dxa"/>
            <w:bottom w:w="0" w:type="dxa"/>
          </w:tblCellMar>
        </w:tblPrEx>
        <w:tc>
          <w:tcPr>
            <w:tcW w:w="2500" w:type="dxa"/>
            <w:tcMar>
              <w:top w:w="100" w:type="dxa"/>
              <w:left w:w="100" w:type="dxa"/>
              <w:bottom w:w="100" w:type="dxa"/>
              <w:right w:w="100" w:type="dxa"/>
            </w:tcMar>
          </w:tcPr>
          <w:p w14:paraId="67CED3B6" w14:textId="77777777" w:rsidR="0097084F" w:rsidRDefault="00000000">
            <w:pPr>
              <w:spacing w:after="100" w:line="264" w:lineRule="auto"/>
            </w:pPr>
            <w:r>
              <w:rPr>
                <w:rFonts w:ascii="Calibri" w:eastAsia="Calibri" w:hAnsi="Calibri" w:cs="Calibri"/>
                <w:b/>
                <w:bCs/>
              </w:rPr>
              <w:t>4. Design dialogues to yield closure</w:t>
            </w:r>
          </w:p>
        </w:tc>
        <w:tc>
          <w:tcPr>
            <w:tcW w:w="7140" w:type="dxa"/>
            <w:tcMar>
              <w:top w:w="100" w:type="dxa"/>
              <w:left w:w="100" w:type="dxa"/>
              <w:bottom w:w="100" w:type="dxa"/>
              <w:right w:w="100" w:type="dxa"/>
            </w:tcMar>
          </w:tcPr>
          <w:p w14:paraId="049CEB60" w14:textId="77777777" w:rsidR="0097084F" w:rsidRDefault="00000000">
            <w:pPr>
              <w:spacing w:after="100" w:line="264" w:lineRule="auto"/>
            </w:pPr>
            <w:proofErr w:type="gramStart"/>
            <w:r>
              <w:rPr>
                <w:rFonts w:ascii="Calibri" w:eastAsia="Calibri" w:hAnsi="Calibri" w:cs="Calibri"/>
              </w:rPr>
              <w:t>Well</w:t>
            </w:r>
            <w:proofErr w:type="gramEnd"/>
            <w:r>
              <w:rPr>
                <w:rFonts w:ascii="Calibri" w:eastAsia="Calibri" w:hAnsi="Calibri" w:cs="Calibri"/>
              </w:rPr>
              <w:t xml:space="preserve"> met for the account-opening flow specifically, which has a clear beginning (mobile number) and end (confirmation of a funded, active account). It is less true of general browsing, where a visitor comparing products can move between pricing, blog, and calculator pages without a clear sense of having "finished" their research.</w:t>
            </w:r>
          </w:p>
        </w:tc>
      </w:tr>
      <w:tr w:rsidR="0097084F" w14:paraId="5ED82D0C" w14:textId="77777777">
        <w:tblPrEx>
          <w:tblCellMar>
            <w:top w:w="0" w:type="dxa"/>
            <w:bottom w:w="0" w:type="dxa"/>
          </w:tblCellMar>
        </w:tblPrEx>
        <w:tc>
          <w:tcPr>
            <w:tcW w:w="2500" w:type="dxa"/>
            <w:tcMar>
              <w:top w:w="100" w:type="dxa"/>
              <w:left w:w="100" w:type="dxa"/>
              <w:bottom w:w="100" w:type="dxa"/>
              <w:right w:w="100" w:type="dxa"/>
            </w:tcMar>
          </w:tcPr>
          <w:p w14:paraId="4747AB19" w14:textId="77777777" w:rsidR="0097084F" w:rsidRDefault="00000000">
            <w:pPr>
              <w:spacing w:after="100" w:line="264" w:lineRule="auto"/>
            </w:pPr>
            <w:r>
              <w:rPr>
                <w:rFonts w:ascii="Calibri" w:eastAsia="Calibri" w:hAnsi="Calibri" w:cs="Calibri"/>
                <w:b/>
                <w:bCs/>
              </w:rPr>
              <w:t>5. Prevent errors</w:t>
            </w:r>
          </w:p>
        </w:tc>
        <w:tc>
          <w:tcPr>
            <w:tcW w:w="7140" w:type="dxa"/>
            <w:tcMar>
              <w:top w:w="100" w:type="dxa"/>
              <w:left w:w="100" w:type="dxa"/>
              <w:bottom w:w="100" w:type="dxa"/>
              <w:right w:w="100" w:type="dxa"/>
            </w:tcMar>
          </w:tcPr>
          <w:p w14:paraId="237BC8EF" w14:textId="77777777" w:rsidR="0097084F" w:rsidRDefault="00000000">
            <w:pPr>
              <w:spacing w:after="100" w:line="264" w:lineRule="auto"/>
            </w:pPr>
            <w:r>
              <w:rPr>
                <w:rFonts w:ascii="Calibri" w:eastAsia="Calibri" w:hAnsi="Calibri" w:cs="Calibri"/>
              </w:rPr>
              <w:t>Reasonably well met at the form level: PAN format, mobile number format, and required documents are validated or explained before submission, which heads off a class of avoidable mistakes common in KYC-heavy sign-up flows.</w:t>
            </w:r>
          </w:p>
        </w:tc>
      </w:tr>
      <w:tr w:rsidR="0097084F" w14:paraId="53746321" w14:textId="77777777">
        <w:tblPrEx>
          <w:tblCellMar>
            <w:top w:w="0" w:type="dxa"/>
            <w:bottom w:w="0" w:type="dxa"/>
          </w:tblCellMar>
        </w:tblPrEx>
        <w:tc>
          <w:tcPr>
            <w:tcW w:w="2500" w:type="dxa"/>
            <w:tcMar>
              <w:top w:w="100" w:type="dxa"/>
              <w:left w:w="100" w:type="dxa"/>
              <w:bottom w:w="100" w:type="dxa"/>
              <w:right w:w="100" w:type="dxa"/>
            </w:tcMar>
          </w:tcPr>
          <w:p w14:paraId="2645165A" w14:textId="77777777" w:rsidR="0097084F" w:rsidRDefault="00000000">
            <w:pPr>
              <w:spacing w:after="100" w:line="264" w:lineRule="auto"/>
            </w:pPr>
            <w:r>
              <w:rPr>
                <w:rFonts w:ascii="Calibri" w:eastAsia="Calibri" w:hAnsi="Calibri" w:cs="Calibri"/>
                <w:b/>
                <w:bCs/>
              </w:rPr>
              <w:lastRenderedPageBreak/>
              <w:t>6. Permit easy reversal of actions</w:t>
            </w:r>
          </w:p>
        </w:tc>
        <w:tc>
          <w:tcPr>
            <w:tcW w:w="7140" w:type="dxa"/>
            <w:tcMar>
              <w:top w:w="100" w:type="dxa"/>
              <w:left w:w="100" w:type="dxa"/>
              <w:bottom w:w="100" w:type="dxa"/>
              <w:right w:w="100" w:type="dxa"/>
            </w:tcMar>
          </w:tcPr>
          <w:p w14:paraId="4377513D" w14:textId="77777777" w:rsidR="0097084F" w:rsidRDefault="00000000">
            <w:pPr>
              <w:spacing w:after="100" w:line="264" w:lineRule="auto"/>
            </w:pPr>
            <w:r>
              <w:rPr>
                <w:rFonts w:ascii="Calibri" w:eastAsia="Calibri" w:hAnsi="Calibri" w:cs="Calibri"/>
              </w:rPr>
              <w:t>Adequate within the account-opening flow, where earlier steps such as re-entering mobile number or PAN can be revisited before final e-Sign. Reversal is less visible on the marketing site itself, where there is no equivalent of an easy "undo" once a visitor has left one comparison page for another.</w:t>
            </w:r>
          </w:p>
        </w:tc>
      </w:tr>
      <w:tr w:rsidR="0097084F" w14:paraId="41BE6D4F" w14:textId="77777777">
        <w:tblPrEx>
          <w:tblCellMar>
            <w:top w:w="0" w:type="dxa"/>
            <w:bottom w:w="0" w:type="dxa"/>
          </w:tblCellMar>
        </w:tblPrEx>
        <w:tc>
          <w:tcPr>
            <w:tcW w:w="2500" w:type="dxa"/>
            <w:tcMar>
              <w:top w:w="100" w:type="dxa"/>
              <w:left w:w="100" w:type="dxa"/>
              <w:bottom w:w="100" w:type="dxa"/>
              <w:right w:w="100" w:type="dxa"/>
            </w:tcMar>
          </w:tcPr>
          <w:p w14:paraId="330BDE41" w14:textId="77777777" w:rsidR="0097084F" w:rsidRDefault="00000000">
            <w:pPr>
              <w:spacing w:after="100" w:line="264" w:lineRule="auto"/>
            </w:pPr>
            <w:r>
              <w:rPr>
                <w:rFonts w:ascii="Calibri" w:eastAsia="Calibri" w:hAnsi="Calibri" w:cs="Calibri"/>
                <w:b/>
                <w:bCs/>
              </w:rPr>
              <w:t>7. Keep users in control</w:t>
            </w:r>
          </w:p>
        </w:tc>
        <w:tc>
          <w:tcPr>
            <w:tcW w:w="7140" w:type="dxa"/>
            <w:tcMar>
              <w:top w:w="100" w:type="dxa"/>
              <w:left w:w="100" w:type="dxa"/>
              <w:bottom w:w="100" w:type="dxa"/>
              <w:right w:w="100" w:type="dxa"/>
            </w:tcMar>
          </w:tcPr>
          <w:p w14:paraId="695A215A" w14:textId="77777777" w:rsidR="0097084F" w:rsidRDefault="00000000">
            <w:pPr>
              <w:spacing w:after="100" w:line="264" w:lineRule="auto"/>
            </w:pPr>
            <w:r>
              <w:rPr>
                <w:rFonts w:ascii="Calibri" w:eastAsia="Calibri" w:hAnsi="Calibri" w:cs="Calibri"/>
              </w:rPr>
              <w:t>Mixed. Product tabs, watchlists, and notification settings give an existing user granular control over what they see and are notified about. A first-time visitor to the marketing homepage, by contrast, is guided fairly firmly toward the sign-up CTA, with less control over skipping straight to the comparative information they may actually want.</w:t>
            </w:r>
          </w:p>
        </w:tc>
      </w:tr>
      <w:tr w:rsidR="0097084F" w14:paraId="049EAB08" w14:textId="77777777">
        <w:tblPrEx>
          <w:tblCellMar>
            <w:top w:w="0" w:type="dxa"/>
            <w:bottom w:w="0" w:type="dxa"/>
          </w:tblCellMar>
        </w:tblPrEx>
        <w:tc>
          <w:tcPr>
            <w:tcW w:w="2500" w:type="dxa"/>
            <w:tcMar>
              <w:top w:w="100" w:type="dxa"/>
              <w:left w:w="100" w:type="dxa"/>
              <w:bottom w:w="100" w:type="dxa"/>
              <w:right w:w="100" w:type="dxa"/>
            </w:tcMar>
          </w:tcPr>
          <w:p w14:paraId="417453F4" w14:textId="77777777" w:rsidR="0097084F" w:rsidRDefault="00000000">
            <w:pPr>
              <w:spacing w:after="100" w:line="264" w:lineRule="auto"/>
            </w:pPr>
            <w:r>
              <w:rPr>
                <w:rFonts w:ascii="Calibri" w:eastAsia="Calibri" w:hAnsi="Calibri" w:cs="Calibri"/>
                <w:b/>
                <w:bCs/>
              </w:rPr>
              <w:t>8. Reduce short-term memory load</w:t>
            </w:r>
          </w:p>
        </w:tc>
        <w:tc>
          <w:tcPr>
            <w:tcW w:w="7140" w:type="dxa"/>
            <w:tcMar>
              <w:top w:w="100" w:type="dxa"/>
              <w:left w:w="100" w:type="dxa"/>
              <w:bottom w:w="100" w:type="dxa"/>
              <w:right w:w="100" w:type="dxa"/>
            </w:tcMar>
          </w:tcPr>
          <w:p w14:paraId="26C592D5" w14:textId="77777777" w:rsidR="0097084F" w:rsidRDefault="00000000">
            <w:pPr>
              <w:spacing w:after="100" w:line="264" w:lineRule="auto"/>
            </w:pPr>
            <w:r>
              <w:rPr>
                <w:rFonts w:ascii="Calibri" w:eastAsia="Calibri" w:hAnsi="Calibri" w:cs="Calibri"/>
              </w:rPr>
              <w:t>Adequate. Most marketing content is presented in self-contained cards rather than multi-step sequences a visitor must remember, so the main cost is scrolling and re-locating information rather than holding details in memory.</w:t>
            </w:r>
          </w:p>
        </w:tc>
      </w:tr>
    </w:tbl>
    <w:p w14:paraId="5614077B" w14:textId="77777777" w:rsidR="0097084F" w:rsidRDefault="00000000">
      <w:pPr>
        <w:pStyle w:val="Heading1"/>
        <w:spacing w:before="300" w:after="150"/>
      </w:pPr>
      <w:r>
        <w:rPr>
          <w:rFonts w:ascii="Calibri" w:eastAsia="Calibri" w:hAnsi="Calibri" w:cs="Calibri"/>
          <w:b/>
          <w:bCs/>
        </w:rPr>
        <w:t>5. Key Design Problems Identified</w:t>
      </w:r>
    </w:p>
    <w:p w14:paraId="596FCEA7" w14:textId="77777777" w:rsidR="0097084F" w:rsidRDefault="00000000">
      <w:pPr>
        <w:pStyle w:val="ListParagraph"/>
        <w:numPr>
          <w:ilvl w:val="0"/>
          <w:numId w:val="1"/>
        </w:numPr>
        <w:spacing w:after="150" w:line="276" w:lineRule="auto"/>
      </w:pPr>
      <w:r>
        <w:rPr>
          <w:rFonts w:ascii="Calibri" w:eastAsia="Calibri" w:hAnsi="Calibri" w:cs="Calibri"/>
          <w:sz w:val="22"/>
          <w:szCs w:val="22"/>
        </w:rPr>
        <w:t>Two competing primary calls to action: account opening and app download are both given maximum visual weight on the same pages, which dilutes the clarity of either goal for the visitor.</w:t>
      </w:r>
    </w:p>
    <w:p w14:paraId="3157B5C2" w14:textId="77777777" w:rsidR="0097084F" w:rsidRDefault="00000000">
      <w:pPr>
        <w:pStyle w:val="ListParagraph"/>
        <w:numPr>
          <w:ilvl w:val="0"/>
          <w:numId w:val="1"/>
        </w:numPr>
        <w:spacing w:after="150" w:line="276" w:lineRule="auto"/>
      </w:pPr>
      <w:r>
        <w:rPr>
          <w:rFonts w:ascii="Calibri" w:eastAsia="Calibri" w:hAnsi="Calibri" w:cs="Calibri"/>
          <w:sz w:val="22"/>
          <w:szCs w:val="22"/>
        </w:rPr>
        <w:t>Comparative information is scattered: brokerage charges, product features, and platform tools each live on separate pages rather than a single place a prospective customer could use to evaluate Angel One against a competitor in one pass.</w:t>
      </w:r>
    </w:p>
    <w:p w14:paraId="0CE4AC32" w14:textId="77777777" w:rsidR="0097084F" w:rsidRDefault="00000000">
      <w:pPr>
        <w:pStyle w:val="ListParagraph"/>
        <w:numPr>
          <w:ilvl w:val="0"/>
          <w:numId w:val="1"/>
        </w:numPr>
        <w:spacing w:after="150" w:line="276" w:lineRule="auto"/>
      </w:pPr>
      <w:r>
        <w:rPr>
          <w:rFonts w:ascii="Calibri" w:eastAsia="Calibri" w:hAnsi="Calibri" w:cs="Calibri"/>
          <w:sz w:val="22"/>
          <w:szCs w:val="22"/>
        </w:rPr>
        <w:t>No accessibility fallback: the site offers no contrast or text-size controls, and some interactive tools (sliders, drag-based calculators) are not clearly keyboard-operable.</w:t>
      </w:r>
    </w:p>
    <w:p w14:paraId="3BAEB00A" w14:textId="77777777" w:rsidR="0097084F" w:rsidRDefault="00000000">
      <w:pPr>
        <w:pStyle w:val="ListParagraph"/>
        <w:numPr>
          <w:ilvl w:val="0"/>
          <w:numId w:val="1"/>
        </w:numPr>
        <w:spacing w:after="150" w:line="276" w:lineRule="auto"/>
      </w:pPr>
      <w:r>
        <w:rPr>
          <w:rFonts w:ascii="Calibri" w:eastAsia="Calibri" w:hAnsi="Calibri" w:cs="Calibri"/>
          <w:sz w:val="22"/>
          <w:szCs w:val="22"/>
        </w:rPr>
        <w:t>Marketing-to-product handoff feels abrupt: the promotional website's card-based, conversion-oriented layout is visually distinct from the denser, data-table-driven trading app and web platform a user lands in immediately after signing up.</w:t>
      </w:r>
    </w:p>
    <w:p w14:paraId="37A43A1D" w14:textId="77777777" w:rsidR="0097084F" w:rsidRDefault="00000000">
      <w:pPr>
        <w:pStyle w:val="ListParagraph"/>
        <w:numPr>
          <w:ilvl w:val="0"/>
          <w:numId w:val="1"/>
        </w:numPr>
        <w:spacing w:after="150" w:line="276" w:lineRule="auto"/>
      </w:pPr>
      <w:r>
        <w:rPr>
          <w:rFonts w:ascii="Calibri" w:eastAsia="Calibri" w:hAnsi="Calibri" w:cs="Calibri"/>
          <w:sz w:val="22"/>
          <w:szCs w:val="22"/>
        </w:rPr>
        <w:t>No role-based routing on the homepage: a student researching the company, an experienced trader comparing brokers, and a first-time investor opening an account all see an identical page with no early option to skip to what is relevant to them.</w:t>
      </w:r>
    </w:p>
    <w:p w14:paraId="32563324" w14:textId="77777777" w:rsidR="0097084F" w:rsidRDefault="00000000">
      <w:pPr>
        <w:pStyle w:val="Heading1"/>
        <w:spacing w:before="300" w:after="150"/>
      </w:pPr>
      <w:r>
        <w:rPr>
          <w:rFonts w:ascii="Calibri" w:eastAsia="Calibri" w:hAnsi="Calibri" w:cs="Calibri"/>
          <w:b/>
          <w:bCs/>
        </w:rPr>
        <w:t>6. Recommendations</w:t>
      </w:r>
    </w:p>
    <w:p w14:paraId="2FF4C64B" w14:textId="77777777" w:rsidR="0097084F" w:rsidRDefault="00000000">
      <w:pPr>
        <w:spacing w:after="200" w:line="276" w:lineRule="auto"/>
      </w:pPr>
      <w:r>
        <w:rPr>
          <w:rFonts w:ascii="Calibri" w:eastAsia="Calibri" w:hAnsi="Calibri" w:cs="Calibri"/>
          <w:sz w:val="22"/>
          <w:szCs w:val="22"/>
        </w:rPr>
        <w:t xml:space="preserve">A few targeted changes would address most of the issues raised without a full redesign. First, the account-opening and app-download prompts should be prioritised rather than run in parallel at equal visual weight, since asking a visitor to choose between two near-identical top actions adds friction rather than removing it. Second, a single consolidated "Compare Angel One" or pricing-and-features page would let a prospective customer see charges, products, and tools together instead of piecing this together from several pages. Third, adding a visible contrast toggle and ensuring calculator-style widgets </w:t>
      </w:r>
      <w:r>
        <w:rPr>
          <w:rFonts w:ascii="Calibri" w:eastAsia="Calibri" w:hAnsi="Calibri" w:cs="Calibri"/>
          <w:sz w:val="22"/>
          <w:szCs w:val="22"/>
        </w:rPr>
        <w:lastRenderedPageBreak/>
        <w:t>are keyboard-operable would bring the site closer to the universal-usability standard it implicitly claims by marketing itself to first-time investors. Fourth, introducing a lightweight, shared visual language between the marketing site and the in-app experience, even if the underlying interaction density stays different, would soften the jump a new user feels immediately after account activation. Finally, a brief intent-based entry point on the homepage, such as "I'm ready to open an account", "I'm comparing brokers", or "I already have an account", would let each visitor type skip past content that is not relevant to why they arrived.</w:t>
      </w:r>
    </w:p>
    <w:p w14:paraId="5C67F965" w14:textId="77777777" w:rsidR="0097084F" w:rsidRDefault="00000000">
      <w:pPr>
        <w:pStyle w:val="Heading1"/>
        <w:spacing w:before="300" w:after="150"/>
      </w:pPr>
      <w:r>
        <w:rPr>
          <w:rFonts w:ascii="Calibri" w:eastAsia="Calibri" w:hAnsi="Calibri" w:cs="Calibri"/>
          <w:b/>
          <w:bCs/>
        </w:rPr>
        <w:t>7. Conclusion</w:t>
      </w:r>
    </w:p>
    <w:p w14:paraId="1BD782D7" w14:textId="77777777" w:rsidR="0097084F" w:rsidRDefault="00000000">
      <w:pPr>
        <w:spacing w:after="200" w:line="276" w:lineRule="auto"/>
      </w:pPr>
      <w:r>
        <w:rPr>
          <w:rFonts w:ascii="Calibri" w:eastAsia="Calibri" w:hAnsi="Calibri" w:cs="Calibri"/>
          <w:sz w:val="22"/>
          <w:szCs w:val="22"/>
        </w:rPr>
        <w:t>The Angel One website is effective at what it is primarily built to do: convert a visitor into a funded, active trading account with minimal friction, backed by clear regulatory and security disclosures that matter for a platform handling money and securities. Its principal weakness is not missing functionality but competing priorities and scattered information: account-opening and app-download prompts compete for the same visual space, comparative product and pricing information is spread across multiple pages rather than consolidated, and the transition from the marketing site's card-based layout to the trading platform's denser, data-heavy interface is not softened by any shared visual language. For a platform whose stated audience ranges from first-time investors to experienced traders, tightening the visual hierarchy around a single primary action, consolidating comparison-relevant information, and closing the accessibility gaps identified above would bring the site's usability closer to the standard of the financial trust it works hard to establish elsewhere.</w:t>
      </w:r>
    </w:p>
    <w:sectPr w:rsidR="0097084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AD5C09"/>
    <w:multiLevelType w:val="hybridMultilevel"/>
    <w:tmpl w:val="CB16A364"/>
    <w:lvl w:ilvl="0" w:tplc="D6A65F16">
      <w:start w:val="1"/>
      <w:numFmt w:val="bullet"/>
      <w:lvlText w:val="●"/>
      <w:lvlJc w:val="left"/>
      <w:pPr>
        <w:ind w:left="720" w:hanging="360"/>
      </w:pPr>
    </w:lvl>
    <w:lvl w:ilvl="1" w:tplc="6B04FF44">
      <w:start w:val="1"/>
      <w:numFmt w:val="bullet"/>
      <w:lvlText w:val="○"/>
      <w:lvlJc w:val="left"/>
      <w:pPr>
        <w:ind w:left="1440" w:hanging="360"/>
      </w:pPr>
    </w:lvl>
    <w:lvl w:ilvl="2" w:tplc="79FA11AE">
      <w:start w:val="1"/>
      <w:numFmt w:val="bullet"/>
      <w:lvlText w:val="■"/>
      <w:lvlJc w:val="left"/>
      <w:pPr>
        <w:ind w:left="2160" w:hanging="360"/>
      </w:pPr>
    </w:lvl>
    <w:lvl w:ilvl="3" w:tplc="C3A8C124">
      <w:start w:val="1"/>
      <w:numFmt w:val="bullet"/>
      <w:lvlText w:val="●"/>
      <w:lvlJc w:val="left"/>
      <w:pPr>
        <w:ind w:left="2880" w:hanging="360"/>
      </w:pPr>
    </w:lvl>
    <w:lvl w:ilvl="4" w:tplc="0C58FF02">
      <w:start w:val="1"/>
      <w:numFmt w:val="bullet"/>
      <w:lvlText w:val="○"/>
      <w:lvlJc w:val="left"/>
      <w:pPr>
        <w:ind w:left="3600" w:hanging="360"/>
      </w:pPr>
    </w:lvl>
    <w:lvl w:ilvl="5" w:tplc="A9BAF7E2">
      <w:start w:val="1"/>
      <w:numFmt w:val="bullet"/>
      <w:lvlText w:val="■"/>
      <w:lvlJc w:val="left"/>
      <w:pPr>
        <w:ind w:left="4320" w:hanging="360"/>
      </w:pPr>
    </w:lvl>
    <w:lvl w:ilvl="6" w:tplc="2AAA1A66">
      <w:start w:val="1"/>
      <w:numFmt w:val="bullet"/>
      <w:lvlText w:val="●"/>
      <w:lvlJc w:val="left"/>
      <w:pPr>
        <w:ind w:left="5040" w:hanging="360"/>
      </w:pPr>
    </w:lvl>
    <w:lvl w:ilvl="7" w:tplc="1F22AF48">
      <w:start w:val="1"/>
      <w:numFmt w:val="bullet"/>
      <w:lvlText w:val="●"/>
      <w:lvlJc w:val="left"/>
      <w:pPr>
        <w:ind w:left="5760" w:hanging="360"/>
      </w:pPr>
    </w:lvl>
    <w:lvl w:ilvl="8" w:tplc="E6700AB8">
      <w:start w:val="1"/>
      <w:numFmt w:val="bullet"/>
      <w:lvlText w:val="●"/>
      <w:lvlJc w:val="left"/>
      <w:pPr>
        <w:ind w:left="6480" w:hanging="360"/>
      </w:pPr>
    </w:lvl>
  </w:abstractNum>
  <w:num w:numId="1" w16cid:durableId="8945115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84F"/>
    <w:rsid w:val="001250AF"/>
    <w:rsid w:val="0097084F"/>
    <w:rsid w:val="00BD02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80CF8"/>
  <w15:docId w15:val="{FFA87382-7C8A-44C9-87E7-2A1C6C751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2834</Words>
  <Characters>16156</Characters>
  <Application>Microsoft Office Word</Application>
  <DocSecurity>0</DocSecurity>
  <Lines>134</Lines>
  <Paragraphs>37</Paragraphs>
  <ScaleCrop>false</ScaleCrop>
  <Company/>
  <LinksUpToDate>false</LinksUpToDate>
  <CharactersWithSpaces>18953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Ayan .</cp:lastModifiedBy>
  <cp:revision>2</cp:revision>
  <dcterms:created xsi:type="dcterms:W3CDTF">2026-08-07T07:18:00Z</dcterms:created>
  <dcterms:modified xsi:type="dcterms:W3CDTF">2026-08-07T10:40:00Z</dcterms:modified>
</cp:coreProperties>
</file>