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8"/>
          <w:szCs w:val="28"/>
        </w:rPr>
        <w:t xml:space="preserve">CRITICAL ANALYSIS OF INTERFACES</w:t>
      </w:r>
    </w:p>
    <w:p>
      <w:pPr>
        <w:spacing w:after="100"/>
        <w:jc w:val="center"/>
      </w:pPr>
      <w:r>
        <w:rPr>
          <w:rFonts w:ascii="Calibri" w:cs="Calibri" w:eastAsia="Calibri" w:hAnsi="Calibri"/>
          <w:b/>
          <w:bCs/>
          <w:sz w:val="24"/>
          <w:szCs w:val="24"/>
        </w:rPr>
        <w:t xml:space="preserve">A Usability and Interface Design Evaluation of the Angel One Website</w:t>
      </w:r>
    </w:p>
    <w:p>
      <w:pPr>
        <w:spacing w:after="300"/>
        <w:jc w:val="center"/>
      </w:pPr>
      <w:r>
        <w:rPr>
          <w:rFonts w:ascii="Calibri" w:cs="Calibri" w:eastAsia="Calibri" w:hAnsi="Calibri"/>
          <w:i/>
          <w:iCs/>
          <w:sz w:val="22"/>
          <w:szCs w:val="22"/>
        </w:rPr>
        <w:t xml:space="preserve">(www.angelone.in)</w:t>
      </w:r>
    </w:p>
    <w:p>
      <w:pPr>
        <w:spacing w:after="80"/>
        <w:jc w:val="center"/>
      </w:pPr>
      <w:r>
        <w:rPr>
          <w:rFonts w:ascii="Calibri" w:cs="Calibri" w:eastAsia="Calibri" w:hAnsi="Calibri"/>
          <w:sz w:val="22"/>
          <w:szCs w:val="22"/>
        </w:rPr>
        <w:t xml:space="preserve">Submitted by: [Your Name]</w:t>
      </w:r>
    </w:p>
    <w:p>
      <w:pPr>
        <w:spacing w:after="80"/>
        <w:jc w:val="center"/>
      </w:pPr>
      <w:r>
        <w:rPr>
          <w:rFonts w:ascii="Calibri" w:cs="Calibri" w:eastAsia="Calibri" w:hAnsi="Calibri"/>
          <w:sz w:val="22"/>
          <w:szCs w:val="22"/>
        </w:rPr>
        <w:t xml:space="preserve">PRN: [Your PRN]</w:t>
      </w:r>
    </w:p>
    <w:p>
      <w:pPr>
        <w:spacing w:after="80"/>
        <w:jc w:val="center"/>
      </w:pPr>
      <w:r>
        <w:rPr>
          <w:rFonts w:ascii="Calibri" w:cs="Calibri" w:eastAsia="Calibri" w:hAnsi="Calibri"/>
          <w:sz w:val="22"/>
          <w:szCs w:val="22"/>
        </w:rPr>
        <w:t xml:space="preserve">Panel/Batch: [Your Panel/Batch]</w:t>
      </w:r>
    </w:p>
    <w:p>
      <w:pPr>
        <w:spacing w:after="80"/>
        <w:jc w:val="center"/>
      </w:pPr>
      <w:r>
        <w:rPr>
          <w:rFonts w:ascii="Calibri" w:cs="Calibri" w:eastAsia="Calibri" w:hAnsi="Calibri"/>
          <w:sz w:val="22"/>
          <w:szCs w:val="22"/>
        </w:rPr>
        <w:t xml:space="preserve">Programme: B.Tech Computer Science</w:t>
      </w:r>
    </w:p>
    <w:p>
      <w:pPr>
        <w:spacing w:after="80"/>
        <w:jc w:val="center"/>
      </w:pPr>
      <w:r>
        <w:rPr>
          <w:rFonts w:ascii="Calibri" w:cs="Calibri" w:eastAsia="Calibri" w:hAnsi="Calibri"/>
          <w:sz w:val="22"/>
          <w:szCs w:val="22"/>
        </w:rPr>
        <w:t xml:space="preserve">MIT World Peace University, Pune</w:t>
      </w:r>
    </w:p>
    <w:p>
      <w:pPr>
        <w:spacing w:after="300"/>
        <w:jc w:val="center"/>
      </w:pPr>
      <w:r>
        <w:rPr>
          <w:rFonts w:ascii="Calibri" w:cs="Calibri" w:eastAsia="Calibri" w:hAnsi="Calibri"/>
          <w:sz w:val="22"/>
          <w:szCs w:val="22"/>
        </w:rPr>
        <w:t xml:space="preserve">Assignment: Critical Analysis of Interfaces</w:t>
      </w:r>
    </w:p>
    <w:p>
      <w:pPr>
        <w:pStyle w:val="Heading1"/>
        <w:spacing w:after="150" w:before="300"/>
      </w:pPr>
      <w:r>
        <w:rPr>
          <w:rFonts w:ascii="Calibri" w:cs="Calibri" w:eastAsia="Calibri" w:hAnsi="Calibri"/>
          <w:b/>
          <w:bCs/>
        </w:rPr>
        <w:t xml:space="preserve">1. Introduction</w:t>
      </w:r>
    </w:p>
    <w:p>
      <w:pPr>
        <w:spacing w:after="200" w:line="276"/>
      </w:pPr>
      <w:r>
        <w:rPr>
          <w:rFonts w:ascii="Calibri" w:cs="Calibri" w:eastAsia="Calibri" w:hAnsi="Calibri"/>
          <w:sz w:val="22"/>
          <w:szCs w:val="22"/>
        </w:rPr>
        <w:t xml:space="preserve">This assignment examines an interface built for a very different kind of visitor than a purely informational site: prospective and existing investors who arrive either to open a trading account or to actively manage stocks, mutual funds, and derivatives. The interface chosen is the official website of Angel One (formerly Angel Broking), a SEBI-registered stockbroking and financial services platform headquartered in Mumbai, accessible at www.angelone.in. Angel One is one of India's largest retail brokers, offering trading and investment across equities, F&amp;O, mutual funds, IPOs, commodities, currencies, US stocks, and adjacent financial products such as loans and insurance. Because the platform depends on converting visitors into funded, active accounts while also serving existing customers who trade daily, its website has to double as a marketing and conversion funnel as well as a gateway into a full trading product, and this tension shapes much of what follows. As with any interface evaluation, the intent here is not to judge Angel One's investment offerings or pricing on their merits, but to examine how learnable, usable, consistent, and trustworthy the site is purely as a piece of interaction design.</w:t>
      </w:r>
    </w:p>
    <w:p>
      <w:pPr>
        <w:pStyle w:val="Heading1"/>
        <w:spacing w:after="150" w:before="300"/>
      </w:pPr>
      <w:r>
        <w:rPr>
          <w:rFonts w:ascii="Calibri" w:cs="Calibri" w:eastAsia="Calibri" w:hAnsi="Calibri"/>
          <w:b/>
          <w:bCs/>
        </w:rPr>
        <w:t xml:space="preserve">2. Overview of the Interface</w:t>
      </w:r>
    </w:p>
    <w:p>
      <w:pPr>
        <w:spacing w:after="200" w:line="276"/>
      </w:pPr>
      <w:r>
        <w:rPr>
          <w:rFonts w:ascii="Calibri" w:cs="Calibri" w:eastAsia="Calibri" w:hAnsi="Calibri"/>
          <w:sz w:val="22"/>
          <w:szCs w:val="22"/>
        </w:rPr>
        <w:t xml:space="preserve">The Angel One homepage opens with a hero section built around a single dominant action: opening a free demat and trading account, reinforced by a trust badge citing over 3.5 crore customers and zero-brokerage messaging for cash delivery trades. Running close behind this is an equally prominent nudge to download the mobile "Super App", positioned as a near-equal competing call to action. Beneath these two headline prompts, the page moves into a sequence of feature cards covering the platform's core products — Stocks, F&amp;O, Mutual Funds, IPOs, Commodities, Currencies, US Stocks, and lending/insurance add-ons — each with its own short description and "Know More" link. Further down, the homepage surfaces a brokerage-and-pricing comparison block, a strip of blog and Knowledge Center article previews, and interactive tools such as a brokerage calculator. The footer holds the site's fuller navigation — Products, Pricing, Support, Knowledge Center, Company, and legal/regulatory disclosures including SEBI registration and exchange membership numbers — alongside social-media links. Once a visitor actually opens an account, the experience shifts into the trading app or web platform itself, a considerably denser interface organised around tabs for Watchlist, Orders, Portfolio, and Charts, which functions almost as a second, distinct product layered behind the marketing site's conversion-first front door.</w:t>
      </w:r>
    </w:p>
    <w:p>
      <w:pPr>
        <w:pStyle w:val="Heading1"/>
        <w:spacing w:after="150" w:before="300"/>
      </w:pPr>
      <w:r>
        <w:rPr>
          <w:rFonts w:ascii="Calibri" w:cs="Calibri" w:eastAsia="Calibri" w:hAnsi="Calibri"/>
          <w:b/>
          <w:bCs/>
        </w:rPr>
        <w:t xml:space="preserve">3. Parameter-Wise Evaluation</w:t>
      </w:r>
    </w:p>
    <w:p>
      <w:pPr>
        <w:spacing w:after="200" w:line="276"/>
      </w:pPr>
      <w:r>
        <w:rPr>
          <w:rFonts w:ascii="Calibri" w:cs="Calibri" w:eastAsia="Calibri" w:hAnsi="Calibri"/>
          <w:sz w:val="22"/>
          <w:szCs w:val="22"/>
        </w:rPr>
        <w:t xml:space="preserve">The table below evaluates the interface against the standard set of interface-design parameters, describing what each parameter measures and how the Angel One website performs against 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40"/>
      </w:tblGrid>
      <w:tr>
        <w:trPr>
          <w:tblHeader/>
        </w:trPr>
        <w:tc>
          <w:tcPr>
            <w:tcW w:type="dxa" w:w="2000"/>
            <w:shd w:fill="1F3864" w:color="auto" w:val="clear"/>
            <w:tcMar>
              <w:top w:type="dxa" w:w="100"/>
              <w:left w:type="dxa" w:w="100"/>
              <w:bottom w:type="dxa" w:w="100"/>
              <w:right w:type="dxa" w:w="100"/>
            </w:tcMar>
          </w:tcPr>
          <w:p>
            <w:pPr>
              <w:spacing w:after="100" w:line="264"/>
            </w:pPr>
            <w:r>
              <w:rPr>
                <w:rFonts w:ascii="Calibri" w:cs="Calibri" w:eastAsia="Calibri" w:hAnsi="Calibri"/>
                <w:b/>
                <w:bCs/>
                <w:color w:val="FFFFFF"/>
                <w:sz w:val="20"/>
                <w:szCs w:val="20"/>
              </w:rPr>
              <w:t xml:space="preserve">Parameter</w:t>
            </w:r>
          </w:p>
        </w:tc>
        <w:tc>
          <w:tcPr>
            <w:tcW w:type="dxa" w:w="3300"/>
            <w:shd w:fill="1F3864" w:color="auto" w:val="clear"/>
            <w:tcMar>
              <w:top w:type="dxa" w:w="100"/>
              <w:left w:type="dxa" w:w="100"/>
              <w:bottom w:type="dxa" w:w="100"/>
              <w:right w:type="dxa" w:w="100"/>
            </w:tcMar>
          </w:tcPr>
          <w:p>
            <w:pPr>
              <w:spacing w:after="100" w:line="264"/>
            </w:pPr>
            <w:r>
              <w:rPr>
                <w:rFonts w:ascii="Calibri" w:cs="Calibri" w:eastAsia="Calibri" w:hAnsi="Calibri"/>
                <w:b/>
                <w:bCs/>
                <w:color w:val="FFFFFF"/>
                <w:sz w:val="20"/>
                <w:szCs w:val="20"/>
              </w:rPr>
              <w:t xml:space="preserve">What It Measures</w:t>
            </w:r>
          </w:p>
        </w:tc>
        <w:tc>
          <w:tcPr>
            <w:tcW w:type="dxa" w:w="4340"/>
            <w:shd w:fill="1F3864" w:color="auto" w:val="clear"/>
            <w:tcMar>
              <w:top w:type="dxa" w:w="100"/>
              <w:left w:type="dxa" w:w="100"/>
              <w:bottom w:type="dxa" w:w="100"/>
              <w:right w:type="dxa" w:w="100"/>
            </w:tcMar>
          </w:tcPr>
          <w:p>
            <w:pPr>
              <w:spacing w:after="100" w:line="264"/>
            </w:pPr>
            <w:r>
              <w:rPr>
                <w:rFonts w:ascii="Calibri" w:cs="Calibri" w:eastAsia="Calibri" w:hAnsi="Calibri"/>
                <w:b/>
                <w:bCs/>
                <w:color w:val="FFFFFF"/>
                <w:sz w:val="20"/>
                <w:szCs w:val="20"/>
              </w:rPr>
              <w:t xml:space="preserve">Observation on Angel One Website</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Learnability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How easily a first-time user can understand and use the site without guidance.</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The homepage opens with a hero banner pushing free demat account opening and a "3.5 Cr+ customers" trust badge before a first-time visitor sees any explanation of what trading, F&amp;O, or mutual funds actually involve. A student researching the platform, rather than opening an account, has to scroll past several conversion-focused sections before reaching the Knowledge Center or blog content that would actually teach them anything.</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Usability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Efficiency and effectiveness with which users can complete tasks such as searching, browsing, or accessing documentation.</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Once a visitor has an account, the in-app tab structure for Stocks, F&amp;O, and Mutual Funds is genuinely efficient, and the search bar can resolve a company name, a mutual fund, or a help article from one field. On the marketing website, however, the same efficiency is not present: locating a specific fact, such as brokerage charges for a particular segment, means moving between the pricing page, a calculator, and several FAQ entries rather than finding it in one place.</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Consistency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Uniformity in colours, typography, icons, layouts, and interaction patterns across pages.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The core brand palette (navy blue and white with an orange accent) and card-based layout repeat consistently across the marketing pages, the Knowledge Center, and the blog. Where consistency breaks down is between the marketing website and the trading app/web-platform themselves, which use a denser, data-table-heavy layout suited to active traders and feel like a distinct product rather than a continuation of the same interface.</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Use of Metaphors</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Whether familiar real-world concepts help users understand functionality.</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Metaphor use is limited but present in places the OWASP site lacked entirely: a demat account is explained as a digital "locker" for holdings, and ARQ recommendations are framed as a curated "suggestion" rather than a raw data feed. Most calls to action, however, remain plain text ("Open Free Demat Account", "Start Investing"), and F&amp;O tools in particular assume the visitor already understands options terminology without a supporting visual metaphor.</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Navigation Structure</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Clarity and organisation of menus, breadcrumbs, links, and information hierarchy.</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The marketing site carries a persistent top header with Products, Pricing, Support, and a prominent login/sign-up pairing, which is a stronger pattern than a footer-only menu. Depth is the issue: sub-products such as US Stocks, Commodities, and Insurance are nested inside dropdowns that are not always predictable, so a visitor looking for a specific offering sometimes has to guess which top-level menu it lives under.</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Visual Hierarchy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Emphasis on important elements using size, colour, spacing, and contrast to guide attention.</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The account-opening CTA is unmistakably the largest, highest-contrast element on nearly every page, which suits Angel One's business goal of new sign-ups but competes with a second, near-equally sized push to download the mobile app. Between these two competing calls to action, informational content such as brokerage structure or product explanations is visually secondary, appearing in smaller text further down the page.</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Accessibility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Support for users with disabilities through contrast, keyboard navigation, alt text, and screen-reader compatibility.</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Core text meets reasonable contrast ratios against the white background, and most product icons carry alt text. There is no visible high-contrast mode or font-scaling control anywhere on the site, and several interactive widgets, such as the brokerage calculator's sliders, rely on drag gestures that are not obviously operable by keyboard alone.</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Responsiveness</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Ability of the website to adapt seamlessly across desktops, tablets, and mobile devices.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Given that Angel One's stated priority is mobile-first trading, the site reflows cleanly to phone width, and the CTA blocks re-stack sensibly. The trade-off is that on a small screen the sign-up and app-download prompts occupy proportionally more of the visible area than on desktop, pushing product information further down the scroll.</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Efficiency of Interaction</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Number of steps required to complete common tasks and availability of shortcuts.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Account opening is deliberately streamlined to a mobile-number-first flow with OTP verification and e-KYC, which is efficient for the site's primary conversion goal. For an existing user trying to compare, say, two mutual funds or check a specific charge, the equivalent shortcut does not exist on the marketing site, and the task typically requires navigating through several separate pages.</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Feedback and System Status</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Whether the interface gives clear responses to user actions such as loading indicators or confirmations.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The account-opening flow gives good, explicit feedback: each OTP step confirms success before advancing, and application status is later shown on the dashboard. Elsewhere on the marketing pages, feedback is weaker; clicking into a calculator or a comparison tool does not always indicate that new data is loading versus simply being slow to respond.</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Error Prevention and Recovery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Mechanisms to prevent mistakes and provide clear instructions for correcting errors.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The sign-up form validates PAN and mobile-number formats before submission and explains document requirements upfront, which prevents a good share of avoidable errors. Order-related error prevention, such as warnings before a margin or F&amp;O order that could result in rejection, exists inside the trading app but is not something a visitor evaluating the platform from the marketing site can see or judge in advance.</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Aesthetic and Minimalist Design</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Avoidance of unnecessary information or clutter while maintaining visual appeal.</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Individual sections of the marketing site are clean and card-based, but the homepage as a whole stacks a large number of these cards back-to-back, covering account opening, app download, pricing, products, blog, and calculators in quick succession, which reads as busy rather than minimal by the time a visitor reaches the footer.</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Content Readability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Appropriate typography, font sizes, spacing, and readability of textual content.</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Knowledge Center and blog articles are broken into short paragraphs with clear subheadings, which supports scanning. Product pages aimed at conversion, by contrast, repeat similar promotional phrasing across sections ("Open a Free Demat Account" appears many times on a single page), which adds length without adding new information for a reader who already understands the offer.</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Search and Discoverability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Ease of finding information through search bars, filters, categorisation, and recommendations.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Search is a genuine strength once inside the app or Knowledge Center: a single search box can resolve a stock, a fund, or an FAQ article, and filtering by index, option type, or expiry is available in the Option Watchlist. On the public marketing site, this same search capability is less consistently surfaced, so a first-time visitor comparing brokers may not realise how capable the in-product search actually is.</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Performance Perception</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User perception of speed through loading indicators, progressive loading, and smooth transitions.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Marketing pages load quickly since most content is static text and images. Perceived performance drops on pages that embed live market data or calculators, where numbers populate a beat after the surrounding layout has already rendered, creating a brief mismatch between what looks ready and what is actually ready.</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Trust and Credibility</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Presence of security indicators, professional appearance, testimonials, and transparent policies.</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Trust signals are extensive and specific: SEBI registration numbers, exchange membership codes (NSE, BSE, MCX, NCDEX, MSEI), stated 2-Factor authentication, and a long operating history dating to 1996 are all disclosed, which is important for a platform handling money and securities. Customer counts and "India's largest broker" claims are prominent but are marketing statements rather than independently verifiable figures, and sit closely alongside the regulatory disclosures in a way that can blur the two.</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Personalization</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Ability to adapt content or recommendations based on user preferences and behaviour.</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Once logged in, Angel One personalises meaningfully: ARQ gives curated stock and fund suggestions, notification categories (promotional, advisory, transactional) can be individually toggled, and the Knowledge Center adapts its landing content to a stated investor persona. The public marketing homepage, by contrast, looks the same to a first-time student researcher, an experienced trader comparing brokers, and someone renewing a lapsed account, with no early branching by intent.</w:t>
            </w:r>
          </w:p>
        </w:tc>
      </w:tr>
      <w:tr>
        <w:tc>
          <w:tcPr>
            <w:tcW w:type="dxa" w:w="2000"/>
            <w:tcMar>
              <w:top w:type="dxa" w:w="100"/>
              <w:left w:type="dxa" w:w="100"/>
              <w:bottom w:type="dxa" w:w="100"/>
              <w:right w:type="dxa" w:w="100"/>
            </w:tcMar>
          </w:tcPr>
          <w:p>
            <w:pPr>
              <w:spacing w:after="100" w:line="264"/>
            </w:pPr>
            <w:r>
              <w:rPr>
                <w:rFonts w:ascii="Calibri" w:cs="Calibri" w:eastAsia="Calibri" w:hAnsi="Calibri"/>
                <w:b/>
                <w:bCs/>
                <w:sz w:val="20"/>
                <w:szCs w:val="20"/>
              </w:rPr>
              <w:t xml:space="preserve">User Satisfaction</w:t>
            </w:r>
          </w:p>
        </w:tc>
        <w:tc>
          <w:tcPr>
            <w:tcW w:type="dxa" w:w="330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Overall experience and perceived ease and enjoyment of using the website.</w:t>
            </w:r>
          </w:p>
        </w:tc>
        <w:tc>
          <w:tcPr>
            <w:tcW w:type="dxa" w:w="43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For a visitor who has already decided to open an account, the experience is fast and satisfying, since the entire path from landing page to a funded account can be completed in one sitting. For a visitor who is still evaluating whether to choose Angel One over a competitor, the experience is less satisfying, because comparative information (fees, tools, support quality) is scattered across several pages rather than presented together.</w:t>
            </w:r>
          </w:p>
        </w:tc>
      </w:tr>
    </w:tbl>
    <w:p>
      <w:pPr>
        <w:pStyle w:val="Heading1"/>
        <w:spacing w:after="150" w:before="300"/>
      </w:pPr>
      <w:r>
        <w:rPr>
          <w:rFonts w:ascii="Calibri" w:cs="Calibri" w:eastAsia="Calibri" w:hAnsi="Calibri"/>
          <w:b/>
          <w:bCs/>
        </w:rPr>
        <w:t xml:space="preserve">4. Evaluation Against Shneiderman's Eight Golden Rules</w:t>
      </w:r>
    </w:p>
    <w:p>
      <w:pPr>
        <w:spacing w:after="200" w:line="276"/>
      </w:pPr>
      <w:r>
        <w:rPr>
          <w:rFonts w:ascii="Calibri" w:cs="Calibri" w:eastAsia="Calibri" w:hAnsi="Calibri"/>
          <w:sz w:val="22"/>
          <w:szCs w:val="22"/>
        </w:rPr>
        <w:t xml:space="preserve">Beyond the parameter checklist, Shneiderman's Eight Golden Rules of Interface Design offer a well-established lens for judging interactive systems. Applying each rule to the Angel One website surfaces specific, actionable design gaps rather than general impressions.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500"/>
        <w:gridCol w:w="7140"/>
      </w:tblGrid>
      <w:tr>
        <w:trPr>
          <w:tblHeader/>
        </w:trPr>
        <w:tc>
          <w:tcPr>
            <w:tcW w:type="dxa" w:w="2500"/>
            <w:shd w:fill="1F3864" w:color="auto" w:val="clear"/>
            <w:tcMar>
              <w:top w:type="dxa" w:w="100"/>
              <w:left w:type="dxa" w:w="100"/>
              <w:bottom w:type="dxa" w:w="100"/>
              <w:right w:type="dxa" w:w="100"/>
            </w:tcMar>
          </w:tcPr>
          <w:p>
            <w:pPr>
              <w:spacing w:after="100" w:line="264"/>
            </w:pPr>
            <w:r>
              <w:rPr>
                <w:rFonts w:ascii="Calibri" w:cs="Calibri" w:eastAsia="Calibri" w:hAnsi="Calibri"/>
                <w:b/>
                <w:bCs/>
                <w:color w:val="FFFFFF"/>
                <w:sz w:val="20"/>
                <w:szCs w:val="20"/>
              </w:rPr>
              <w:t xml:space="preserve">Golden Rule</w:t>
            </w:r>
          </w:p>
        </w:tc>
        <w:tc>
          <w:tcPr>
            <w:tcW w:type="dxa" w:w="7140"/>
            <w:shd w:fill="1F3864" w:color="auto" w:val="clear"/>
            <w:tcMar>
              <w:top w:type="dxa" w:w="100"/>
              <w:left w:type="dxa" w:w="100"/>
              <w:bottom w:type="dxa" w:w="100"/>
              <w:right w:type="dxa" w:w="100"/>
            </w:tcMar>
          </w:tcPr>
          <w:p>
            <w:pPr>
              <w:spacing w:after="100" w:line="264"/>
            </w:pPr>
            <w:r>
              <w:rPr>
                <w:rFonts w:ascii="Calibri" w:cs="Calibri" w:eastAsia="Calibri" w:hAnsi="Calibri"/>
                <w:b/>
                <w:bCs/>
                <w:color w:val="FFFFFF"/>
                <w:sz w:val="20"/>
                <w:szCs w:val="20"/>
              </w:rPr>
              <w:t xml:space="preserve">How the Interface Measures Up</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1. Strive for consistency</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Partially met. The marketing site is internally consistent in colour and card layout, but the trading app and web platform use a noticeably denser, data-table-driven interface, so a user moving from "deciding to invest" to "actually trading" experiences a real shift in interaction style.</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2. Seek universal usability</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Not fully met. There is no visible contrast or text-resize toggle, and several interactive elements such as calculator sliders assume mouse or touch input, which is a gap for a platform that explicitly markets itself as being for "everyone", including first-time and less tech-comfortable investors.</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3. Offer informative feedback</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Largely met during account opening, where each OTP and verification step confirms success clearly. Feedback is weaker on informational and comparison pages, where loading states for live data (prices, calculators) are not always clearly signalled.</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4. Design dialogues to yield closure</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Well met for the account-opening flow specifically, which has a clear beginning (mobile number) and end (confirmation of a funded, active account). It is less true of general browsing, where a visitor comparing products can move between pricing, blog, and calculator pages without a clear sense of having "finished" their research.</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5. Prevent errors</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Reasonably well met at the form level: PAN format, mobile number format, and required documents are validated or explained before submission, which heads off a class of avoidable mistakes common in KYC-heavy sign-up flows.</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6. Permit easy reversal of actions</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Adequate within the account-opening flow, where earlier steps such as re-entering mobile number or PAN can be revisited before final e-Sign. Reversal is less visible on the marketing site itself, where there is no equivalent of an easy "undo" once a visitor has left one comparison page for another.</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7. Keep users in control</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Mixed. Product tabs, watchlists, and notification settings give an existing user granular control over what they see and are notified about. A first-time visitor to the marketing homepage, by contrast, is guided fairly firmly toward the sign-up CTA, with less control over skipping straight to the comparative information they may actually want.</w:t>
            </w:r>
          </w:p>
        </w:tc>
      </w:tr>
      <w:tr>
        <w:tc>
          <w:tcPr>
            <w:tcW w:type="dxa" w:w="2500"/>
            <w:tcMar>
              <w:top w:type="dxa" w:w="100"/>
              <w:left w:type="dxa" w:w="100"/>
              <w:bottom w:type="dxa" w:w="100"/>
              <w:right w:type="dxa" w:w="100"/>
            </w:tcMar>
          </w:tcPr>
          <w:p>
            <w:pPr>
              <w:spacing w:after="100" w:line="264"/>
            </w:pPr>
            <w:r>
              <w:rPr>
                <w:rFonts w:ascii="Calibri" w:cs="Calibri" w:eastAsia="Calibri" w:hAnsi="Calibri"/>
                <w:b/>
                <w:bCs/>
                <w:sz w:val="20"/>
                <w:szCs w:val="20"/>
              </w:rPr>
              <w:t xml:space="preserve">8. Reduce short-term memory load</w:t>
            </w:r>
          </w:p>
        </w:tc>
        <w:tc>
          <w:tcPr>
            <w:tcW w:type="dxa" w:w="7140"/>
            <w:tcMar>
              <w:top w:type="dxa" w:w="100"/>
              <w:left w:type="dxa" w:w="100"/>
              <w:bottom w:type="dxa" w:w="100"/>
              <w:right w:type="dxa" w:w="100"/>
            </w:tcMar>
          </w:tcPr>
          <w:p>
            <w:pPr>
              <w:spacing w:after="100" w:line="264"/>
            </w:pPr>
            <w:r>
              <w:rPr>
                <w:rFonts w:ascii="Calibri" w:cs="Calibri" w:eastAsia="Calibri" w:hAnsi="Calibri"/>
                <w:b w:val="false"/>
                <w:bCs w:val="false"/>
                <w:sz w:val="20"/>
                <w:szCs w:val="20"/>
              </w:rPr>
              <w:t xml:space="preserve">Adequate. Most marketing content is presented in self-contained cards rather than multi-step sequences a visitor must remember, so the main cost is scrolling and re-locating information rather than holding details in memory.</w:t>
            </w:r>
          </w:p>
        </w:tc>
      </w:tr>
    </w:tbl>
    <w:p>
      <w:pPr>
        <w:pStyle w:val="Heading1"/>
        <w:spacing w:after="150" w:before="300"/>
      </w:pPr>
      <w:r>
        <w:rPr>
          <w:rFonts w:ascii="Calibri" w:cs="Calibri" w:eastAsia="Calibri" w:hAnsi="Calibri"/>
          <w:b/>
          <w:bCs/>
        </w:rPr>
        <w:t xml:space="preserve">5. Key Design Problems Identified</w:t>
      </w:r>
    </w:p>
    <w:p>
      <w:pPr>
        <w:pStyle w:val="ListParagraph"/>
        <w:numPr>
          <w:ilvl w:val="0"/>
          <w:numId w:val="1"/>
        </w:numPr>
        <w:spacing w:after="150" w:line="276"/>
      </w:pPr>
      <w:r>
        <w:rPr>
          <w:rFonts w:ascii="Calibri" w:cs="Calibri" w:eastAsia="Calibri" w:hAnsi="Calibri"/>
          <w:sz w:val="22"/>
          <w:szCs w:val="22"/>
        </w:rPr>
        <w:t xml:space="preserve">Two competing primary calls to action: account opening and app download are both given maximum visual weight on the same pages, which dilutes the clarity of either goal for the visitor.</w:t>
      </w:r>
    </w:p>
    <w:p>
      <w:pPr>
        <w:pStyle w:val="ListParagraph"/>
        <w:numPr>
          <w:ilvl w:val="0"/>
          <w:numId w:val="1"/>
        </w:numPr>
        <w:spacing w:after="150" w:line="276"/>
      </w:pPr>
      <w:r>
        <w:rPr>
          <w:rFonts w:ascii="Calibri" w:cs="Calibri" w:eastAsia="Calibri" w:hAnsi="Calibri"/>
          <w:sz w:val="22"/>
          <w:szCs w:val="22"/>
        </w:rPr>
        <w:t xml:space="preserve">Comparative information is scattered: brokerage charges, product features, and platform tools each live on separate pages rather than a single place a prospective customer could use to evaluate Angel One against a competitor in one pass.</w:t>
      </w:r>
    </w:p>
    <w:p>
      <w:pPr>
        <w:pStyle w:val="ListParagraph"/>
        <w:numPr>
          <w:ilvl w:val="0"/>
          <w:numId w:val="1"/>
        </w:numPr>
        <w:spacing w:after="150" w:line="276"/>
      </w:pPr>
      <w:r>
        <w:rPr>
          <w:rFonts w:ascii="Calibri" w:cs="Calibri" w:eastAsia="Calibri" w:hAnsi="Calibri"/>
          <w:sz w:val="22"/>
          <w:szCs w:val="22"/>
        </w:rPr>
        <w:t xml:space="preserve">No accessibility fallback: the site offers no contrast or text-size controls, and some interactive tools (sliders, drag-based calculators) are not clearly keyboard-operable.</w:t>
      </w:r>
    </w:p>
    <w:p>
      <w:pPr>
        <w:pStyle w:val="ListParagraph"/>
        <w:numPr>
          <w:ilvl w:val="0"/>
          <w:numId w:val="1"/>
        </w:numPr>
        <w:spacing w:after="150" w:line="276"/>
      </w:pPr>
      <w:r>
        <w:rPr>
          <w:rFonts w:ascii="Calibri" w:cs="Calibri" w:eastAsia="Calibri" w:hAnsi="Calibri"/>
          <w:sz w:val="22"/>
          <w:szCs w:val="22"/>
        </w:rPr>
        <w:t xml:space="preserve">Marketing-to-product handoff feels abrupt: the promotional website's card-based, conversion-oriented layout is visually distinct from the denser, data-table-driven trading app and web platform a user lands in immediately after signing up.</w:t>
      </w:r>
    </w:p>
    <w:p>
      <w:pPr>
        <w:pStyle w:val="ListParagraph"/>
        <w:numPr>
          <w:ilvl w:val="0"/>
          <w:numId w:val="1"/>
        </w:numPr>
        <w:spacing w:after="150" w:line="276"/>
      </w:pPr>
      <w:r>
        <w:rPr>
          <w:rFonts w:ascii="Calibri" w:cs="Calibri" w:eastAsia="Calibri" w:hAnsi="Calibri"/>
          <w:sz w:val="22"/>
          <w:szCs w:val="22"/>
        </w:rPr>
        <w:t xml:space="preserve">No role-based routing on the homepage: a student researching the company, an experienced trader comparing brokers, and a first-time investor opening an account all see an identical page with no early option to skip to what is relevant to them.</w:t>
      </w:r>
    </w:p>
    <w:p>
      <w:pPr>
        <w:pStyle w:val="Heading1"/>
        <w:spacing w:after="150" w:before="300"/>
      </w:pPr>
      <w:r>
        <w:rPr>
          <w:rFonts w:ascii="Calibri" w:cs="Calibri" w:eastAsia="Calibri" w:hAnsi="Calibri"/>
          <w:b/>
          <w:bCs/>
        </w:rPr>
        <w:t xml:space="preserve">6. Recommendations</w:t>
      </w:r>
    </w:p>
    <w:p>
      <w:pPr>
        <w:spacing w:after="200" w:line="276"/>
      </w:pPr>
      <w:r>
        <w:rPr>
          <w:rFonts w:ascii="Calibri" w:cs="Calibri" w:eastAsia="Calibri" w:hAnsi="Calibri"/>
          <w:sz w:val="22"/>
          <w:szCs w:val="22"/>
        </w:rPr>
        <w:t xml:space="preserve">A few targeted changes would address most of the issues raised without a full redesign. First, the account-opening and app-download prompts should be prioritised rather than run in parallel at equal visual weight, since asking a visitor to choose between two near-identical top actions adds friction rather than removing it. Second, a single consolidated "Compare Angel One" or pricing-and-features page would let a prospective customer see charges, products, and tools together instead of piecing this together from several pages. Third, adding a visible contrast toggle and ensuring calculator-style widgets are keyboard-operable would bring the site closer to the universal-usability standard it implicitly claims by marketing itself to first-time investors. Fourth, introducing a lightweight, shared visual language between the marketing site and the in-app experience, even if the underlying interaction density stays different, would soften the jump a new user feels immediately after account activation. Finally, a brief intent-based entry point on the homepage, such as "I'm ready to open an account", "I'm comparing brokers", or "I already have an account", would let each visitor type skip past content that is not relevant to why they arrived.</w:t>
      </w:r>
    </w:p>
    <w:p>
      <w:pPr>
        <w:pStyle w:val="Heading1"/>
        <w:spacing w:after="150" w:before="300"/>
      </w:pPr>
      <w:r>
        <w:rPr>
          <w:rFonts w:ascii="Calibri" w:cs="Calibri" w:eastAsia="Calibri" w:hAnsi="Calibri"/>
          <w:b/>
          <w:bCs/>
        </w:rPr>
        <w:t xml:space="preserve">7. Conclusion</w:t>
      </w:r>
    </w:p>
    <w:p>
      <w:pPr>
        <w:spacing w:after="200" w:line="276"/>
      </w:pPr>
      <w:r>
        <w:rPr>
          <w:rFonts w:ascii="Calibri" w:cs="Calibri" w:eastAsia="Calibri" w:hAnsi="Calibri"/>
          <w:sz w:val="22"/>
          <w:szCs w:val="22"/>
        </w:rPr>
        <w:t xml:space="preserve">The Angel One website is effective at what it is primarily built to do: convert a visitor into a funded, active trading account with minimal friction, backed by clear regulatory and security disclosures that matter for a platform handling money and securities. Its principal weakness is not missing functionality but competing priorities and scattered information: account-opening and app-download prompts compete for the same visual space, comparative product and pricing information is spread across multiple pages rather than consolidated, and the transition from the marketing site's card-based layout to the trading platform's denser, data-heavy interface is not softened by any shared visual language. For a platform whose stated audience ranges from first-time investors to experienced traders, tightening the visual hierarchy around a single primary action, consolidating comparison-relevant information, and closing the accessibility gaps identified above would bring the site's usability closer to the standard of the financial trust it works hard to establish elsewhere.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2026-08-07T07:18:00.382Z</dcterms:created>
  <dcterms:modified xsi:type="dcterms:W3CDTF">2026-08-07T07:18:00.396Z</dcterms:modified>
</cp:coreProperties>
</file>

<file path=docProps/custom.xml><?xml version="1.0" encoding="utf-8"?>
<Properties xmlns="http://schemas.openxmlformats.org/officeDocument/2006/custom-properties" xmlns:vt="http://schemas.openxmlformats.org/officeDocument/2006/docPropsVTypes"/>
</file>