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ptos" w:hAnsi="Aptos"/>
          <w:b/>
          <w:color w:val="D65A31"/>
          <w:sz w:val="20"/>
        </w:rPr>
        <w:t>CCA-3 UX EVALUATION</w:t>
      </w:r>
    </w:p>
    <w:p>
      <w:pPr>
        <w:pStyle w:val="Title"/>
      </w:pPr>
      <w:r>
        <w:t>Simplified Investment Interface</w:t>
      </w:r>
    </w:p>
    <w:p>
      <w:pPr>
        <w:spacing w:after="200"/>
      </w:pPr>
      <w:r>
        <w:rPr>
          <w:color w:val="5F6977"/>
          <w:sz w:val="30"/>
        </w:rPr>
        <w:t>Conclusion report</w:t>
      </w:r>
    </w:p>
    <w:tbl>
      <w:tblPr>
        <w:tblW w:type="auto" w:w="0"/>
        <w:jc w:val="left"/>
        <w:tblLayout w:type="fixed"/>
        <w:tblLook w:firstColumn="1" w:firstRow="1" w:lastColumn="0" w:lastRow="0" w:noHBand="0" w:noVBand="1" w:val="04A0"/>
      </w:tblPr>
      <w:tblGrid>
        <w:gridCol w:w="2088"/>
        <w:gridCol w:w="8352"/>
      </w:tblGrid>
      <w:tr>
        <w:tc>
          <w:tcPr>
            <w:tcW w:type="dxa" w:w="2088"/>
            <w:vAlign w:val="center"/>
            <w:shd w:fill="F4F6F8"/>
          </w:tcPr>
          <w:p>
            <w:pPr>
              <w:spacing w:before="40" w:after="40"/>
            </w:pPr>
            <w:r>
              <w:rPr>
                <w:rFonts w:ascii="Aptos" w:hAnsi="Aptos"/>
                <w:b/>
                <w:color w:val="18243A"/>
                <w:sz w:val="17"/>
              </w:rPr>
              <w:t>Group</w:t>
            </w:r>
          </w:p>
        </w:tc>
        <w:tc>
          <w:tcPr>
            <w:tcW w:type="dxa" w:w="8352"/>
            <w:vAlign w:val="center"/>
            <w:shd w:fill="F4F6F8"/>
          </w:tcPr>
          <w:p>
            <w:pPr>
              <w:spacing w:before="40" w:after="40"/>
            </w:pPr>
            <w:r>
              <w:rPr>
                <w:rFonts w:ascii="Aptos" w:hAnsi="Aptos"/>
                <w:sz w:val="17"/>
              </w:rPr>
              <w:t>6</w:t>
            </w:r>
          </w:p>
        </w:tc>
      </w:tr>
      <w:tr>
        <w:tc>
          <w:tcPr>
            <w:tcW w:type="dxa" w:w="2088"/>
            <w:vAlign w:val="center"/>
            <w:shd w:fill="FAFBFC"/>
          </w:tcPr>
          <w:p>
            <w:pPr>
              <w:spacing w:before="40" w:after="40"/>
            </w:pPr>
            <w:r>
              <w:rPr>
                <w:rFonts w:ascii="Aptos" w:hAnsi="Aptos"/>
                <w:b/>
                <w:color w:val="18243A"/>
                <w:sz w:val="17"/>
              </w:rPr>
              <w:t>Group members</w:t>
            </w:r>
          </w:p>
        </w:tc>
        <w:tc>
          <w:tcPr>
            <w:tcW w:type="dxa" w:w="8352"/>
            <w:vAlign w:val="center"/>
            <w:shd w:fill="FAFBFC"/>
          </w:tcPr>
          <w:p>
            <w:pPr>
              <w:spacing w:before="40" w:after="40"/>
            </w:pPr>
            <w:r>
              <w:rPr>
                <w:rFonts w:ascii="Aptos" w:hAnsi="Aptos"/>
                <w:sz w:val="17"/>
              </w:rPr>
              <w:t>Ayan Ahmad (PRN 1032232862) · Omkar Gawas (PRN 1032232971)</w:t>
            </w:r>
          </w:p>
        </w:tc>
      </w:tr>
      <w:tr>
        <w:tc>
          <w:tcPr>
            <w:tcW w:type="dxa" w:w="2088"/>
            <w:vAlign w:val="center"/>
            <w:shd w:fill="F4F6F8"/>
          </w:tcPr>
          <w:p>
            <w:pPr>
              <w:spacing w:before="40" w:after="40"/>
            </w:pPr>
            <w:r>
              <w:rPr>
                <w:rFonts w:ascii="Aptos" w:hAnsi="Aptos"/>
                <w:b/>
                <w:color w:val="18243A"/>
                <w:sz w:val="17"/>
              </w:rPr>
              <w:t>Final prototype</w:t>
            </w:r>
          </w:p>
        </w:tc>
        <w:tc>
          <w:tcPr>
            <w:tcW w:type="dxa" w:w="8352"/>
            <w:vAlign w:val="center"/>
            <w:shd w:fill="F4F6F8"/>
          </w:tcPr>
          <w:p>
            <w:pPr>
              <w:spacing w:before="40" w:after="40"/>
            </w:pPr>
            <w:hyperlink r:id="rId11">
              <w:r>
                <w:rPr>
                  <w:color w:val="1769AA"/>
                  <w:u w:val="single"/>
                </w:rPr>
                <w:t>Open Figma Make prototype</w:t>
              </w:r>
            </w:hyperlink>
          </w:p>
        </w:tc>
      </w:tr>
    </w:tbl>
    <w:p>
      <w:pPr>
        <w:pStyle w:val="Heading1"/>
        <w:keepNext/>
      </w:pPr>
      <w:r>
        <w:t>Overview</w:t>
      </w:r>
    </w:p>
    <w:p>
      <w:r>
        <w:t>For our CCA-3 project, we redesigned the Angel One website to make it easier for beginners to explore investment options. We also added accessibility settings for people who find small text or low contrast difficult to read.</w:t>
      </w:r>
    </w:p>
    <w:p>
      <w:r>
        <w:t>We reviewed five paired participant transcripts. The tasks covered finding mutual funds and beginner information, using the SIP calculator, adjusting text and contrast, navigating with the keyboard, and exploring investment categories and comparisons. The comments helped us understand what felt easier in the redesign and which parts still need work.</w:t>
      </w:r>
    </w:p>
    <w:p>
      <w:pPr>
        <w:pStyle w:val="Heading1"/>
        <w:keepNext/>
      </w:pPr>
      <w:r>
        <w:t>Problems with the original Angel One website</w:t>
      </w:r>
    </w:p>
    <w:p>
      <w:r>
        <w:t>The original website offered a wide range of investment information, but participants sometimes found it difficult to know where to start. Participant 1 had trouble understanding terms such as NAV and expense ratio and wanted clearer guidance for first-time investors. Participant 2 needed extra time to locate the SIP calculator and found the result difficult to interpret.</w:t>
      </w:r>
    </w:p>
    <w:p>
      <w:r>
        <w:t>Participant 3 found some text too small and relied on browser zoom, which made the page harder to move around. Participant 4 found keyboard navigation tiring and wanted a more visible indication of which item was selected. Participant 5 felt that comparing investments involved moving between sections and reading a lot of information.</w:t>
      </w:r>
    </w:p>
    <w:p>
      <w:pPr>
        <w:pStyle w:val="Heading1"/>
        <w:keepNext/>
      </w:pPr>
      <w:r>
        <w:t>What worked well in the redesign</w:t>
      </w:r>
    </w:p>
    <w:p>
      <w:pPr>
        <w:pStyle w:val="Heading2"/>
        <w:keepNext/>
      </w:pPr>
      <w:r>
        <w:t>Simpler navigation and investment discovery</w:t>
      </w:r>
    </w:p>
    <w:p>
      <w:r>
        <w:t>The cleaner layout and clearer navigation made the main sections easier to find. Participant 1 located Mutual Funds and Learn more comfortably, while Participant 5 found Stocks, Mutual Funds, IPOs, and the comparison section easier to explore.</w:t>
      </w:r>
    </w:p>
    <w:p>
      <w:pPr>
        <w:pStyle w:val="Heading2"/>
        <w:keepNext/>
      </w:pPr>
      <w:r>
        <w:t>SIP calculator</w:t>
      </w:r>
    </w:p>
    <w:p>
      <w:r>
        <w:t>The SIP calculator was quicker for Participant 2 to locate and its input layout felt clearer. The participant could change the monthly amount and see the result update, though the calculation still needed a clearer explanation.</w:t>
      </w:r>
    </w:p>
    <w:p>
      <w:pPr>
        <w:pStyle w:val="Heading2"/>
        <w:keepNext/>
      </w:pPr>
      <w:r>
        <w:t>Accessibility settings</w:t>
      </w:r>
    </w:p>
    <w:p>
      <w:r>
        <w:t>The accessibility settings were an important addition. Participant 3 found the larger text and High-Contrast Mode more comfortable than relying on browser zoom. The participant also said the accessibility button could be more noticeable and that Reading Comfort needed a short explanation.</w:t>
      </w:r>
    </w:p>
    <w:p>
      <w:pPr>
        <w:pStyle w:val="Heading2"/>
        <w:keepNext/>
      </w:pPr>
      <w:r>
        <w:t>Keyboard navigation</w:t>
      </w:r>
    </w:p>
    <w:p>
      <w:r>
        <w:t>Keyboard navigation felt more straightforward to Participant 4, who could move through the login and account-opening screens. The participant still wanted permanent field labels, a thicker focus outline, and a progress indicator for the account-opening process.</w:t>
      </w:r>
    </w:p>
    <w:p>
      <w:pPr>
        <w:pStyle w:val="Heading1"/>
        <w:keepNext/>
      </w:pPr>
      <w:r>
        <w:t>Problems that remain</w:t>
      </w:r>
    </w:p>
    <w:p>
      <w:r>
        <w:t>Some financial terms are still difficult for beginners. NAV, expense ratio, and investment risk need simple explanations or information hints. The SIP calculator should show its assumed return rate, the amount invested, and the estimated earnings separately so users do not mistake a projection for a guaranteed outcome.</w:t>
      </w:r>
    </w:p>
    <w:p>
      <w:r>
        <w:t>The accessibility options need clearer labels and descriptions, particularly Reading Comfort and Reduced Motion. The account-opening form should use labels that remain visible after a user starts typing. The keyboard focus indicator should be stronger, and a progress indicator would make the account-opening process easier to understand.</w:t>
      </w:r>
    </w:p>
    <w:p>
      <w:pPr>
        <w:pStyle w:val="Heading1"/>
        <w:keepNext/>
      </w:pPr>
      <w:r>
        <w:t>Recommendations</w:t>
      </w:r>
    </w:p>
    <w:p>
      <w:pPr>
        <w:pStyle w:val="ListNumber"/>
        <w:spacing w:after="60"/>
      </w:pPr>
      <w:r>
        <w:t>Add beginner-friendly explanations for common financial terms.</w:t>
      </w:r>
    </w:p>
    <w:p>
      <w:pPr>
        <w:pStyle w:val="ListNumber"/>
        <w:spacing w:after="60"/>
      </w:pPr>
      <w:r>
        <w:t>Show the SIP calculator’s assumptions and separate invested amount from estimated returns.</w:t>
      </w:r>
    </w:p>
    <w:p>
      <w:pPr>
        <w:pStyle w:val="ListNumber"/>
        <w:spacing w:after="60"/>
      </w:pPr>
      <w:r>
        <w:t>Make the accessibility control easier to see and explain each setting in plain language.</w:t>
      </w:r>
    </w:p>
    <w:p>
      <w:pPr>
        <w:pStyle w:val="ListNumber"/>
        <w:spacing w:after="60"/>
      </w:pPr>
      <w:r>
        <w:t>Keep form labels visible, strengthen keyboard focus, and show progress through multi-step forms.</w:t>
      </w:r>
    </w:p>
    <w:p>
      <w:pPr>
        <w:pStyle w:val="ListNumber"/>
        <w:spacing w:after="60"/>
      </w:pPr>
      <w:r>
        <w:t>Explain investment risks and comparisons more clearly for people new to investing.</w:t>
      </w:r>
    </w:p>
    <w:p>
      <w:pPr>
        <w:pStyle w:val="ListNumber"/>
        <w:spacing w:after="60"/>
      </w:pPr>
      <w:r>
        <w:t>Continue testing with users who have different visual and access needs. If quantitative evaluation is required, record task completion, errors, and time rather than relying only on opinions.</w:t>
      </w:r>
    </w:p>
    <w:p>
      <w:pPr>
        <w:pStyle w:val="Heading1"/>
        <w:keepNext/>
        <w:pageBreakBefore/>
      </w:pPr>
      <w:r>
        <w:t>Final remarks</w:t>
      </w:r>
    </w:p>
    <w:p>
      <w:r>
        <w:t>This project showed us that simplifying a financial website is not only about reducing the amount of content on the screen. Users also need clear labels, explanations, and feedback so they can understand what they are doing. The comments suggest that the redesigned interface made navigation less confusing and gave users more control over text size and contrast.</w:t>
      </w:r>
    </w:p>
    <w:p>
      <w:r>
        <w:t>At the same time, the testing helped us notice details that still need improvement, especially financial terminology, calculator explanations, and the visibility of accessibility controls. The keyboard walkthrough also showed the importance of permanent form labels and clear focus indicators.</w:t>
      </w:r>
    </w:p>
    <w:p>
      <w:r>
        <w:t>Overall, the redesign is a useful step toward making the investment interface more approachable for beginners and more comfortable for people with visual accessibility needs. The findings are based on five supplied participant transcripts, so they should be treated as exploratory feedback rather than proof of overall performance or formal accessibility compliance.</w:t>
      </w:r>
    </w:p>
    <w:p>
      <w:pPr>
        <w:pStyle w:val="Heading1"/>
        <w:keepNext/>
      </w:pPr>
      <w:r>
        <w:t>Study note</w:t>
      </w:r>
    </w:p>
    <w:p>
      <w:r>
        <w:t>This report is based on the five supplied paired comment transcripts in the project repository. No numeric questionnaire ratings or survey export were present during preparation, so no numerical UX score is reported. The written comments have not been independently verified against the audio recordings.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D7A"/>
        <w:sz w:val="16"/>
      </w:rPr>
      <w:t>Simplified Investment Interface  •  Usability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D7A"/>
        <w:sz w:val="16"/>
      </w:rPr>
      <w:t>UI/UX CCA-3  |  GROUP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B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8243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D65A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gma.com/make/NzYSDmFdmJVzqIUFs9Zsjm/Simplified-Investment-Interface?p=f&amp;fullscre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CCA-3 UX Evaluation — Simplified Investment Interface</dc:title>
  <dc:subject>Conclusion report based on five supplied participant transcript pairs</dc:subject>
  <dc:creator>UI/UX CCA-3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