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t>آیین‌نامه مرخصی و ساعت کاری</w:t>
      </w:r>
    </w:p>
    <w:p>
      <w:pPr>
        <w:bidi/>
      </w:pPr>
      <w:r>
        <w:t>ساعت کاری رسمی شرکت از شنبه تا چهارشنبه، از ساعت ۸:۳۰ تا ۱۷:۰۰ است و یک ساعت استراحت ناهار در آن لحاظ شده است.</w:t>
      </w:r>
    </w:p>
    <w:p>
      <w:pPr>
        <w:bidi/>
      </w:pPr>
      <w:r>
        <w:t>هر کارمند در سال ۲۶ روز کاری مرخصی استحقاقی دارد. مرخصی استفاده‌نشده تا سقف ده روز به سال بعد منتقل می‌شود و مازاد آن در پایان سال تسویه می‌گردد.</w:t>
      </w:r>
    </w:p>
    <w:p>
      <w:pPr>
        <w:bidi/>
      </w:pPr>
      <w:r>
        <w:t>درخواست مرخصی بیش از سه روز باید حداقل ده روز قبل از طریق سامانه منابع انسانی ثبت و به تأیید مدیر مستقیم برسد.</w:t>
      </w:r>
    </w:p>
    <w:p>
      <w:pPr>
        <w:bidi/>
      </w:pPr>
      <w:r>
        <w:t>مرخصی استعلاجی با ارائه گواهی پزشکی معتبر و بدون کسر از مرخصی استحقاقی محاسبه می‌شود. مدت آن حداکثر نود روز در سال است.</w:t>
      </w:r>
    </w:p>
    <w:p>
      <w:pPr>
        <w:bidi/>
      </w:pPr>
      <w:r>
        <w:t>دورکاری برای پوزیشن‌های فنی تا دو روز در هفته مجاز است. روزهای دورکاری باید هفته قبل با مدیر تیم هماهنگ شود و کارمند در ساعات هسته‌ای ۱۰ تا ۱۵ در دسترس باشد.</w:t>
      </w:r>
    </w:p>
    <w:p>
      <w:pPr>
        <w:bidi/>
      </w:pPr>
      <w:r>
        <w:t>اضافه‌کاری فقط با دستور کتبی مدیر انجام می‌شود و با ضریب ۱٫۴ نسبت به حقوق ساعتی پرداخت می‌گردد. سقف اضافه‌کاری مجاز ماهانه چهل ساعت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