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گزارش فصلی فروش</w:t>
      </w:r>
    </w:p>
    <w:p>
      <w:pPr>
        <w:bidi/>
      </w:pPr>
      <w:r>
        <w:t>فروش خالص در فصل سوم سال ۱۴۰۴ به ۴٫۲ میلیارد تومان رسید که نسبت به فصل قبل ۱۸ درصد رشد داشته است.</w:t>
      </w:r>
    </w:p>
    <w:p>
      <w:pPr>
        <w:bidi/>
      </w:pPr>
      <w:r>
        <w:t>بیشترین سهم رشد مربوط به خدمات ابری با ۳۵ درصد افزایش بود. فروش محصولات سخت‌افزاری به دلیل کمبود موجودی انبار ۶ درصد کاهش یافت.</w:t>
      </w:r>
    </w:p>
    <w:p>
      <w:pPr>
        <w:bidi/>
      </w:pPr>
      <w:r>
        <w:t>نرخ حفظ مشتری در این فصل ۹۱ درصد بود و تعداد مشتریان فعال از ۳۲۰ به ۳۶۷ شرکت افزایش یافت.</w:t>
      </w:r>
    </w:p>
    <w:p>
      <w:pPr>
        <w:bidi/>
      </w:pPr>
      <w:r>
        <w:t>هدف فصل چهارم، دستیابی به فروش ۵ میلیارد تومان و راه‌اندازی دفتر جدید در اصفهان است. بودجه بازاریابی برای این فصل ۴۵۰ میلیون تومان تعیین شده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محصول</w:t>
            </w:r>
          </w:p>
        </w:tc>
        <w:tc>
          <w:tcPr>
            <w:tcW w:type="dxa" w:w="2880"/>
          </w:tcPr>
          <w:p>
            <w:r>
              <w:t>فروش (میلیون تومان)</w:t>
            </w:r>
          </w:p>
        </w:tc>
        <w:tc>
          <w:tcPr>
            <w:tcW w:type="dxa" w:w="2880"/>
          </w:tcPr>
          <w:p>
            <w:r>
              <w:t>تغییر نسبت به فصل قبل</w:t>
            </w:r>
          </w:p>
        </w:tc>
      </w:tr>
      <w:tr>
        <w:tc>
          <w:tcPr>
            <w:tcW w:type="dxa" w:w="2880"/>
          </w:tcPr>
          <w:p>
            <w:r>
              <w:t>خدمات ابری</w:t>
            </w:r>
          </w:p>
        </w:tc>
        <w:tc>
          <w:tcPr>
            <w:tcW w:type="dxa" w:w="2880"/>
          </w:tcPr>
          <w:p>
            <w:r>
              <w:t>2,150</w:t>
            </w:r>
          </w:p>
        </w:tc>
        <w:tc>
          <w:tcPr>
            <w:tcW w:type="dxa" w:w="2880"/>
          </w:tcPr>
          <w:p>
            <w:r>
              <w:t>+۳۵٪</w:t>
            </w:r>
          </w:p>
        </w:tc>
      </w:tr>
      <w:tr>
        <w:tc>
          <w:tcPr>
            <w:tcW w:type="dxa" w:w="2880"/>
          </w:tcPr>
          <w:p>
            <w:r>
              <w:t>نرم‌افزار سازمانی</w:t>
            </w:r>
          </w:p>
        </w:tc>
        <w:tc>
          <w:tcPr>
            <w:tcW w:type="dxa" w:w="2880"/>
          </w:tcPr>
          <w:p>
            <w:r>
              <w:t>1,430</w:t>
            </w:r>
          </w:p>
        </w:tc>
        <w:tc>
          <w:tcPr>
            <w:tcW w:type="dxa" w:w="2880"/>
          </w:tcPr>
          <w:p>
            <w:r>
              <w:t>+۹٪</w:t>
            </w:r>
          </w:p>
        </w:tc>
      </w:tr>
      <w:tr>
        <w:tc>
          <w:tcPr>
            <w:tcW w:type="dxa" w:w="2880"/>
          </w:tcPr>
          <w:p>
            <w:r>
              <w:t>سخت‌افزار</w:t>
            </w:r>
          </w:p>
        </w:tc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−۶٪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