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Historias de Usuario — Sistema JASRAPO</w:t>
      </w:r>
    </w:p>
    <w:p>
      <w:pPr>
        <w:spacing w:after="360"/>
      </w:pPr>
      <w:r>
        <w:t>Junta Administradora de Agua Potable y Saneamiento (Olón, Las Núñez, La Entrada, Curia, San José)</w:t>
        <w:br/>
        <w:t>Versión: 1.0.0 | Fecha: 2026-08</w:t>
      </w:r>
    </w:p>
    <w:p>
      <w:pPr>
        <w:pStyle w:val="Heading1"/>
      </w:pPr>
      <w:r>
        <w:t>1. Introducción y Alcance</w:t>
      </w:r>
    </w:p>
    <w:p>
      <w:r>
        <w:t>El sistema JASRAPO es una plataforma integral y modular diseñada para automatizar y optimizar la gestión técnica, comercial, operativa y financiera de juntas administradoras de agua potable en el Ecuador. El presente documento consolida las Historias de Usuario (User Stories) estructuradas por épicas de negocio, definiendo roles, escenarios y criterios de aceptación verificables.</w:t>
      </w:r>
    </w:p>
    <w:p>
      <w:pPr>
        <w:pStyle w:val="Heading1"/>
      </w:pPr>
      <w:r>
        <w:t>2. Matriz de Roles y Actores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Descripción y Responsabilidad</w:t>
            </w:r>
          </w:p>
        </w:tc>
      </w:tr>
      <w:tr>
        <w:tc>
          <w:tcPr>
            <w:tcW w:type="dxa" w:w="4320"/>
          </w:tcPr>
          <w:p>
            <w:r>
              <w:t>Secretaría</w:t>
            </w:r>
          </w:p>
        </w:tc>
        <w:tc>
          <w:tcPr>
            <w:tcW w:type="dxa" w:w="4320"/>
          </w:tcPr>
          <w:p>
            <w:r>
              <w:t>Registro de clientes, contratos, digitación de lecturas, emisión de planillas.</w:t>
            </w:r>
          </w:p>
        </w:tc>
      </w:tr>
      <w:tr>
        <w:tc>
          <w:tcPr>
            <w:tcW w:type="dxa" w:w="4320"/>
          </w:tcPr>
          <w:p>
            <w:r>
              <w:t>Tesorería / Caja</w:t>
            </w:r>
          </w:p>
        </w:tc>
        <w:tc>
          <w:tcPr>
            <w:tcW w:type="dxa" w:w="4320"/>
          </w:tcPr>
          <w:p>
            <w:r>
              <w:t>Apertura/cierre de cajas, recaudación en ventanilla, transferencias, convenios de pago.</w:t>
            </w:r>
          </w:p>
        </w:tc>
      </w:tr>
      <w:tr>
        <w:tc>
          <w:tcPr>
            <w:tcW w:type="dxa" w:w="4320"/>
          </w:tcPr>
          <w:p>
            <w:r>
              <w:t>Operador de Campo</w:t>
            </w:r>
          </w:p>
        </w:tc>
        <w:tc>
          <w:tcPr>
            <w:tcW w:type="dxa" w:w="4320"/>
          </w:tcPr>
          <w:p>
            <w:r>
              <w:t>Hojas de ruta territoriales, toma de lecturas e inspección de anomalías.</w:t>
            </w:r>
          </w:p>
        </w:tc>
      </w:tr>
      <w:tr>
        <w:tc>
          <w:tcPr>
            <w:tcW w:type="dxa" w:w="4320"/>
          </w:tcPr>
          <w:p>
            <w:r>
              <w:t>Presidencia / Directiva</w:t>
            </w:r>
          </w:p>
        </w:tc>
        <w:tc>
          <w:tcPr>
            <w:tcW w:type="dxa" w:w="4320"/>
          </w:tcPr>
          <w:p>
            <w:r>
              <w:t>Supervisión, autorizaciones de refacturación, convenios y balances.</w:t>
            </w:r>
          </w:p>
        </w:tc>
      </w:tr>
      <w:tr>
        <w:tc>
          <w:tcPr>
            <w:tcW w:type="dxa" w:w="4320"/>
          </w:tcPr>
          <w:p>
            <w:r>
              <w:t>Contabilidad / Fiscal</w:t>
            </w:r>
          </w:p>
        </w:tc>
        <w:tc>
          <w:tcPr>
            <w:tcW w:type="dxa" w:w="4320"/>
          </w:tcPr>
          <w:p>
            <w:r>
              <w:t>Monitoreo de comprobantes electrónicos autorizados ante el SRI.</w:t>
            </w:r>
          </w:p>
        </w:tc>
      </w:tr>
      <w:tr>
        <w:tc>
          <w:tcPr>
            <w:tcW w:type="dxa" w:w="4320"/>
          </w:tcPr>
          <w:p>
            <w:r>
              <w:t>Cliente / Usuario Final</w:t>
            </w:r>
          </w:p>
        </w:tc>
        <w:tc>
          <w:tcPr>
            <w:tcW w:type="dxa" w:w="4320"/>
          </w:tcPr>
          <w:p>
            <w:r>
              <w:t>Consulta pública de saldos adeudados y recepción de planillas/facturas por correo.</w:t>
            </w:r>
          </w:p>
        </w:tc>
      </w:tr>
    </w:tbl>
    <w:p>
      <w:pPr>
        <w:pStyle w:val="Heading1"/>
      </w:pPr>
      <w:r>
        <w:t>3. Historias de Usuario por Épica</w:t>
      </w:r>
    </w:p>
    <w:p>
      <w:pPr>
        <w:pStyle w:val="Heading2"/>
      </w:pPr>
      <w:r>
        <w:t>Épica 1: Operaciones, Territorio y Padrón de Clientes</w:t>
      </w:r>
    </w:p>
    <w:p>
      <w:pPr>
        <w:pStyle w:val="Heading3"/>
      </w:pPr>
      <w:r>
        <w:t>HU-01: Registro y Mantenimiento del Padrón de Clientes</w:t>
      </w:r>
    </w:p>
    <w:p>
      <w:r>
        <w:rPr>
          <w:b/>
        </w:rPr>
        <w:t xml:space="preserve">Como </w:t>
      </w:r>
      <w:r>
        <w:t>Secretaria / Administrador,</w:t>
        <w:br/>
      </w:r>
      <w:r>
        <w:rPr>
          <w:b/>
        </w:rPr>
        <w:t xml:space="preserve">Quiero </w:t>
      </w:r>
      <w:r>
        <w:t>registrar y mantener actualizados los datos personales, fiscales (Cédula/RUC) y de contacto de los usuarios,</w:t>
        <w:br/>
      </w:r>
      <w:r>
        <w:rPr>
          <w:b/>
        </w:rPr>
        <w:t xml:space="preserve">Para </w:t>
      </w:r>
      <w:r>
        <w:t>asegurar un padrón comercial fidedigno y emitir comprobantes fiscales válidos ante el SRI.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Validación de cédula ecuatoriana y RUC de 13 dígitos con algoritmo verificador.</w:t>
      </w:r>
    </w:p>
    <w:p>
      <w:pPr>
        <w:pStyle w:val="ListBullet"/>
      </w:pPr>
      <w:r>
        <w:t>Escenario 2: Aplicación automática de beneficios de ley (Tercera Edad / Discapacidad) sobre el cargo fijo.</w:t>
      </w:r>
    </w:p>
    <w:p>
      <w:pPr>
        <w:pStyle w:val="ListBullet"/>
      </w:pPr>
      <w:r>
        <w:t>Escenario 3: Búsqueda instantánea por nombres, identificación o estado activo/inactivo.</w:t>
      </w:r>
    </w:p>
    <w:p>
      <w:pPr>
        <w:pStyle w:val="Heading3"/>
      </w:pPr>
      <w:r>
        <w:t>HU-02: Gestión de Contratos de Suministro y Asignación de Medidores</w:t>
      </w:r>
    </w:p>
    <w:p>
      <w:r>
        <w:rPr>
          <w:b/>
        </w:rPr>
        <w:t xml:space="preserve">Como </w:t>
      </w:r>
      <w:r>
        <w:t>Secretaria,</w:t>
        <w:br/>
      </w:r>
      <w:r>
        <w:rPr>
          <w:b/>
        </w:rPr>
        <w:t xml:space="preserve">Quiero </w:t>
      </w:r>
      <w:r>
        <w:t>vincular un cliente con un punto físico de suministro (Comunidad, Sector) y un medidor asignado,</w:t>
        <w:br/>
      </w:r>
      <w:r>
        <w:rPr>
          <w:b/>
        </w:rPr>
        <w:t xml:space="preserve">Para </w:t>
      </w:r>
      <w:r>
        <w:t>formalizar el contrato de servicio y otorgar un número de guía o cuenta único.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Transición automática del medidor de EN BODEGA a INSTALADO al asignarse.</w:t>
      </w:r>
    </w:p>
    <w:p>
      <w:pPr>
        <w:pStyle w:val="ListBullet"/>
      </w:pPr>
      <w:r>
        <w:t>Escenario 2: Pertenencia territorial a una de las 5 comunidades y asignación de categoría tarifaria.</w:t>
      </w:r>
    </w:p>
    <w:p>
      <w:pPr>
        <w:pStyle w:val="ListBullet"/>
      </w:pPr>
      <w:r>
        <w:t>Escenario 3: Histórico de cambios de titular manteniendo saldo y lecturas previas.</w:t>
      </w:r>
    </w:p>
    <w:p>
      <w:pPr>
        <w:pStyle w:val="Heading2"/>
      </w:pPr>
      <w:r>
        <w:t>Épica 2: Medición, Hojas de Ruta y Detección de Anomalías</w:t>
      </w:r>
    </w:p>
    <w:p>
      <w:pPr>
        <w:pStyle w:val="Heading3"/>
      </w:pPr>
      <w:r>
        <w:t>HU-03: Planificación y Asignación de Hojas de Ruta de Lectura</w:t>
      </w:r>
    </w:p>
    <w:p>
      <w:r>
        <w:rPr>
          <w:b/>
        </w:rPr>
        <w:t xml:space="preserve">Como </w:t>
      </w:r>
      <w:r>
        <w:t>Administrador / Secretaria,</w:t>
        <w:br/>
      </w:r>
      <w:r>
        <w:rPr>
          <w:b/>
        </w:rPr>
        <w:t xml:space="preserve">Quiero </w:t>
      </w:r>
      <w:r>
        <w:t>generar hojas de ruta territoriales ordenadas por sector y asignarlas a los operadores de campo,</w:t>
        <w:br/>
      </w:r>
      <w:r>
        <w:rPr>
          <w:b/>
        </w:rPr>
        <w:t xml:space="preserve">Para </w:t>
      </w:r>
      <w:r>
        <w:t>asegurar la cobertura mensual eficiente en la toma física de mediciones.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Agrupación ordenada de contratos por sector/comunidad para el período abierto.</w:t>
      </w:r>
    </w:p>
    <w:p>
      <w:pPr>
        <w:pStyle w:val="ListBullet"/>
      </w:pPr>
      <w:r>
        <w:t>Escenario 2: Ciclo de vida de la ruta: PENDIENTE -&gt; EN_PROGRESO -&gt; COMPLETADA.</w:t>
      </w:r>
    </w:p>
    <w:p>
      <w:pPr>
        <w:pStyle w:val="Heading3"/>
      </w:pPr>
      <w:r>
        <w:t>HU-04: Captura de Lecturas y Control de Anomalías de Consumo</w:t>
      </w:r>
    </w:p>
    <w:p>
      <w:r>
        <w:rPr>
          <w:b/>
        </w:rPr>
        <w:t xml:space="preserve">Como </w:t>
      </w:r>
      <w:r>
        <w:t>Operario de Campo / Secretaria,</w:t>
        <w:br/>
      </w:r>
      <w:r>
        <w:rPr>
          <w:b/>
        </w:rPr>
        <w:t xml:space="preserve">Quiero </w:t>
      </w:r>
      <w:r>
        <w:t>registrar la lectura actual del medidor y reportar incidentes en sitio (fugas, medidor dañado o trabado),</w:t>
        <w:br/>
      </w:r>
      <w:r>
        <w:rPr>
          <w:b/>
        </w:rPr>
        <w:t xml:space="preserve">Para </w:t>
      </w:r>
      <w:r>
        <w:t>calcular el volumen de agua consumido en m3 y evitar errores de facturación al usuario.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Cálculo automático de Consumo = Lectura Actual - Lectura Anterior.</w:t>
      </w:r>
    </w:p>
    <w:p>
      <w:pPr>
        <w:pStyle w:val="ListBullet"/>
      </w:pPr>
      <w:r>
        <w:t>Escenario 2: Detección automática de SALTO_NEGATIVO si la lectura es inferior a la previa.</w:t>
      </w:r>
    </w:p>
    <w:p>
      <w:pPr>
        <w:pStyle w:val="ListBullet"/>
      </w:pPr>
      <w:r>
        <w:t>Escenario 3: Alerta preventiva de desvío si el consumo supera el promedio histórico.</w:t>
      </w:r>
    </w:p>
    <w:p>
      <w:pPr>
        <w:pStyle w:val="Heading2"/>
      </w:pPr>
      <w:r>
        <w:t>Épica 3: Facturación, Tarifas y Distribución de Planillas</w:t>
      </w:r>
    </w:p>
    <w:p>
      <w:pPr>
        <w:pStyle w:val="Heading3"/>
      </w:pPr>
      <w:r>
        <w:t>HU-05: Generación Masiva del Lote Mensual de Prefacturas (Planillas)</w:t>
      </w:r>
    </w:p>
    <w:p>
      <w:r>
        <w:rPr>
          <w:b/>
        </w:rPr>
        <w:t xml:space="preserve">Como </w:t>
      </w:r>
      <w:r>
        <w:t>Secretaria,</w:t>
        <w:br/>
      </w:r>
      <w:r>
        <w:rPr>
          <w:b/>
        </w:rPr>
        <w:t xml:space="preserve">Quiero </w:t>
      </w:r>
      <w:r>
        <w:t>procesar en lote la generación de prefacturas mensuales por comunidad para las lecturas aprobadas,</w:t>
        <w:br/>
      </w:r>
      <w:r>
        <w:rPr>
          <w:b/>
        </w:rPr>
        <w:t xml:space="preserve">Para </w:t>
      </w:r>
      <w:r>
        <w:t>liquidar el valor total a pagar por cada hogar según los rubros tarifarios y saldos vencidos.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Liquidación escalonada: cargo fijo base + excedente m3 + tasa comunitaria + descuentos.</w:t>
      </w:r>
    </w:p>
    <w:p>
      <w:pPr>
        <w:pStyle w:val="ListBullet"/>
      </w:pPr>
      <w:r>
        <w:t>Escenario 2: Acumulación de deuda vencida e imputación de mora legal a partir del 3er mes atrasado.</w:t>
      </w:r>
    </w:p>
    <w:p>
      <w:pPr>
        <w:pStyle w:val="ListBullet"/>
      </w:pPr>
      <w:r>
        <w:t>Escenario 3: Congelamiento e inmutabilidad de detalles al aprobar la prefactura.</w:t>
      </w:r>
    </w:p>
    <w:p>
      <w:pPr>
        <w:pStyle w:val="Heading3"/>
      </w:pPr>
      <w:r>
        <w:t>HU-06: Notificación y Distribución Digital de Planillas</w:t>
      </w:r>
    </w:p>
    <w:p>
      <w:r>
        <w:rPr>
          <w:b/>
        </w:rPr>
        <w:t xml:space="preserve">Como </w:t>
      </w:r>
      <w:r>
        <w:t>Secretaria / Sistema,</w:t>
        <w:br/>
      </w:r>
      <w:r>
        <w:rPr>
          <w:b/>
        </w:rPr>
        <w:t xml:space="preserve">Quiero </w:t>
      </w:r>
      <w:r>
        <w:t>despachar por correo electrónico las planillas mensuales en formato PDF a los usuarios,</w:t>
        <w:br/>
      </w:r>
      <w:r>
        <w:rPr>
          <w:b/>
        </w:rPr>
        <w:t xml:space="preserve">Para </w:t>
      </w:r>
      <w:r>
        <w:t>que conozcan oportunamente el desglose de su consumo y valores antes de acercarse a pagar.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Procesamiento masivo asíncrono en segundo plano mediante cola de mensajería.</w:t>
      </w:r>
    </w:p>
    <w:p>
      <w:pPr>
        <w:pStyle w:val="ListBullet"/>
      </w:pPr>
      <w:r>
        <w:t>Escenario 2: Envío de PDF oficial con detalle de rubros, consumo y cuentas bancarias de la Junta.</w:t>
      </w:r>
    </w:p>
    <w:p>
      <w:pPr>
        <w:pStyle w:val="Heading2"/>
      </w:pPr>
      <w:r>
        <w:t>Épica 4: Recaudación, Ventanilla, Cuadro de Caja y Convenios</w:t>
      </w:r>
    </w:p>
    <w:p>
      <w:pPr>
        <w:pStyle w:val="Heading3"/>
      </w:pPr>
      <w:r>
        <w:t>HU-07: Recaudación en Ventanilla y Control de Sesión de Caja</w:t>
      </w:r>
    </w:p>
    <w:p>
      <w:r>
        <w:rPr>
          <w:b/>
        </w:rPr>
        <w:t xml:space="preserve">Como </w:t>
      </w:r>
      <w:r>
        <w:t>Cajero / Tesorero,</w:t>
        <w:br/>
      </w:r>
      <w:r>
        <w:rPr>
          <w:b/>
        </w:rPr>
        <w:t xml:space="preserve">Quiero </w:t>
      </w:r>
      <w:r>
        <w:t>abrir caja, registrar cobros (efectivo, transferencia, tarjeta) y emitir comprobantes de pago,</w:t>
        <w:br/>
      </w:r>
      <w:r>
        <w:rPr>
          <w:b/>
        </w:rPr>
        <w:t xml:space="preserve">Para </w:t>
      </w:r>
      <w:r>
        <w:t>recibir la recaudación diaria y conciliar el cuadre al cierre de jornada.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Cobro en efectivo registrado al instante en estado REGISTRADO.</w:t>
      </w:r>
    </w:p>
    <w:p>
      <w:pPr>
        <w:pStyle w:val="ListBullet"/>
      </w:pPr>
      <w:r>
        <w:t>Escenario 2: Amortización de deuda más antigua en pagos parciales o saldo a favor en excesos.</w:t>
      </w:r>
    </w:p>
    <w:p>
      <w:pPr>
        <w:pStyle w:val="ListBullet"/>
      </w:pPr>
      <w:r>
        <w:t>Escenario 3: Cierre y arqueo de caja con reporte consolidado por método de pago.</w:t>
      </w:r>
    </w:p>
    <w:p>
      <w:pPr>
        <w:pStyle w:val="Heading3"/>
      </w:pPr>
      <w:r>
        <w:t>HU-08: Gestión de Convenios de Refinanciamiento de Deuda</w:t>
      </w:r>
    </w:p>
    <w:p>
      <w:r>
        <w:rPr>
          <w:b/>
        </w:rPr>
        <w:t xml:space="preserve">Como </w:t>
      </w:r>
      <w:r>
        <w:t>Tesorero / Presidente,</w:t>
        <w:br/>
      </w:r>
      <w:r>
        <w:rPr>
          <w:b/>
        </w:rPr>
        <w:t xml:space="preserve">Quiero </w:t>
      </w:r>
      <w:r>
        <w:t>pactar convenios de pago en cuotas mensuales para usuarios con mora acumulada,</w:t>
        <w:br/>
      </w:r>
      <w:r>
        <w:rPr>
          <w:b/>
        </w:rPr>
        <w:t xml:space="preserve">Para </w:t>
      </w:r>
      <w:r>
        <w:t>brindar facilidades de pago a familias vulnerables y evitar la suspensión del servicio.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Configuración de cuotas fijas mensuales con vencimiento y abono inicial.</w:t>
      </w:r>
    </w:p>
    <w:p>
      <w:pPr>
        <w:pStyle w:val="ListBullet"/>
      </w:pPr>
      <w:r>
        <w:t>Escenario 2: Amortización y actualización automática del saldo adeudado del convenio.</w:t>
      </w:r>
    </w:p>
    <w:p>
      <w:pPr>
        <w:pStyle w:val="Heading2"/>
      </w:pPr>
      <w:r>
        <w:t>Épica 5: Facturación Electrónica SRI (Facturación Fiscal)</w:t>
      </w:r>
    </w:p>
    <w:p>
      <w:pPr>
        <w:pStyle w:val="Heading3"/>
      </w:pPr>
      <w:r>
        <w:t>HU-09: Emisión, Firma Electrónica XAdES-BES y Autorización SRI</w:t>
      </w:r>
    </w:p>
    <w:p>
      <w:r>
        <w:rPr>
          <w:b/>
        </w:rPr>
        <w:t xml:space="preserve">Como </w:t>
      </w:r>
      <w:r>
        <w:t>Sistema / Contador,</w:t>
        <w:br/>
      </w:r>
      <w:r>
        <w:rPr>
          <w:b/>
        </w:rPr>
        <w:t xml:space="preserve">Quiero </w:t>
      </w:r>
      <w:r>
        <w:t>que cuando una prefactura alcance el 100% de pago se genere el comprobante fiscal, se firme electrónicamente y se autorice ante el SRI,</w:t>
        <w:br/>
      </w:r>
      <w:r>
        <w:rPr>
          <w:b/>
        </w:rPr>
        <w:t xml:space="preserve">Para </w:t>
      </w:r>
      <w:r>
        <w:t>cumplir con la normativa tributaria del Ecuador de manera 100% automatizada.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Encolamiento al SRI condicionado a la cobertura del 100% del pago (estado PAGADA).</w:t>
      </w:r>
    </w:p>
    <w:p>
      <w:pPr>
        <w:pStyle w:val="ListBullet"/>
      </w:pPr>
      <w:r>
        <w:t>Escenario 2: Resiliencia con Outbox y reintentos ante indisponibilidad del SRI.</w:t>
      </w:r>
    </w:p>
    <w:p>
      <w:pPr>
        <w:pStyle w:val="ListBullet"/>
      </w:pPr>
      <w:r>
        <w:t>Escenario 3: Envío automático de XML firmado y RIDE autorizado al correo del cliente.</w:t>
      </w:r>
    </w:p>
    <w:p>
      <w:pPr>
        <w:pStyle w:val="Heading2"/>
      </w:pPr>
      <w:r>
        <w:t>Épica 6: Reportes, Estadísticas y Consulta Pública</w:t>
      </w:r>
    </w:p>
    <w:p>
      <w:pPr>
        <w:pStyle w:val="Heading3"/>
      </w:pPr>
      <w:r>
        <w:t>HU-10: Reportes Financieros y Operativos (Auditoría y Gestión)</w:t>
      </w:r>
    </w:p>
    <w:p>
      <w:r>
        <w:rPr>
          <w:b/>
        </w:rPr>
        <w:t xml:space="preserve">Como </w:t>
      </w:r>
      <w:r>
        <w:t>Directiva / Tesorero / Secretaria,</w:t>
        <w:br/>
      </w:r>
      <w:r>
        <w:rPr>
          <w:b/>
        </w:rPr>
        <w:t xml:space="preserve">Quiero </w:t>
      </w:r>
      <w:r>
        <w:t>consultar y exportar en tabla interactiva y PDF los reportes de Estado de Cuenta, Historial de Conexión, Morosidad y Abonos,</w:t>
        <w:br/>
      </w:r>
      <w:r>
        <w:rPr>
          <w:b/>
        </w:rPr>
        <w:t xml:space="preserve">Para </w:t>
      </w:r>
      <w:r>
        <w:t>auditar la salud financiera de la Junta y sustentar rendiciones de cuentas en asambleas comunitarias.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Consulta tabla-primera con filtros dinámicos y alternancia a PDF.</w:t>
      </w:r>
    </w:p>
    <w:p>
      <w:pPr>
        <w:pStyle w:val="ListBullet"/>
      </w:pPr>
      <w:r>
        <w:t>Escenario 2: Descarga de PDF y envío directo por correo electrónico con un clic.</w:t>
      </w:r>
    </w:p>
    <w:p>
      <w:pPr>
        <w:pStyle w:val="Heading3"/>
      </w:pPr>
      <w:r>
        <w:t>HU-11: Portal Público de Consulta de Deuda para el Ciudadano</w:t>
      </w:r>
    </w:p>
    <w:p>
      <w:r>
        <w:rPr>
          <w:b/>
        </w:rPr>
        <w:t xml:space="preserve">Como </w:t>
      </w:r>
      <w:r>
        <w:t>Usuario / Habitante de la comunidad,</w:t>
        <w:br/>
      </w:r>
      <w:r>
        <w:rPr>
          <w:b/>
        </w:rPr>
        <w:t xml:space="preserve">Quiero </w:t>
      </w:r>
      <w:r>
        <w:t>consultar en línea el saldo adeudado de mi suministro ingresando mi número de cédula o número de guía,</w:t>
        <w:br/>
      </w:r>
      <w:r>
        <w:rPr>
          <w:b/>
        </w:rPr>
        <w:t xml:space="preserve">Para </w:t>
      </w:r>
      <w:r>
        <w:t>conocer mi monto a pagar desde mi teléfono o computadora sin trasladarme a las oficinas de la Junta.</w:t>
      </w:r>
    </w:p>
    <w:p>
      <w:r>
        <w:rPr>
          <w:b/>
        </w:rPr>
        <w:t>Criterios de Aceptación:</w:t>
      </w:r>
    </w:p>
    <w:p>
      <w:pPr>
        <w:pStyle w:val="ListBullet"/>
      </w:pPr>
      <w:r>
        <w:t>Escenario 1: Endpoint público seguro sin necesidad de credenciales de acceso.</w:t>
      </w:r>
    </w:p>
    <w:p>
      <w:pPr>
        <w:pStyle w:val="ListBullet"/>
      </w:pPr>
      <w:r>
        <w:t>Escenario 2: Visualización de consumo del mes, fecha de corte y saldo a cancelar.</w:t>
      </w:r>
    </w:p>
    <w:p>
      <w:pPr>
        <w:pStyle w:val="Heading1"/>
      </w:pPr>
      <w:r>
        <w:t>4. Matriz de Trazabilidad Técnica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Historia de Usuario</w:t>
            </w:r>
          </w:p>
        </w:tc>
        <w:tc>
          <w:tcPr>
            <w:tcW w:type="dxa" w:w="2880"/>
          </w:tcPr>
          <w:p>
            <w:r>
              <w:t>Módulo Frontend (Angular)</w:t>
            </w:r>
          </w:p>
        </w:tc>
        <w:tc>
          <w:tcPr>
            <w:tcW w:type="dxa" w:w="2880"/>
          </w:tcPr>
          <w:p>
            <w:r>
              <w:t>Casos de Uso Backend (NestJS / Hexagonal)</w:t>
            </w:r>
          </w:p>
        </w:tc>
      </w:tr>
      <w:tr>
        <w:tc>
          <w:tcPr>
            <w:tcW w:type="dxa" w:w="2880"/>
          </w:tcPr>
          <w:p>
            <w:r>
              <w:t>HU-01 (Clientes)</w:t>
            </w:r>
          </w:p>
        </w:tc>
        <w:tc>
          <w:tcPr>
            <w:tcW w:type="dxa" w:w="2880"/>
          </w:tcPr>
          <w:p>
            <w:r>
              <w:t>features/contracts/clients/</w:t>
            </w:r>
          </w:p>
        </w:tc>
        <w:tc>
          <w:tcPr>
            <w:tcW w:type="dxa" w:w="2880"/>
          </w:tcPr>
          <w:p>
            <w:r>
              <w:t>CreateClientUseCase, UpdateClientUseCase</w:t>
            </w:r>
          </w:p>
        </w:tc>
      </w:tr>
      <w:tr>
        <w:tc>
          <w:tcPr>
            <w:tcW w:type="dxa" w:w="2880"/>
          </w:tcPr>
          <w:p>
            <w:r>
              <w:t>HU-02 (Contratos)</w:t>
            </w:r>
          </w:p>
        </w:tc>
        <w:tc>
          <w:tcPr>
            <w:tcW w:type="dxa" w:w="2880"/>
          </w:tcPr>
          <w:p>
            <w:r>
              <w:t>features/contracts/service-contracts/</w:t>
            </w:r>
          </w:p>
        </w:tc>
        <w:tc>
          <w:tcPr>
            <w:tcW w:type="dxa" w:w="2880"/>
          </w:tcPr>
          <w:p>
            <w:r>
              <w:t>CreateServiceContractUseCase, UpdateStateUseCase</w:t>
            </w:r>
          </w:p>
        </w:tc>
      </w:tr>
      <w:tr>
        <w:tc>
          <w:tcPr>
            <w:tcW w:type="dxa" w:w="2880"/>
          </w:tcPr>
          <w:p>
            <w:r>
              <w:t>HU-03 (Rutas)</w:t>
            </w:r>
          </w:p>
        </w:tc>
        <w:tc>
          <w:tcPr>
            <w:tcW w:type="dxa" w:w="2880"/>
          </w:tcPr>
          <w:p>
            <w:r>
              <w:t>features/contracts/reading-routes/</w:t>
            </w:r>
          </w:p>
        </w:tc>
        <w:tc>
          <w:tcPr>
            <w:tcW w:type="dxa" w:w="2880"/>
          </w:tcPr>
          <w:p>
            <w:r>
              <w:t>CreateReadingRouteUseCase, AssignRouteUseCase</w:t>
            </w:r>
          </w:p>
        </w:tc>
      </w:tr>
      <w:tr>
        <w:tc>
          <w:tcPr>
            <w:tcW w:type="dxa" w:w="2880"/>
          </w:tcPr>
          <w:p>
            <w:r>
              <w:t>HU-04 (Lecturas)</w:t>
            </w:r>
          </w:p>
        </w:tc>
        <w:tc>
          <w:tcPr>
            <w:tcW w:type="dxa" w:w="2880"/>
          </w:tcPr>
          <w:p>
            <w:r>
              <w:t>features/contracts/readings/</w:t>
            </w:r>
          </w:p>
        </w:tc>
        <w:tc>
          <w:tcPr>
            <w:tcW w:type="dxa" w:w="2880"/>
          </w:tcPr>
          <w:p>
            <w:r>
              <w:t>CreateReadingUseCase, ApproveReadingUseCase</w:t>
            </w:r>
          </w:p>
        </w:tc>
      </w:tr>
      <w:tr>
        <w:tc>
          <w:tcPr>
            <w:tcW w:type="dxa" w:w="2880"/>
          </w:tcPr>
          <w:p>
            <w:r>
              <w:t>HU-05 (Planillas)</w:t>
            </w:r>
          </w:p>
        </w:tc>
        <w:tc>
          <w:tcPr>
            <w:tcW w:type="dxa" w:w="2880"/>
          </w:tcPr>
          <w:p>
            <w:r>
              <w:t>features/billing/batches/, pre-invoices/</w:t>
            </w:r>
          </w:p>
        </w:tc>
        <w:tc>
          <w:tcPr>
            <w:tcW w:type="dxa" w:w="2880"/>
          </w:tcPr>
          <w:p>
            <w:r>
              <w:t>GenerateBatchUseCase, generar_prefacturas_lote()</w:t>
            </w:r>
          </w:p>
        </w:tc>
      </w:tr>
      <w:tr>
        <w:tc>
          <w:tcPr>
            <w:tcW w:type="dxa" w:w="2880"/>
          </w:tcPr>
          <w:p>
            <w:r>
              <w:t>HU-06 (Distribución)</w:t>
            </w:r>
          </w:p>
        </w:tc>
        <w:tc>
          <w:tcPr>
            <w:tcW w:type="dxa" w:w="2880"/>
          </w:tcPr>
          <w:p>
            <w:r>
              <w:t>features/billing/pre-invoices/</w:t>
            </w:r>
          </w:p>
        </w:tc>
        <w:tc>
          <w:tcPr>
            <w:tcW w:type="dxa" w:w="2880"/>
          </w:tcPr>
          <w:p>
            <w:r>
              <w:t>SendBatchEmailsUseCase, MailService.sendPlanilla()</w:t>
            </w:r>
          </w:p>
        </w:tc>
      </w:tr>
      <w:tr>
        <w:tc>
          <w:tcPr>
            <w:tcW w:type="dxa" w:w="2880"/>
          </w:tcPr>
          <w:p>
            <w:r>
              <w:t>HU-07 (Cobros/Caja)</w:t>
            </w:r>
          </w:p>
        </w:tc>
        <w:tc>
          <w:tcPr>
            <w:tcW w:type="dxa" w:w="2880"/>
          </w:tcPr>
          <w:p>
            <w:r>
              <w:t>features/billing/payments/</w:t>
            </w:r>
          </w:p>
        </w:tc>
        <w:tc>
          <w:tcPr>
            <w:tcW w:type="dxa" w:w="2880"/>
          </w:tcPr>
          <w:p>
            <w:r>
              <w:t>CreatePaymentUseCase, PagoValidadoHandler</w:t>
            </w:r>
          </w:p>
        </w:tc>
      </w:tr>
      <w:tr>
        <w:tc>
          <w:tcPr>
            <w:tcW w:type="dxa" w:w="2880"/>
          </w:tcPr>
          <w:p>
            <w:r>
              <w:t>HU-08 (Convenios)</w:t>
            </w:r>
          </w:p>
        </w:tc>
        <w:tc>
          <w:tcPr>
            <w:tcW w:type="dxa" w:w="2880"/>
          </w:tcPr>
          <w:p>
            <w:r>
              <w:t>features/contracts/payment-agreements/</w:t>
            </w:r>
          </w:p>
        </w:tc>
        <w:tc>
          <w:tcPr>
            <w:tcW w:type="dxa" w:w="2880"/>
          </w:tcPr>
          <w:p>
            <w:r>
              <w:t>CreatePaymentAgreementUseCase, PayCuotaUseCase</w:t>
            </w:r>
          </w:p>
        </w:tc>
      </w:tr>
      <w:tr>
        <w:tc>
          <w:tcPr>
            <w:tcW w:type="dxa" w:w="2880"/>
          </w:tcPr>
          <w:p>
            <w:r>
              <w:t>HU-09 (SRI)</w:t>
            </w:r>
          </w:p>
        </w:tc>
        <w:tc>
          <w:tcPr>
            <w:tcW w:type="dxa" w:w="2880"/>
          </w:tcPr>
          <w:p>
            <w:r>
              <w:t>features/billing/electronic-billing/</w:t>
            </w:r>
          </w:p>
        </w:tc>
        <w:tc>
          <w:tcPr>
            <w:tcW w:type="dxa" w:w="2880"/>
          </w:tcPr>
          <w:p>
            <w:r>
              <w:t>SRIEmissionDispatcherService, FirmadorXAdES</w:t>
            </w:r>
          </w:p>
        </w:tc>
      </w:tr>
      <w:tr>
        <w:tc>
          <w:tcPr>
            <w:tcW w:type="dxa" w:w="2880"/>
          </w:tcPr>
          <w:p>
            <w:r>
              <w:t>HU-10 (Reportes)</w:t>
            </w:r>
          </w:p>
        </w:tc>
        <w:tc>
          <w:tcPr>
            <w:tcW w:type="dxa" w:w="2880"/>
          </w:tcPr>
          <w:p>
            <w:r>
              <w:t>features/reports/</w:t>
            </w:r>
          </w:p>
        </w:tc>
        <w:tc>
          <w:tcPr>
            <w:tcW w:type="dxa" w:w="2880"/>
          </w:tcPr>
          <w:p>
            <w:r>
              <w:t>ClientStatementReportUseCase, OverdueAccountsReportUseCase</w:t>
            </w:r>
          </w:p>
        </w:tc>
      </w:tr>
      <w:tr>
        <w:tc>
          <w:tcPr>
            <w:tcW w:type="dxa" w:w="2880"/>
          </w:tcPr>
          <w:p>
            <w:r>
              <w:t>HU-11 (Portal)</w:t>
            </w:r>
          </w:p>
        </w:tc>
        <w:tc>
          <w:tcPr>
            <w:tcW w:type="dxa" w:w="2880"/>
          </w:tcPr>
          <w:p>
            <w:r>
              <w:t>features/bill-inquiry/</w:t>
            </w:r>
          </w:p>
        </w:tc>
        <w:tc>
          <w:tcPr>
            <w:tcW w:type="dxa" w:w="2880"/>
          </w:tcPr>
          <w:p>
            <w:r>
              <w:t>PublicPortalService.consultarDeuda()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C9E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C9EA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