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名医文献思维构造结果样例</w:t>
      </w:r>
    </w:p>
    <w:p>
      <w:pPr>
        <w:pStyle w:val="Subtitle"/>
      </w:pPr>
      <w:r>
        <w:t>知识单元清单  对应原文  组织方法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本文件展示两份已经整理完成的结果：样例一处理条文中的条件与调整，样例二处理方论中的配伍解释。示范采用古籍原文；学生实际选题仍按教师提供的名医名单完成。样例中的编号、单元名称、内容概括与关系说明均为本次整理，不是古籍自带的分类。</w:t>
      </w:r>
    </w:p>
    <w:p>
      <w:pPr>
        <w:pStyle w:val="Heading2"/>
      </w:pPr>
      <w:r>
        <w:t>样例一 桂枝汤相关条文中的条件与调整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医家：张仲景。主题范围：桂枝汤相关条文的用方条件、限制和调整依据。文本类型：证治条文。分析范围限定为下述篇章中的相关文字。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D1 张仲景《伤寒论》辨太阳病脉证并治法上第五。南阳理工学院张仲景国医国药学院《伤寒论原文（三）》，2012年6月11日。</w:t>
      </w:r>
      <w:r>
        <w:t xml:space="preserve">  </w:t>
      </w:r>
      <w:hyperlink r:id="rId9">
        <w:r>
          <w:rPr>
            <w:color w:val="1F4E79"/>
            <w:u w:val="single"/>
            <w:sz w:val="19"/>
            <w:rFonts w:ascii="Noto Serif CJK SC" w:hAnsi="Noto Serif CJK SC" w:eastAsia="Noto Serif CJK SC"/>
          </w:rPr>
          <w:t>查看对应原文</w:t>
        </w:r>
      </w:hyperlink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定位采用篇章与起句，不另编网页条号。引文保留所选网页字形；U08的星号为网页原有标记，U02未纳入句末星号，U10明确标为节选。访问日期：2026年10月21日。</w:t>
      </w:r>
    </w:p>
    <w:p>
      <w:pPr>
        <w:pStyle w:val="Heading2"/>
      </w:pPr>
      <w:r>
        <w:t>主要知识单元清单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Layout w:type="fixed"/>
      </w:tblPr>
      <w:tblGrid>
        <w:gridCol w:w="749"/>
        <w:gridCol w:w="6264"/>
        <w:gridCol w:w="2693"/>
      </w:tblGrid>
      <w:tr>
        <w:trPr>
          <w:cantSplit/>
          <w:tblHeader/>
        </w:trPr>
        <w:tc>
          <w:tcPr>
            <w:tcW w:type="dxa" w:w="749"/>
            <w:vAlign w:val="center"/>
            <w:shd w:fill="24445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6264"/>
            <w:vAlign w:val="center"/>
            <w:shd w:fill="24445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主要知识单元</w:t>
            </w:r>
          </w:p>
        </w:tc>
        <w:tc>
          <w:tcPr>
            <w:tcW w:type="dxa" w:w="2693"/>
            <w:vAlign w:val="center"/>
            <w:shd w:fill="24445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在主题中的作用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U01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头痛发热并汗出恶风的选方条件</w:t>
            </w:r>
          </w:p>
        </w:tc>
        <w:tc>
          <w:tcPr>
            <w:tcW w:type="dxa" w:w="2693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基本选方条件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U02</w:t>
            </w:r>
          </w:p>
        </w:tc>
        <w:tc>
          <w:tcPr>
            <w:tcW w:type="dxa" w:w="6264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阳浮阴弱与发热汗出的条文解释</w:t>
            </w:r>
          </w:p>
        </w:tc>
        <w:tc>
          <w:tcPr>
            <w:tcW w:type="dxa" w:w="2693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条文中的解释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U03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下后是否气上冲决定本条的用方分支</w:t>
            </w:r>
          </w:p>
        </w:tc>
        <w:tc>
          <w:tcPr>
            <w:tcW w:type="dxa" w:w="2693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既往下法后的条件分支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U04</w:t>
            </w:r>
          </w:p>
        </w:tc>
        <w:tc>
          <w:tcPr>
            <w:tcW w:type="dxa" w:w="6264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发汗等处置后仍不解须重新察证</w:t>
            </w:r>
          </w:p>
        </w:tc>
        <w:tc>
          <w:tcPr>
            <w:tcW w:type="dxa" w:w="2693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处理后重新察证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U05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脉浮紧且发热无汗是本条的用方限制</w:t>
            </w:r>
          </w:p>
        </w:tc>
        <w:tc>
          <w:tcPr>
            <w:tcW w:type="dxa" w:w="2693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使用限制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U06</w:t>
            </w:r>
          </w:p>
        </w:tc>
        <w:tc>
          <w:tcPr>
            <w:tcW w:type="dxa" w:w="6264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喘家作桂枝汤时的加味说明</w:t>
            </w:r>
          </w:p>
        </w:tc>
        <w:tc>
          <w:tcPr>
            <w:tcW w:type="dxa" w:w="2693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特定语境下加味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U07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发汗后漏汗等表现对应加附子方</w:t>
            </w:r>
          </w:p>
        </w:tc>
        <w:tc>
          <w:tcPr>
            <w:tcW w:type="dxa" w:w="2693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汗后表现与加味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U08</w:t>
            </w:r>
          </w:p>
        </w:tc>
        <w:tc>
          <w:tcPr>
            <w:tcW w:type="dxa" w:w="6264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下后胸满的减味及微恶寒的进一步加味</w:t>
            </w:r>
          </w:p>
        </w:tc>
        <w:tc>
          <w:tcPr>
            <w:tcW w:type="dxa" w:w="2693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下后减味与再加味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U09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大汗后烦渴等表现对应另选方剂</w:t>
            </w:r>
          </w:p>
        </w:tc>
        <w:tc>
          <w:tcPr>
            <w:tcW w:type="dxa" w:w="2693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变化后另选方剂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U10</w:t>
            </w:r>
          </w:p>
        </w:tc>
        <w:tc>
          <w:tcPr>
            <w:tcW w:type="dxa" w:w="6264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一服汗出病差后的停服条件</w:t>
            </w:r>
          </w:p>
        </w:tc>
        <w:tc>
          <w:tcPr>
            <w:tcW w:type="dxa" w:w="2693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达到条件后的停服</w:t>
            </w:r>
          </w:p>
        </w:tc>
      </w:tr>
    </w:tbl>
    <w:p>
      <w:pPr>
        <w:spacing w:after="40" w:line="80" w:lineRule="exact"/>
      </w:pPr>
      <w:r>
        <w:rPr>
          <w:rFonts w:ascii="Noto Serif CJK SC" w:hAnsi="Noto Serif CJK SC" w:eastAsia="Noto Serif CJK SC" w:cs="Noto Serif CJK SC"/>
          <w:b w:val="0"/>
          <w:color w:val="000000"/>
          <w:sz w:val="8"/>
        </w:rPr>
      </w:r>
    </w:p>
    <w:p>
      <w:pPr>
        <w:pStyle w:val="Heading2"/>
      </w:pPr>
      <w:r>
        <w:t>思维构造方法说明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先把一个能够表达完整意思的条文或连续句段作为候选单元，再按“背景、条件、判断或处理”提取要点。相同方名的条文仍保留各自条件，不因提到同一方剂就合并。U03保留允许与不允许两支；U08保留后句对前句的承接。U01、U02展示基本内容，U03—U09补充不同情境下的判断和调整，U10记录停服条件。上述归类是为阅读而作的组织；条文涉及不同情境，不把它们串成同一患者的连续病程，也不补写原文未说明的病机。</w:t>
      </w:r>
    </w:p>
    <w:p>
      <w:pPr>
        <w:pStyle w:val="Heading1"/>
        <w:pageBreakBefore/>
      </w:pPr>
      <w:r>
        <w:t>样例一 对应文本与出处 上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以下U01—U05均出自D1所列篇章。内容概括是学生归纳，对应原文是证据，两者分别呈现。</w:t>
      </w:r>
    </w:p>
    <w:p>
      <w:pPr>
        <w:pStyle w:val="Heading2"/>
      </w:pPr>
      <w:r>
        <w:t>U01 头痛发热并汗出恶风的选方条件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内容概括〔学生归纳〕：在条文的太阳病语境中，将头痛、发热、汗出、恶风与桂枝汤联系起来。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对应原文：“太阳病，头痛发热，汗出恶风者，桂枝汤主之。”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出处：D1；定位：“太阳病，头痛发热”起首条。</w:t>
      </w:r>
    </w:p>
    <w:p>
      <w:pPr>
        <w:pStyle w:val="Heading2"/>
      </w:pPr>
      <w:r>
        <w:t>U02 阳浮阴弱与发热汗出的条文解释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内容概括〔学生归纳〕：原文解释发热、汗出的同时，列出恶寒、恶风等表现并提出用方。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对应原文：“太阳中风，阳浮而阴弱。阳浮者，热自发；阴弱者，汗自出。啬啬恶寒，淅淅恶风，翕翕发热，鼻鸣干呕者，桂枝汤主之”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出处：D1；定位：“太阳中风，阳浮而阴弱”起首条，桂枝汤方之前。</w:t>
      </w:r>
    </w:p>
    <w:p>
      <w:pPr>
        <w:pStyle w:val="Heading2"/>
      </w:pPr>
      <w:r>
        <w:t>U03 下后是否气上冲决定本条的用方分支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内容概括〔学生归纳〕：保留“下之后”这一前提，同时记录可用和不可用两个分支。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对应原文：“太阳病，下之后，其气上冲者，可与桂枝汤。方用前法。若不上冲者，不可与之。”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出处：D1；定位：“太阳病，下之后，其气上冲者”起首条。</w:t>
      </w:r>
    </w:p>
    <w:p>
      <w:pPr>
        <w:pStyle w:val="Heading2"/>
      </w:pPr>
      <w:r>
        <w:t>U04 发汗等处置后仍不解须重新察证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内容概括〔学生归纳〕：原文要求回看脉证与此前处置造成的变化，再随证处理。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对应原文：“太阳病三日，已发汗，若吐，若下，若温针，仍不解者，此为坏病，桂枝不中与之也。观其脉证，知犯何逆，随证治之。”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出处：D1；定位：“太阳病三日，已发汗”起首段前半。</w:t>
      </w:r>
    </w:p>
    <w:p>
      <w:pPr>
        <w:pStyle w:val="Heading2"/>
      </w:pPr>
      <w:r>
        <w:t>U05 脉浮紧且发热无汗是本条的用方限制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内容概括〔学生归纳〕：把解肌用途与脉浮紧、发热、汗不出的限制一并保留。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对应原文：“桂枝本为解肌，若其人脉浮紧，发热汗不出者，不可与之也。常须识此，勿令误也。”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出处：D1；定位：接U04所引文字之后，以“桂枝本为解肌”起首。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联系说明：U01与U02都涉及桂枝汤，但所列内容不同；U04与U05在原文中相邻，分别承担重新察证与明确限制的作用。这里的联系用于解释文本组织，不表示各条可互相替代。</w:t>
      </w:r>
    </w:p>
    <w:p>
      <w:pPr>
        <w:pStyle w:val="Heading1"/>
        <w:pageBreakBefore/>
      </w:pPr>
      <w:r>
        <w:t>样例一 对应文本与出处 下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以下U06—U10同样出自D1。加味、减味、改方和停服分开记录，避免混为一种“调整”。</w:t>
      </w:r>
    </w:p>
    <w:p>
      <w:pPr>
        <w:pStyle w:val="Heading2"/>
      </w:pPr>
      <w:r>
        <w:t>U06 喘家作桂枝汤时的加味说明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内容概括〔学生归纳〕：保留“喘家作桂枝汤”的原文语境，记录厚朴、杏子的加味。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对应原文：“喘家作桂枝汤，加厚朴杏子佳。”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出处：D1；定位：“喘家作桂枝汤”起首条。</w:t>
      </w:r>
    </w:p>
    <w:p>
      <w:pPr>
        <w:pStyle w:val="Heading2"/>
      </w:pPr>
      <w:r>
        <w:t>U07 发汗后漏汗等表现对应加附子方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内容概括〔学生归纳〕：按原文共同记录发汗后漏汗、恶风、小便难及四支表现，再对应方名。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对应原文：“太阳病，发汗，遂漏不止，其人恶风，小便难，四支微急，难以屈伸者，桂枝加附子汤主之。”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出处：D1；定位：“太阳病，发汗，遂漏不止”起首条。</w:t>
      </w:r>
    </w:p>
    <w:p>
      <w:pPr>
        <w:pStyle w:val="Heading2"/>
      </w:pPr>
      <w:r>
        <w:t>U08 下后胸满的减味及微恶寒的进一步加味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内容概括〔学生归纳〕：保留下后脉促胸满的共同语境，分别记录去芍药方与微恶寒条件下加附子的说明。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对应原文：“太阳病，下之后，脉促胸满者，桂枝去芍药汤主之*。若微恶寒者，去芍药方中，加附子汤主之。”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出处：D1；定位：“太阳病，下之后，脉促胸满者”起首条及紧接的“若微恶寒者”。</w:t>
      </w:r>
    </w:p>
    <w:p>
      <w:pPr>
        <w:pStyle w:val="Heading2"/>
      </w:pPr>
      <w:r>
        <w:t>U09 大汗后烦渴等表现对应另选方剂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内容概括〔学生归纳〕：在服桂枝汤、大汗出的背景下，将后续表现与白虎加人参汤的选择关联。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对应原文：“服桂枝汤，大汗出后，大烦，渴不解，脉洪大者，白虎加人参汤主之。”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出处：D1；定位：“服桂枝汤，大汗出后，大烦”起首条。</w:t>
      </w:r>
    </w:p>
    <w:p>
      <w:pPr>
        <w:pStyle w:val="Heading2"/>
      </w:pPr>
      <w:r>
        <w:t>U10 一服汗出病差后的停服条件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内容概括〔学生归纳〕：保留“一服汗出病差”的完整条件，再记录停后服、不必尽剂。</w:t>
      </w:r>
    </w:p>
    <w:p>
      <w:pPr>
        <w:spacing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对应原文：“若一服汗出病差，停后服，不必尽剂”</w:t>
      </w:r>
    </w:p>
    <w:p>
      <w:pPr>
        <w:spacing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出处：D1；定位：桂枝汤方后服法段中，以“若一服汗出病差”定位；此处为句内节选。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联系说明：U06—U08属于不同背景下的方剂调整，U09出现另一方剂，U10是服药后的停止条件。它们不是必须依次执行的步骤。U08中的“若微恶寒者”承接同条前文，不能单独改成“微恶寒即加附子”。</w:t>
      </w:r>
    </w:p>
    <w:p>
      <w:pPr>
        <w:pStyle w:val="Heading1"/>
        <w:pageBreakBefore/>
      </w:pPr>
      <w:r>
        <w:t>样例二 六味地黄丸方论中的配伍解释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医家：费伯雄。主题范围：六味地黄丸三组配伍怎样共同支持整方解释。文本类型：方论。只选取《医方论》条目，不合并同一网页上其他医家的方论或现代适应症清单。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D2 费伯雄《医方论》六味地黄丸方论。中国医药大学学士后中医学系“嚐百草‧采眾方”平台，六味地黄丸页面“清‧費伯雄《醫方論》1865”条目。</w:t>
      </w:r>
      <w:r>
        <w:t xml:space="preserve">  </w:t>
      </w:r>
      <w:hyperlink r:id="rId10">
        <w:r>
          <w:rPr>
            <w:color w:val="1F4E79"/>
            <w:u w:val="single"/>
            <w:sz w:val="19"/>
            <w:rFonts w:ascii="Noto Serif CJK SC" w:hAnsi="Noto Serif CJK SC" w:eastAsia="Noto Serif CJK SC"/>
          </w:rPr>
          <w:t>查看对应原文</w:t>
        </w:r>
      </w:hyperlink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出处统一为D2；表中按原文顺序定位。引文保留网页繁体字，单元名称用简体概括。访问日期：2026年10月21日。</w:t>
      </w:r>
    </w:p>
    <w:p>
      <w:pPr>
        <w:pStyle w:val="Heading2"/>
      </w:pPr>
      <w:r>
        <w:t>主要知识单元与对应文本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Layout w:type="fixed"/>
      </w:tblPr>
      <w:tblGrid>
        <w:gridCol w:w="749"/>
        <w:gridCol w:w="3398"/>
        <w:gridCol w:w="5558"/>
      </w:tblGrid>
      <w:tr>
        <w:trPr>
          <w:cantSplit/>
          <w:tblHeader/>
        </w:trPr>
        <w:tc>
          <w:tcPr>
            <w:tcW w:type="dxa" w:w="749"/>
            <w:vAlign w:val="center"/>
            <w:shd w:fill="24445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398"/>
            <w:vAlign w:val="center"/>
            <w:shd w:fill="24445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知识单元〔学生归纳〕</w:t>
            </w:r>
          </w:p>
        </w:tc>
        <w:tc>
          <w:tcPr>
            <w:tcW w:type="dxa" w:w="5558"/>
            <w:vAlign w:val="center"/>
            <w:shd w:fill="24445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对应原文〔D2〕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V01</w:t>
            </w:r>
          </w:p>
        </w:tc>
        <w:tc>
          <w:tcPr>
            <w:tcW w:type="dxa" w:w="339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整方作用范围被解释为三阴并治</w:t>
            </w:r>
          </w:p>
        </w:tc>
        <w:tc>
          <w:tcPr>
            <w:tcW w:type="dxa" w:w="555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此方非但治肝腎不足，實三陰並治之劑。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V02</w:t>
            </w:r>
          </w:p>
        </w:tc>
        <w:tc>
          <w:tcPr>
            <w:tcW w:type="dxa" w:w="3398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熟地之补与泽泻之泄相配</w:t>
            </w:r>
          </w:p>
        </w:tc>
        <w:tc>
          <w:tcPr>
            <w:tcW w:type="dxa" w:w="5558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有熟地之膩補腎水，即有澤瀉之宣洩腎濁以濟之；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V03</w:t>
            </w:r>
          </w:p>
        </w:tc>
        <w:tc>
          <w:tcPr>
            <w:tcW w:type="dxa" w:w="339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萸肉温涩与丹皮清泻相配</w:t>
            </w:r>
          </w:p>
        </w:tc>
        <w:tc>
          <w:tcPr>
            <w:tcW w:type="dxa" w:w="555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有萸肉之溫澀肝經，即有丹皮之清瀉肝火以佐之；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V04</w:t>
            </w:r>
          </w:p>
        </w:tc>
        <w:tc>
          <w:tcPr>
            <w:tcW w:type="dxa" w:w="3398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山药收摄与茯苓淡渗相配</w:t>
            </w:r>
          </w:p>
        </w:tc>
        <w:tc>
          <w:tcPr>
            <w:tcW w:type="dxa" w:w="5558"/>
            <w:vAlign w:val="center"/>
            <w:shd w:fill="F0F4F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有山藥收攝脾經，即有茯苓之淡滲脾濕以和之。</w:t>
            </w:r>
          </w:p>
        </w:tc>
      </w:tr>
      <w:tr>
        <w:trPr>
          <w:cantSplit/>
        </w:trPr>
        <w:tc>
          <w:tcPr>
            <w:tcW w:type="dxa" w:w="749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V05</w:t>
            </w:r>
          </w:p>
        </w:tc>
        <w:tc>
          <w:tcPr>
            <w:tcW w:type="dxa" w:w="339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整方评价再次强调六味配合与三阴并治</w:t>
            </w:r>
          </w:p>
        </w:tc>
        <w:tc>
          <w:tcPr>
            <w:tcW w:type="dxa" w:w="555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keepNext w:val="0"/>
              <w:spacing w:before="0" w:after="0" w:line="310" w:lineRule="exac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藥止六味，而大開大合，三陰並治，洵補方之正鵠也。</w:t>
            </w:r>
          </w:p>
        </w:tc>
      </w:tr>
    </w:tbl>
    <w:p>
      <w:pPr>
        <w:spacing w:after="40" w:line="80" w:lineRule="exact"/>
      </w:pPr>
      <w:r>
        <w:rPr>
          <w:rFonts w:ascii="Noto Serif CJK SC" w:hAnsi="Noto Serif CJK SC" w:eastAsia="Noto Serif CJK SC" w:cs="Noto Serif CJK SC"/>
          <w:b w:val="0"/>
          <w:color w:val="000000"/>
          <w:sz w:val="8"/>
        </w:rPr>
      </w:r>
    </w:p>
    <w:p>
      <w:pPr>
        <w:pStyle w:val="Heading2"/>
      </w:pPr>
      <w:r>
        <w:t>单元之间的联系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V01提出整方认识；V02、V03、V04分别解释三组配伍；V05回到整方评价。这是一种“总述—分述—总结”的阅读结构。三组药对各有原文依据，不把所有药物任意两两连接。</w:t>
      </w:r>
    </w:p>
    <w:p>
      <w:pPr>
        <w:pStyle w:val="Heading2"/>
      </w:pPr>
      <w:r>
        <w:t>思维构造方法说明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先识别本段的总体判断，再按三个并列句划分配伍单元，最后保留作者的总结评价。每一组都包含药物及相配理由，因此不将“熟地”“泽泻”等药名各自当作完整知识单元。V01与V05虽都提到三阴并治，但一个提出观点，一个承担总结作用，故分别保留。V02—V04共同支持整方解释，三组之间是并列关系，不能从行文顺序推出先后用药。原文没有提供剂量、加减条件和患者经过，本次整理不补入这些内容；对“补方之正鹄”的表述也保留其作者评价属性。</w:t>
      </w:r>
    </w:p>
    <w:p>
      <w:pPr>
        <w:spacing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这两份样例都交出了具体知识单元、对应文本、可回查出处和组织方法。它们呈现的是文献内容及其表达关系，未据此作临床疗效评价。</w:t>
      </w:r>
    </w:p>
    <w:sectPr w:rsidR="00FC693F" w:rsidRPr="0006063C" w:rsidSect="00034616">
      <w:footerReference w:type="default" r:id="rId11"/>
      <w:pgSz w:w="12240" w:h="15840"/>
      <w:pgMar w:top="960" w:right="1267" w:bottom="960" w:left="126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r>
      <w:rPr>
        <w:rFonts w:ascii="Noto Serif CJK SC" w:hAnsi="Noto Serif CJK SC" w:eastAsia="Noto Serif CJK SC" w:cs="Noto Serif CJK SC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  共 </w:t>
    </w:r>
    <w:r>
      <w:rPr>
        <w:rFonts w:ascii="Noto Serif CJK SC" w:hAnsi="Noto Serif CJK SC" w:eastAsia="Noto Serif CJK SC" w:cs="Noto Serif CJK SC"/>
        <w:b w:val="0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50" w:lineRule="exact" w:after="80"/>
    </w:pPr>
    <w:rPr>
      <w:rFonts w:ascii="Noto Serif CJK SC" w:hAnsi="Noto Serif CJK SC" w:eastAsia="Noto Serif CJK SC" w:cs="Noto Serif CJK SC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360" w:lineRule="exact"/>
    </w:pPr>
    <w:rPr>
      <w:rFonts w:ascii="Noto Serif CJK SC" w:hAnsi="Noto Serif CJK SC" w:eastAsia="Noto Serif CJK SC" w:cs="Noto Serif CJK SC"/>
      <w:b w:val="0"/>
      <w:color w:val="000000"/>
      <w:sz w:val="23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360" w:lineRule="exact"/>
    </w:pPr>
    <w:rPr>
      <w:rFonts w:ascii="Noto Serif CJK SC" w:hAnsi="Noto Serif CJK SC" w:eastAsia="Noto Serif CJK SC" w:cs="Noto Serif CJK SC"/>
      <w:b w:val="0"/>
      <w:color w:val="000000"/>
      <w:sz w:val="23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00" w:line="480" w:lineRule="exact"/>
      <w:outlineLvl w:val="0"/>
    </w:pPr>
    <w:rPr>
      <w:rFonts w:ascii="Noto Sans CJK SC" w:hAnsi="Noto Sans CJK SC" w:eastAsia="Noto Sans CJK SC" w:cs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380" w:lineRule="exact"/>
      <w:outlineLvl w:val="1"/>
    </w:pPr>
    <w:rPr>
      <w:rFonts w:ascii="Noto Sans CJK SC" w:hAnsi="Noto Sans CJK SC" w:eastAsia="Noto Sans CJK SC" w:cs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 w:line="380" w:lineRule="exact"/>
      <w:outlineLvl w:val="2"/>
    </w:pPr>
    <w:rPr>
      <w:rFonts w:ascii="Noto Sans CJK SC" w:hAnsi="Noto Sans CJK SC" w:eastAsia="Noto Sans CJK SC" w:cs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620" w:lineRule="exact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60" w:lineRule="exact" w:after="80"/>
    </w:pPr>
    <w:rPr>
      <w:rFonts w:ascii="Noto Serif CJK SC" w:hAnsi="Noto Serif CJK SC" w:eastAsia="Noto Serif CJK SC" w:cs="Noto Serif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80" w:line="350" w:lineRule="exact"/>
    </w:pPr>
    <w:rPr>
      <w:rFonts w:ascii="Noto Serif CJK SC" w:hAnsi="Noto Serif CJK SC" w:eastAsia="Noto Serif CJK SC" w:cs="Noto Serif CJK SC"/>
      <w:b w:val="0"/>
      <w:color w:val="000000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60" w:lineRule="exact" w:after="80"/>
    </w:pPr>
    <w:rPr>
      <w:rFonts w:ascii="Noto Serif CJK SC" w:hAnsi="Noto Serif CJK SC" w:eastAsia="Noto Serif CJK SC" w:cs="Noto Serif CJK SC"/>
      <w:b w:val="0"/>
      <w:bCs/>
      <w:color w:val="000000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cm.nyist.edu.cn/info/1053/2686.htm" TargetMode="External"/><Relationship Id="rId10" Type="http://schemas.openxmlformats.org/officeDocument/2006/relationships/hyperlink" Target="https://spbcm.cmu.edu.tw/ccmp/d/d0801.htm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名医文献思维构造结果样例</dc:title>
  <dc:subject>名医文献思维构造探索课程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