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RESUMO DAS UNIDADES 3 E 4 DE LINGUAGENS FORMAIS E AUTÔMATOS</w:t>
      </w:r>
    </w:p>
    <w:p>
      <w:r>
        <w:br/>
        <w:t>Yan Augusto Silva Miranda</w:t>
      </w:r>
    </w:p>
    <w:p>
      <w:r>
        <w:t>Ciências da Computação</w:t>
      </w:r>
    </w:p>
    <w:p>
      <w:r>
        <w:t>Disciplina: Linguagens Formais e Autômatos</w:t>
      </w:r>
    </w:p>
    <w:p>
      <w:r>
        <w:t>Professor: Felipe Douglas</w:t>
        <w:br/>
      </w:r>
    </w:p>
    <w:p>
      <w:pPr>
        <w:jc w:val="both"/>
      </w:pPr>
      <w:r>
        <w:t>Este resumo aborda os principais conceitos das unidades 3 e 4 sobre linguagens formais e autômatos. As árvores de derivação são utilizadas para representar como as expressões são formadas a partir das regras de uma gramática livre de contexto (GLC), mostrando cada operação e símbolo em estruturas de ramificação que detalham o processo de geração da expressão. Existem dois tipos de derivação: a derivação mais à esquerda (DME), que sempre substitui o símbolo não terminal mais à esquerda, e a derivação mais à direita (DMD), que substitui o símbolo mais à direita. Dependendo de qual derivação é usada, diferentes árvores podem ser geradas para a mesma expressão.</w:t>
        <w:br/>
        <w:br/>
        <w:t>As gramáticas livres de contexto são fundamentais para especificar a sintaxe de linguagens de programação e organizar expressões matemáticas, bem como cadeias balanceadas como parênteses. Os autômatos com pilha (AP) reconhecem linguagens livres de contexto e são importantes para o estudo dessas linguagens, como o exemplo das sequências de 'a's seguidas pelo dobro de 'b's.</w:t>
        <w:br/>
        <w:br/>
        <w:t>Além das linguagens livres de contexto, existem as linguagens sensíveis ao contexto, que dependem de regras mais elaboradas, considerando o ambiente dos símbolos. Essas gramáticas são capazes de tratar problemas em que o contexto é essencial para realizar as substituições de símbolos durante a derivação.</w:t>
        <w:br/>
        <w:br/>
        <w:t>Já as máquinas de Turing são o modelo mais geral de computação, com uma fita infinita capaz de ler, escrever e mover-se em qualquer direção. Elas ajudam a definir o conceito de computabilidade e demonstram os limites do que pode ser resolvido por algoritmos. Nem toda linguagem pode ser reconhecida por uma máquina de Turing; há muito mais linguagens não aceitas do que aceitas. A ideia da máquina universal de Turing é importante, pois está na base dos computadores atuais, permitindo executar diversos tipos de algoritmos e programas.</w:t>
        <w:br/>
        <w:br/>
        <w:t>Esses conceitos são essenciais para entender o funcionamento dos autômatos, máquinas programáveis e os limites da computação teórica.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