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5. 18. ~ 2026. 5. 22.)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5. 25. ~ 2026. 5. 29.)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우수사례 발굴(2개 시군 우수사례 선정)</w:t>
            </w:r>
          </w:p>
          <w:p>
            <w:pPr>
              <w:ind w:left="200"/>
            </w:pPr>
            <w:r>
              <w:rPr>
                <w:sz w:val="21"/>
              </w:rPr>
              <w:t>- 사업 홍보자료 제작 착수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지역 언론 대상 사업 홍보 추진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