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주간 업무실적 및 계획</w:t>
      </w:r>
    </w:p>
    <w:p/>
    <w:p>
      <w:r>
        <w:rPr>
          <w:b/>
          <w:sz w:val="24"/>
        </w:rPr>
        <w:t>■ 부서명: 일자리정책팀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구분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실적 (2026. 1. 12. ~ 2026. 1. 16.)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계획 (2026. 1. 19. ~ 2026. 1. 23.)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사업관리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사업 예산 확정</w:t>
            </w:r>
          </w:p>
          <w:p>
            <w:pPr>
              <w:ind w:left="200"/>
            </w:pPr>
            <w:r>
              <w:rPr>
                <w:sz w:val="21"/>
              </w:rPr>
              <w:t>- 참여 시군 대상 사업설명 자료 초안 작성 완료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시군 실무협의체 구성</w:t>
            </w:r>
          </w:p>
          <w:p>
            <w:pPr>
              <w:ind w:left="200"/>
            </w:pPr>
            <w:r>
              <w:rPr>
                <w:sz w:val="21"/>
              </w:rPr>
              <w:t>- 사업설명회 일정 조율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