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3. 16. ~ 2026. 3. 20.)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3. 23. ~ 2026. 3. 27.)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- 1차 구인·구직 매칭 진행(38건 매칭)</w:t>
            </w:r>
          </w:p>
          <w:p>
            <w:pPr>
              <w:ind w:left="200"/>
            </w:pPr>
            <w:r>
              <w:rPr>
                <w:sz w:val="21"/>
              </w:rPr>
              <w:t>- 상담창구 운영 현황 점검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- 1차 채용연계 결과 취합 및 참여기업 애로사항 조사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