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주간 업무실적 및 계획</w:t>
      </w:r>
    </w:p>
    <w:p/>
    <w:p>
      <w:r>
        <w:rPr>
          <w:b/>
          <w:sz w:val="24"/>
        </w:rPr>
        <w:t>■ 부서명: 일자리정책팀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구분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실적 (2026. 5. 11. ~ 2026. 5. 15.)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계획 (2026. 5. 18. ~ 2026. 5. 22.)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사업관리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상반기 중간 성과 점검 실시(누적 채용연계 23명)</w:t>
            </w:r>
          </w:p>
          <w:p>
            <w:pPr>
              <w:ind w:left="200"/>
            </w:pPr>
            <w:r>
              <w:rPr>
                <w:sz w:val="21"/>
              </w:rPr>
              <w:t>- 시군별 운영현황 비교분석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우수사례 발굴 및 정리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