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주간 업무실적 및 계획</w:t>
      </w:r>
    </w:p>
    <w:p/>
    <w:p>
      <w:r>
        <w:rPr>
          <w:b/>
          <w:sz w:val="24"/>
        </w:rPr>
        <w:t>■ 부서명: 일자리정책팀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구분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실적 (2026. 5. 25. ~ 2026. 5. 29.)</w:t>
            </w:r>
          </w:p>
        </w:tc>
        <w:tc>
          <w:tcPr>
            <w:tcW w:type="dxa" w:w="453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b/>
                <w:sz w:val="22"/>
              </w:rPr>
              <w:t>업무 계획 (2026. 6. 1. ~ 2026. 6. 5.)</w:t>
            </w:r>
          </w:p>
        </w:tc>
      </w:tr>
      <w:tr>
        <w:tc>
          <w:tcPr>
            <w:tcW w:type="dxa" w:w="124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/>
            <w:r>
              <w:rPr>
                <w:sz w:val="22"/>
              </w:rPr>
              <w:t>사업관리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지역 언론 대상 사업 홍보 추진(보도자료 배포)</w:t>
            </w:r>
          </w:p>
          <w:p>
            <w:pPr>
              <w:ind w:left="200"/>
            </w:pPr>
            <w:r>
              <w:rPr>
                <w:sz w:val="21"/>
              </w:rPr>
              <w:t>- 2차 참여기업 추가모집 개시</w:t>
            </w:r>
          </w:p>
        </w:tc>
        <w:tc>
          <w:tcPr>
            <w:tcW w:type="dxa" w:w="45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1"/>
              </w:rPr>
              <w:t>시군 특화 일자리 사업단</w:t>
            </w:r>
          </w:p>
          <w:p>
            <w:pPr>
              <w:ind w:left="200"/>
            </w:pPr>
            <w:r>
              <w:rPr>
                <w:sz w:val="21"/>
              </w:rPr>
              <w:t>- 2차 참여기업 접수 및 심사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