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1440"/>
        <w:jc w:val="left"/>
      </w:pPr>
      <w:r>
        <w:rPr>
          <w:rFonts w:ascii="Aptos Display" w:hAnsi="Aptos Display"/>
          <w:b/>
          <w:color w:val="1F4E79"/>
          <w:sz w:val="50"/>
        </w:rPr>
        <w:t>AI-Powered Family Office Portfolio Dashboard</w:t>
      </w:r>
    </w:p>
    <w:p>
      <w:pPr>
        <w:spacing w:after="360"/>
      </w:pPr>
      <w:r>
        <w:rPr>
          <w:rFonts w:ascii="Aptos" w:hAnsi="Aptos"/>
          <w:color w:val="5A5A5A"/>
          <w:sz w:val="26"/>
        </w:rPr>
        <w:t>User, Demo, and Technical Delivery Instruction</w:t>
      </w:r>
    </w:p>
    <w:tbl>
      <w:tblPr>
        <w:tblStyle w:val="TableGrid"/>
        <w:tblW w:type="auto" w:w="0"/>
        <w:jc w:val="center"/>
        <w:tblLayout w:type="fixed"/>
        <w:tblLook w:firstColumn="1" w:firstRow="1" w:lastColumn="0" w:lastRow="0" w:noHBand="0" w:noVBand="1" w:val="04A0"/>
      </w:tblPr>
      <w:tblGrid>
        <w:gridCol w:w="10512"/>
      </w:tblGrid>
      <w:tr>
        <w:tc>
          <w:tcPr>
            <w:tcW w:type="dxa" w:w="10152"/>
            <w:vAlign w:val="center"/>
            <w:tcMar>
              <w:top w:w="90" w:type="dxa"/>
              <w:start w:w="110" w:type="dxa"/>
              <w:bottom w:w="90" w:type="dxa"/>
              <w:end w:w="110" w:type="dxa"/>
            </w:tcMar>
            <w:shd w:fill="EEF5FA"/>
          </w:tcPr>
          <w:p>
            <w:pPr>
              <w:spacing w:after="0"/>
            </w:pPr>
            <w:r>
              <w:rPr>
                <w:rFonts w:ascii="Aptos" w:hAnsi="Aptos"/>
                <w:b/>
                <w:color w:val="1F4E79"/>
                <w:sz w:val="20"/>
              </w:rPr>
              <w:t xml:space="preserve">Purpose: </w:t>
            </w:r>
            <w:r>
              <w:rPr>
                <w:rFonts w:ascii="Aptos" w:hAnsi="Aptos"/>
                <w:sz w:val="20"/>
              </w:rPr>
              <w:t>Companion document to the Final Project Report. All family-office data used by this project is synthetic.</w:t>
            </w:r>
          </w:p>
        </w:tc>
      </w:tr>
    </w:tbl>
    <w:p>
      <w:pPr>
        <w:spacing w:before="4400"/>
      </w:pPr>
      <w:r>
        <w:rPr>
          <w:rFonts w:ascii="Aptos" w:hAnsi="Aptos"/>
          <w:color w:val="5A5A5A"/>
          <w:sz w:val="20"/>
        </w:rPr>
        <w:t>Final delivery | July 2026</w:t>
      </w:r>
      <w:r>
        <w:br w:type="page"/>
      </w:r>
    </w:p>
    <w:p>
      <w:pPr>
        <w:pStyle w:val="Heading1"/>
      </w:pPr>
      <w:r>
        <w:t>1. Purpose and Delivery Scope</w:t>
      </w:r>
    </w:p>
    <w:p>
      <w:pPr>
        <w:spacing w:after="100" w:line="259" w:lineRule="auto"/>
      </w:pPr>
      <w:r>
        <w:rPr>
          <w:rFonts w:ascii="Aptos" w:hAnsi="Aptos"/>
          <w:color w:val="1F1F1F"/>
          <w:sz w:val="20"/>
        </w:rPr>
        <w:t>This instruction explains how to install, run, verify, demonstrate, and hand over the proof of concept. It should be delivered together with the Final Project Report: the report explains the research, design logic, findings, and value; this document explains how to operate the delivered system.</w:t>
      </w:r>
    </w:p>
    <w:tbl>
      <w:tblPr>
        <w:tblStyle w:val="TableGrid"/>
        <w:tblW w:type="auto" w:w="0"/>
        <w:jc w:val="center"/>
        <w:tblLayout w:type="fixed"/>
        <w:tblLook w:firstColumn="1" w:firstRow="1" w:lastColumn="0" w:lastRow="0" w:noHBand="0" w:noVBand="1" w:val="04A0"/>
      </w:tblPr>
      <w:tblGrid>
        <w:gridCol w:w="10512"/>
      </w:tblGrid>
      <w:tr>
        <w:tc>
          <w:tcPr>
            <w:tcW w:type="dxa" w:w="10152"/>
            <w:vAlign w:val="center"/>
            <w:tcMar>
              <w:top w:w="90" w:type="dxa"/>
              <w:start w:w="110" w:type="dxa"/>
              <w:bottom w:w="90" w:type="dxa"/>
              <w:end w:w="110" w:type="dxa"/>
            </w:tcMar>
            <w:shd w:fill="EEF5FA"/>
          </w:tcPr>
          <w:p>
            <w:pPr>
              <w:spacing w:after="0"/>
            </w:pPr>
            <w:r>
              <w:rPr>
                <w:rFonts w:ascii="Aptos" w:hAnsi="Aptos"/>
                <w:b/>
                <w:color w:val="1F4E79"/>
                <w:sz w:val="20"/>
              </w:rPr>
              <w:t xml:space="preserve">Default operating mode: </w:t>
            </w:r>
            <w:r>
              <w:rPr>
                <w:rFonts w:ascii="Aptos" w:hAnsi="Aptos"/>
                <w:sz w:val="20"/>
              </w:rPr>
              <w:t>Use the deterministic baseline pipeline for the standard demo. It requires no API key, produces the locked expected outcomes, and is the reference state for assessment.</w:t>
            </w:r>
          </w:p>
        </w:tc>
      </w:tr>
    </w:tbl>
    <w:p>
      <w:pPr>
        <w:spacing w:after="100" w:line="259" w:lineRule="auto"/>
      </w:pPr>
      <w:r>
        <w:rPr>
          <w:rFonts w:ascii="Aptos" w:hAnsi="Aptos"/>
          <w:color w:val="1F1F1F"/>
          <w:sz w:val="20"/>
        </w:rPr>
        <w:t>The project is a presentation-ready proof of concept, not a live family-office operating system. All family-office portfolio data and private-market documents are synthetic. The public-market risk overlay uses real historical proxy prices, but those proxies represent synthetic holdings.</w:t>
      </w:r>
    </w:p>
    <w:p>
      <w:pPr>
        <w:pStyle w:val="Heading1"/>
      </w:pPr>
      <w:r>
        <w:t>2. System Overview</w:t>
      </w:r>
    </w:p>
    <w:p>
      <w:pPr>
        <w:spacing w:after="100" w:line="259" w:lineRule="auto"/>
      </w:pPr>
      <w:r>
        <w:rPr>
          <w:rFonts w:ascii="Aptos" w:hAnsi="Aptos"/>
          <w:color w:val="1F1F1F"/>
          <w:sz w:val="20"/>
        </w:rPr>
        <w:t>The system converts mock private-market PDFs into reviewed portfolio updates and presents the resulting state through a Streamlit dashboard.</w:t>
      </w:r>
    </w:p>
    <w:p>
      <w:pPr>
        <w:pStyle w:val="ListNumber"/>
        <w:spacing w:after="100" w:line="259" w:lineRule="auto"/>
        <w:ind w:left="403" w:hanging="259"/>
      </w:pPr>
      <w:r>
        <w:rPr>
          <w:rFonts w:ascii="Aptos" w:hAnsi="Aptos"/>
          <w:color w:val="1F1F1F"/>
          <w:sz w:val="20"/>
        </w:rPr>
        <w:t>Raw mock PDFs or staged uploads enter the document workflow.</w:t>
      </w:r>
    </w:p>
    <w:p>
      <w:pPr>
        <w:pStyle w:val="ListNumber"/>
        <w:spacing w:after="100" w:line="259" w:lineRule="auto"/>
        <w:ind w:left="403" w:hanging="259"/>
      </w:pPr>
      <w:r>
        <w:rPr>
          <w:rFonts w:ascii="Aptos" w:hAnsi="Aptos"/>
          <w:color w:val="1F1F1F"/>
          <w:sz w:val="20"/>
        </w:rPr>
        <w:t>The extraction module classifies each document and writes structured JSON using a document-type schema.</w:t>
      </w:r>
    </w:p>
    <w:p>
      <w:pPr>
        <w:pStyle w:val="ListNumber"/>
        <w:spacing w:after="100" w:line="259" w:lineRule="auto"/>
        <w:ind w:left="403" w:hanging="259"/>
      </w:pPr>
      <w:r>
        <w:rPr>
          <w:rFonts w:ascii="Aptos" w:hAnsi="Aptos"/>
          <w:color w:val="1F1F1F"/>
          <w:sz w:val="20"/>
        </w:rPr>
        <w:t>The validation module applies field, arithmetic, identifier, date, and cross-record checks.</w:t>
      </w:r>
    </w:p>
    <w:p>
      <w:pPr>
        <w:pStyle w:val="ListNumber"/>
        <w:spacing w:after="100" w:line="259" w:lineRule="auto"/>
        <w:ind w:left="403" w:hanging="259"/>
      </w:pPr>
      <w:r>
        <w:rPr>
          <w:rFonts w:ascii="Aptos" w:hAnsi="Aptos"/>
          <w:color w:val="1F1F1F"/>
          <w:sz w:val="20"/>
        </w:rPr>
        <w:t>The review layer assigns approved, needs review, or rejected status.</w:t>
      </w:r>
    </w:p>
    <w:p>
      <w:pPr>
        <w:pStyle w:val="ListNumber"/>
        <w:spacing w:after="100" w:line="259" w:lineRule="auto"/>
        <w:ind w:left="403" w:hanging="259"/>
      </w:pPr>
      <w:r>
        <w:rPr>
          <w:rFonts w:ascii="Aptos" w:hAnsi="Aptos"/>
          <w:color w:val="1F1F1F"/>
          <w:sz w:val="20"/>
        </w:rPr>
        <w:t>The portfolio-update module applies approved records only and preserves blocked records for review.</w:t>
      </w:r>
    </w:p>
    <w:p>
      <w:pPr>
        <w:pStyle w:val="ListNumber"/>
        <w:spacing w:after="100" w:line="259" w:lineRule="auto"/>
        <w:ind w:left="403" w:hanging="259"/>
      </w:pPr>
      <w:r>
        <w:rPr>
          <w:rFonts w:ascii="Aptos" w:hAnsi="Aptos"/>
          <w:color w:val="1F1F1F"/>
          <w:sz w:val="20"/>
        </w:rPr>
        <w:t>The dashboard reads processed outputs and presents portfolio, liquidity, risk, and workflow views.</w:t>
      </w:r>
    </w:p>
    <w:tbl>
      <w:tblPr>
        <w:tblStyle w:val="TableGrid"/>
        <w:tblW w:type="auto" w:w="0"/>
        <w:jc w:val="center"/>
        <w:tblLayout w:type="fixed"/>
        <w:tblLook w:firstColumn="1" w:firstRow="1" w:lastColumn="0" w:lastRow="0" w:noHBand="0" w:noVBand="1" w:val="04A0"/>
      </w:tblPr>
      <w:tblGrid>
        <w:gridCol w:w="10512"/>
      </w:tblGrid>
      <w:tr>
        <w:tc>
          <w:tcPr>
            <w:tcW w:type="dxa" w:w="10152"/>
            <w:vAlign w:val="center"/>
            <w:tcMar>
              <w:top w:w="90" w:type="dxa"/>
              <w:start w:w="110" w:type="dxa"/>
              <w:bottom w:w="90" w:type="dxa"/>
              <w:end w:w="110" w:type="dxa"/>
            </w:tcMar>
            <w:shd w:fill="FFF2CC"/>
          </w:tcPr>
          <w:p>
            <w:pPr>
              <w:spacing w:after="0"/>
            </w:pPr>
            <w:r>
              <w:rPr>
                <w:rFonts w:ascii="Aptos" w:hAnsi="Aptos"/>
                <w:b/>
                <w:color w:val="1F4E79"/>
                <w:sz w:val="20"/>
              </w:rPr>
              <w:t xml:space="preserve">Critical boundary: </w:t>
            </w:r>
            <w:r>
              <w:rPr>
                <w:rFonts w:ascii="Aptos" w:hAnsi="Aptos"/>
                <w:sz w:val="20"/>
              </w:rPr>
              <w:t>The dashboard does not run extraction, validation, or portfolio updates automatically. It reads processed outputs. A PDF uploaded on the Document Intake page is staged for processing and does not immediately change portfolio state.</w:t>
            </w:r>
          </w:p>
        </w:tc>
      </w:tr>
    </w:tbl>
    <w:p>
      <w:pPr>
        <w:pStyle w:val="Heading1"/>
      </w:pPr>
      <w:r>
        <w:t>3. Prerequisites and Repository Location</w:t>
      </w:r>
    </w:p>
    <w:p>
      <w:pPr>
        <w:spacing w:after="100" w:line="259" w:lineRule="auto"/>
      </w:pPr>
      <w:r>
        <w:rPr>
          <w:rFonts w:ascii="Aptos" w:hAnsi="Aptos"/>
          <w:color w:val="1F1F1F"/>
          <w:sz w:val="20"/>
        </w:rPr>
        <w:t>Run all commands from the repository root:</w:t>
      </w:r>
    </w:p>
    <w:tbl>
      <w:tblPr>
        <w:tblStyle w:val="TableGrid"/>
        <w:tblW w:type="auto" w:w="0"/>
        <w:jc w:val="center"/>
        <w:tblLayout w:type="fixed"/>
        <w:tblLook w:firstColumn="1" w:firstRow="1" w:lastColumn="0" w:lastRow="0" w:noHBand="0" w:noVBand="1" w:val="04A0"/>
      </w:tblPr>
      <w:tblGrid>
        <w:gridCol w:w="10512"/>
      </w:tblGrid>
      <w:tr>
        <w:tc>
          <w:tcPr>
            <w:tcW w:type="dxa" w:w="10152"/>
            <w:vAlign w:val="center"/>
            <w:tcMar>
              <w:top w:w="90" w:type="dxa"/>
              <w:start w:w="110" w:type="dxa"/>
              <w:bottom w:w="90" w:type="dxa"/>
              <w:end w:w="110" w:type="dxa"/>
            </w:tcMar>
            <w:shd w:fill="F7F7F7"/>
          </w:tcPr>
          <w:p>
            <w:pPr>
              <w:spacing w:after="0"/>
            </w:pPr>
            <w:r>
              <w:rPr>
                <w:rFonts w:ascii="Courier New" w:hAnsi="Courier New"/>
                <w:color w:val="1F1F1F"/>
                <w:sz w:val="17"/>
              </w:rPr>
              <w:t>cd /Users/yana/Documents/GitHub/project_portfolio_dashboard</w:t>
            </w:r>
          </w:p>
        </w:tc>
      </w:tr>
    </w:tbl>
    <w:tbl>
      <w:tblPr>
        <w:tblStyle w:val="TableGrid"/>
        <w:tblW w:type="auto" w:w="0"/>
        <w:jc w:val="center"/>
        <w:tblLayout w:type="fixed"/>
        <w:tblLook w:firstColumn="1" w:firstRow="1" w:lastColumn="0" w:lastRow="0" w:noHBand="0" w:noVBand="1" w:val="04A0"/>
      </w:tblPr>
      <w:tblGrid>
        <w:gridCol w:w="3504"/>
        <w:gridCol w:w="3504"/>
        <w:gridCol w:w="3504"/>
      </w:tblGrid>
      <w:tr>
        <w:trPr>
          <w:tblHeader w:val="true"/>
        </w:trPr>
        <w:tc>
          <w:tcPr>
            <w:tcW w:type="dxa" w:w="2160"/>
            <w:vAlign w:val="center"/>
            <w:tcMar>
              <w:top w:w="90" w:type="dxa"/>
              <w:start w:w="110" w:type="dxa"/>
              <w:bottom w:w="90" w:type="dxa"/>
              <w:end w:w="110" w:type="dxa"/>
            </w:tcMar>
            <w:shd w:fill="1F4E79"/>
          </w:tcPr>
          <w:p>
            <w:r>
              <w:rPr>
                <w:b/>
                <w:color w:val="FFFFFF"/>
                <w:sz w:val="16"/>
              </w:rPr>
              <w:t>Requirement</w:t>
            </w:r>
          </w:p>
        </w:tc>
        <w:tc>
          <w:tcPr>
            <w:tcW w:type="dxa" w:w="4680"/>
            <w:vAlign w:val="center"/>
            <w:tcMar>
              <w:top w:w="90" w:type="dxa"/>
              <w:start w:w="110" w:type="dxa"/>
              <w:bottom w:w="90" w:type="dxa"/>
              <w:end w:w="110" w:type="dxa"/>
            </w:tcMar>
            <w:shd w:fill="1F4E79"/>
          </w:tcPr>
          <w:p>
            <w:r>
              <w:rPr>
                <w:b/>
                <w:color w:val="FFFFFF"/>
                <w:sz w:val="16"/>
              </w:rPr>
              <w:t>Purpose</w:t>
            </w:r>
          </w:p>
        </w:tc>
        <w:tc>
          <w:tcPr>
            <w:tcW w:type="dxa" w:w="3312"/>
            <w:vAlign w:val="center"/>
            <w:tcMar>
              <w:top w:w="90" w:type="dxa"/>
              <w:start w:w="110" w:type="dxa"/>
              <w:bottom w:w="90" w:type="dxa"/>
              <w:end w:w="110" w:type="dxa"/>
            </w:tcMar>
            <w:shd w:fill="1F4E79"/>
          </w:tcPr>
          <w:p>
            <w:r>
              <w:rPr>
                <w:b/>
                <w:color w:val="FFFFFF"/>
                <w:sz w:val="16"/>
              </w:rPr>
              <w:t>Check</w:t>
            </w:r>
          </w:p>
        </w:tc>
      </w:tr>
      <w:tr>
        <w:tc>
          <w:tcPr>
            <w:tcW w:type="dxa" w:w="2160"/>
            <w:vAlign w:val="center"/>
            <w:tcMar>
              <w:top w:w="90" w:type="dxa"/>
              <w:start w:w="110" w:type="dxa"/>
              <w:bottom w:w="90" w:type="dxa"/>
              <w:end w:w="110" w:type="dxa"/>
            </w:tcMar>
          </w:tcPr>
          <w:p>
            <w:pPr>
              <w:spacing w:after="0" w:line="240" w:lineRule="auto"/>
            </w:pPr>
            <w:r>
              <w:rPr>
                <w:rFonts w:ascii="Aptos" w:hAnsi="Aptos"/>
                <w:sz w:val="16"/>
              </w:rPr>
              <w:t>Python 3</w:t>
            </w:r>
          </w:p>
        </w:tc>
        <w:tc>
          <w:tcPr>
            <w:tcW w:type="dxa" w:w="4680"/>
            <w:vAlign w:val="center"/>
            <w:tcMar>
              <w:top w:w="90" w:type="dxa"/>
              <w:start w:w="110" w:type="dxa"/>
              <w:bottom w:w="90" w:type="dxa"/>
              <w:end w:w="110" w:type="dxa"/>
            </w:tcMar>
          </w:tcPr>
          <w:p>
            <w:pPr>
              <w:spacing w:after="0" w:line="240" w:lineRule="auto"/>
            </w:pPr>
            <w:r>
              <w:rPr>
                <w:rFonts w:ascii="Aptos" w:hAnsi="Aptos"/>
                <w:sz w:val="16"/>
              </w:rPr>
              <w:t>Pipeline, QA, tests, and Streamlit application</w:t>
            </w:r>
          </w:p>
        </w:tc>
        <w:tc>
          <w:tcPr>
            <w:tcW w:type="dxa" w:w="3312"/>
            <w:vAlign w:val="center"/>
            <w:tcMar>
              <w:top w:w="90" w:type="dxa"/>
              <w:start w:w="110" w:type="dxa"/>
              <w:bottom w:w="90" w:type="dxa"/>
              <w:end w:w="110" w:type="dxa"/>
            </w:tcMar>
          </w:tcPr>
          <w:p>
            <w:pPr>
              <w:spacing w:after="0" w:line="240" w:lineRule="auto"/>
            </w:pPr>
            <w:r>
              <w:rPr>
                <w:rFonts w:ascii="Aptos" w:hAnsi="Aptos"/>
                <w:sz w:val="16"/>
              </w:rPr>
              <w:t>python3 --version</w:t>
            </w:r>
          </w:p>
        </w:tc>
      </w:tr>
      <w:tr>
        <w:tc>
          <w:tcPr>
            <w:tcW w:type="dxa" w:w="2160"/>
            <w:vAlign w:val="center"/>
            <w:tcMar>
              <w:top w:w="90" w:type="dxa"/>
              <w:start w:w="110" w:type="dxa"/>
              <w:bottom w:w="90" w:type="dxa"/>
              <w:end w:w="110" w:type="dxa"/>
            </w:tcMar>
          </w:tcPr>
          <w:p>
            <w:pPr>
              <w:spacing w:after="0" w:line="240" w:lineRule="auto"/>
            </w:pPr>
            <w:r>
              <w:rPr>
                <w:rFonts w:ascii="Aptos" w:hAnsi="Aptos"/>
                <w:sz w:val="16"/>
              </w:rPr>
              <w:t>Project dependencies</w:t>
            </w:r>
          </w:p>
        </w:tc>
        <w:tc>
          <w:tcPr>
            <w:tcW w:type="dxa" w:w="4680"/>
            <w:vAlign w:val="center"/>
            <w:tcMar>
              <w:top w:w="90" w:type="dxa"/>
              <w:start w:w="110" w:type="dxa"/>
              <w:bottom w:w="90" w:type="dxa"/>
              <w:end w:w="110" w:type="dxa"/>
            </w:tcMar>
          </w:tcPr>
          <w:p>
            <w:pPr>
              <w:spacing w:after="0" w:line="240" w:lineRule="auto"/>
            </w:pPr>
            <w:r>
              <w:rPr>
                <w:rFonts w:ascii="Aptos" w:hAnsi="Aptos"/>
                <w:sz w:val="16"/>
              </w:rPr>
              <w:t>pandas, Streamlit, PDF and analytics libraries</w:t>
            </w:r>
          </w:p>
        </w:tc>
        <w:tc>
          <w:tcPr>
            <w:tcW w:type="dxa" w:w="3312"/>
            <w:vAlign w:val="center"/>
            <w:tcMar>
              <w:top w:w="90" w:type="dxa"/>
              <w:start w:w="110" w:type="dxa"/>
              <w:bottom w:w="90" w:type="dxa"/>
              <w:end w:w="110" w:type="dxa"/>
            </w:tcMar>
          </w:tcPr>
          <w:p>
            <w:pPr>
              <w:spacing w:after="0" w:line="240" w:lineRule="auto"/>
            </w:pPr>
            <w:r>
              <w:rPr>
                <w:rFonts w:ascii="Aptos" w:hAnsi="Aptos"/>
                <w:sz w:val="16"/>
              </w:rPr>
              <w:t>Install from the repository environment/requirements</w:t>
            </w:r>
          </w:p>
        </w:tc>
      </w:tr>
      <w:tr>
        <w:tc>
          <w:tcPr>
            <w:tcW w:type="dxa" w:w="2160"/>
            <w:vAlign w:val="center"/>
            <w:tcMar>
              <w:top w:w="90" w:type="dxa"/>
              <w:start w:w="110" w:type="dxa"/>
              <w:bottom w:w="90" w:type="dxa"/>
              <w:end w:w="110" w:type="dxa"/>
            </w:tcMar>
          </w:tcPr>
          <w:p>
            <w:pPr>
              <w:spacing w:after="0" w:line="240" w:lineRule="auto"/>
            </w:pPr>
            <w:r>
              <w:rPr>
                <w:rFonts w:ascii="Aptos" w:hAnsi="Aptos"/>
                <w:sz w:val="16"/>
              </w:rPr>
              <w:t>Local browser</w:t>
            </w:r>
          </w:p>
        </w:tc>
        <w:tc>
          <w:tcPr>
            <w:tcW w:type="dxa" w:w="4680"/>
            <w:vAlign w:val="center"/>
            <w:tcMar>
              <w:top w:w="90" w:type="dxa"/>
              <w:start w:w="110" w:type="dxa"/>
              <w:bottom w:w="90" w:type="dxa"/>
              <w:end w:w="110" w:type="dxa"/>
            </w:tcMar>
          </w:tcPr>
          <w:p>
            <w:pPr>
              <w:spacing w:after="0" w:line="240" w:lineRule="auto"/>
            </w:pPr>
            <w:r>
              <w:rPr>
                <w:rFonts w:ascii="Aptos" w:hAnsi="Aptos"/>
                <w:sz w:val="16"/>
              </w:rPr>
              <w:t>View the Streamlit dashboard</w:t>
            </w:r>
          </w:p>
        </w:tc>
        <w:tc>
          <w:tcPr>
            <w:tcW w:type="dxa" w:w="3312"/>
            <w:vAlign w:val="center"/>
            <w:tcMar>
              <w:top w:w="90" w:type="dxa"/>
              <w:start w:w="110" w:type="dxa"/>
              <w:bottom w:w="90" w:type="dxa"/>
              <w:end w:w="110" w:type="dxa"/>
            </w:tcMar>
          </w:tcPr>
          <w:p>
            <w:pPr>
              <w:spacing w:after="0" w:line="240" w:lineRule="auto"/>
            </w:pPr>
            <w:r>
              <w:rPr>
                <w:rFonts w:ascii="Aptos" w:hAnsi="Aptos"/>
                <w:sz w:val="16"/>
              </w:rPr>
              <w:t>Open the URL printed by Streamlit</w:t>
            </w:r>
          </w:p>
        </w:tc>
      </w:tr>
      <w:tr>
        <w:tc>
          <w:tcPr>
            <w:tcW w:type="dxa" w:w="2160"/>
            <w:vAlign w:val="center"/>
            <w:tcMar>
              <w:top w:w="90" w:type="dxa"/>
              <w:start w:w="110" w:type="dxa"/>
              <w:bottom w:w="90" w:type="dxa"/>
              <w:end w:w="110" w:type="dxa"/>
            </w:tcMar>
          </w:tcPr>
          <w:p>
            <w:pPr>
              <w:spacing w:after="0" w:line="240" w:lineRule="auto"/>
            </w:pPr>
            <w:r>
              <w:rPr>
                <w:rFonts w:ascii="Aptos" w:hAnsi="Aptos"/>
                <w:sz w:val="16"/>
              </w:rPr>
              <w:t>Internet access</w:t>
            </w:r>
          </w:p>
        </w:tc>
        <w:tc>
          <w:tcPr>
            <w:tcW w:type="dxa" w:w="4680"/>
            <w:vAlign w:val="center"/>
            <w:tcMar>
              <w:top w:w="90" w:type="dxa"/>
              <w:start w:w="110" w:type="dxa"/>
              <w:bottom w:w="90" w:type="dxa"/>
              <w:end w:w="110" w:type="dxa"/>
            </w:tcMar>
          </w:tcPr>
          <w:p>
            <w:pPr>
              <w:spacing w:after="0" w:line="240" w:lineRule="auto"/>
            </w:pPr>
            <w:r>
              <w:rPr>
                <w:rFonts w:ascii="Aptos" w:hAnsi="Aptos"/>
                <w:sz w:val="16"/>
              </w:rPr>
              <w:t>Not required for the locked demo; only needed for optional price refresh or hosted app</w:t>
            </w:r>
          </w:p>
        </w:tc>
        <w:tc>
          <w:tcPr>
            <w:tcW w:type="dxa" w:w="3312"/>
            <w:vAlign w:val="center"/>
            <w:tcMar>
              <w:top w:w="90" w:type="dxa"/>
              <w:start w:w="110" w:type="dxa"/>
              <w:bottom w:w="90" w:type="dxa"/>
              <w:end w:w="110" w:type="dxa"/>
            </w:tcMar>
          </w:tcPr>
          <w:p>
            <w:pPr>
              <w:spacing w:after="0" w:line="240" w:lineRule="auto"/>
            </w:pPr>
            <w:r>
              <w:rPr>
                <w:rFonts w:ascii="Aptos" w:hAnsi="Aptos"/>
                <w:sz w:val="16"/>
              </w:rPr>
              <w:t>Keep the committed market-price file for offline demo</w:t>
            </w:r>
          </w:p>
        </w:tc>
      </w:tr>
    </w:tbl>
    <w:p>
      <w:pPr>
        <w:pStyle w:val="Heading1"/>
      </w:pPr>
      <w:r>
        <w:t>4. Quick Start: Locked Baseline Demo</w:t>
      </w:r>
    </w:p>
    <w:p>
      <w:pPr>
        <w:spacing w:after="100" w:line="259" w:lineRule="auto"/>
      </w:pPr>
      <w:r>
        <w:rPr>
          <w:rFonts w:ascii="Aptos" w:hAnsi="Aptos"/>
          <w:color w:val="1F1F1F"/>
          <w:sz w:val="20"/>
        </w:rPr>
        <w:t>Run the following sequence in order. Stop and investigate if a command fails; do not start the presentation from a partially refreshed state.</w:t>
      </w:r>
    </w:p>
    <w:tbl>
      <w:tblPr>
        <w:tblStyle w:val="TableGrid"/>
        <w:tblW w:type="auto" w:w="0"/>
        <w:jc w:val="center"/>
        <w:tblLayout w:type="fixed"/>
        <w:tblLook w:firstColumn="1" w:firstRow="1" w:lastColumn="0" w:lastRow="0" w:noHBand="0" w:noVBand="1" w:val="04A0"/>
      </w:tblPr>
      <w:tblGrid>
        <w:gridCol w:w="10512"/>
      </w:tblGrid>
      <w:tr>
        <w:tc>
          <w:tcPr>
            <w:tcW w:type="dxa" w:w="10152"/>
            <w:vAlign w:val="center"/>
            <w:tcMar>
              <w:top w:w="90" w:type="dxa"/>
              <w:start w:w="110" w:type="dxa"/>
              <w:bottom w:w="90" w:type="dxa"/>
              <w:end w:w="110" w:type="dxa"/>
            </w:tcMar>
            <w:shd w:fill="F7F7F7"/>
          </w:tcPr>
          <w:p>
            <w:pPr>
              <w:spacing w:after="0"/>
            </w:pPr>
            <w:r>
              <w:rPr>
                <w:rFonts w:ascii="Courier New" w:hAnsi="Courier New"/>
                <w:color w:val="1F1F1F"/>
                <w:sz w:val="17"/>
              </w:rPr>
              <w:t>python3 -m src.data_checks</w:t>
            </w:r>
            <w:r>
              <w:br/>
            </w:r>
            <w:r>
              <w:rPr>
                <w:rFonts w:ascii="Courier New" w:hAnsi="Courier New"/>
                <w:color w:val="1F1F1F"/>
                <w:sz w:val="17"/>
              </w:rPr>
              <w:t>python3 -m src.extraction.run_extraction --mode baseline</w:t>
            </w:r>
            <w:r>
              <w:br/>
            </w:r>
            <w:r>
              <w:rPr>
                <w:rFonts w:ascii="Courier New" w:hAnsi="Courier New"/>
                <w:color w:val="1F1F1F"/>
                <w:sz w:val="17"/>
              </w:rPr>
              <w:t>python3 -m src.validation.run_validation --mode baseline</w:t>
            </w:r>
            <w:r>
              <w:br/>
            </w:r>
            <w:r>
              <w:rPr>
                <w:rFonts w:ascii="Courier New" w:hAnsi="Courier New"/>
                <w:color w:val="1F1F1F"/>
                <w:sz w:val="17"/>
              </w:rPr>
              <w:t>python3 -m src.portfolio_updates.apply_updates --mode baseline</w:t>
            </w:r>
            <w:r>
              <w:br/>
            </w:r>
            <w:r>
              <w:rPr>
                <w:rFonts w:ascii="Courier New" w:hAnsi="Courier New"/>
                <w:color w:val="1F1F1F"/>
                <w:sz w:val="17"/>
              </w:rPr>
              <w:t>python3 -m src.demo_check</w:t>
            </w:r>
            <w:r>
              <w:br/>
            </w:r>
            <w:r>
              <w:rPr>
                <w:rFonts w:ascii="Courier New" w:hAnsi="Courier New"/>
                <w:color w:val="1F1F1F"/>
                <w:sz w:val="17"/>
              </w:rPr>
              <w:t>pytest</w:t>
            </w:r>
            <w:r>
              <w:br/>
            </w:r>
            <w:r>
              <w:rPr>
                <w:rFonts w:ascii="Courier New" w:hAnsi="Courier New"/>
                <w:color w:val="1F1F1F"/>
                <w:sz w:val="17"/>
              </w:rPr>
              <w:t>streamlit run app.py</w:t>
            </w:r>
          </w:p>
        </w:tc>
      </w:tr>
    </w:tbl>
    <w:p>
      <w:pPr>
        <w:spacing w:after="100" w:line="259" w:lineRule="auto"/>
      </w:pPr>
      <w:r>
        <w:rPr>
          <w:rFonts w:ascii="Aptos" w:hAnsi="Aptos"/>
          <w:color w:val="1F1F1F"/>
          <w:sz w:val="20"/>
        </w:rPr>
        <w:t>Expected locked outcomes after a clean run:</w:t>
      </w:r>
    </w:p>
    <w:p>
      <w:pPr>
        <w:pStyle w:val="ListBullet"/>
        <w:spacing w:after="100" w:line="259" w:lineRule="auto"/>
        <w:ind w:left="360" w:hanging="216"/>
      </w:pPr>
      <w:r>
        <w:rPr>
          <w:rFonts w:ascii="Aptos" w:hAnsi="Aptos"/>
          <w:color w:val="1F1F1F"/>
          <w:sz w:val="20"/>
        </w:rPr>
        <w:t>Data QA: 26 passed, 0 failed, 0 warnings.</w:t>
      </w:r>
    </w:p>
    <w:p>
      <w:pPr>
        <w:pStyle w:val="ListBullet"/>
        <w:spacing w:after="100" w:line="259" w:lineRule="auto"/>
        <w:ind w:left="360" w:hanging="216"/>
      </w:pPr>
      <w:r>
        <w:rPr>
          <w:rFonts w:ascii="Aptos" w:hAnsi="Aptos"/>
          <w:color w:val="1F1F1F"/>
          <w:sz w:val="20"/>
        </w:rPr>
        <w:t>Extraction: six baseline JSON outputs.</w:t>
      </w:r>
    </w:p>
    <w:p>
      <w:pPr>
        <w:pStyle w:val="ListBullet"/>
        <w:spacing w:after="100" w:line="259" w:lineRule="auto"/>
        <w:ind w:left="360" w:hanging="216"/>
      </w:pPr>
      <w:r>
        <w:rPr>
          <w:rFonts w:ascii="Aptos" w:hAnsi="Aptos"/>
          <w:color w:val="1F1F1F"/>
          <w:sz w:val="20"/>
        </w:rPr>
        <w:t>Validation: three approved, two needs review, one rejected.</w:t>
      </w:r>
    </w:p>
    <w:p>
      <w:pPr>
        <w:pStyle w:val="ListBullet"/>
        <w:spacing w:after="100" w:line="259" w:lineRule="auto"/>
        <w:ind w:left="360" w:hanging="216"/>
      </w:pPr>
      <w:r>
        <w:rPr>
          <w:rFonts w:ascii="Aptos" w:hAnsi="Aptos"/>
          <w:color w:val="1F1F1F"/>
          <w:sz w:val="20"/>
        </w:rPr>
        <w:t>Portfolio application: three applied and three blocked.</w:t>
      </w:r>
    </w:p>
    <w:p>
      <w:pPr>
        <w:pStyle w:val="ListBullet"/>
        <w:spacing w:after="100" w:line="259" w:lineRule="auto"/>
        <w:ind w:left="360" w:hanging="216"/>
      </w:pPr>
      <w:r>
        <w:rPr>
          <w:rFonts w:ascii="Aptos" w:hAnsi="Aptos"/>
          <w:color w:val="1F1F1F"/>
          <w:sz w:val="20"/>
        </w:rPr>
        <w:t>Demo readiness: 20 passed and 0 failed.</w:t>
      </w:r>
    </w:p>
    <w:p>
      <w:pPr>
        <w:pStyle w:val="ListBullet"/>
        <w:spacing w:after="100" w:line="259" w:lineRule="auto"/>
        <w:ind w:left="360" w:hanging="216"/>
      </w:pPr>
      <w:r>
        <w:rPr>
          <w:rFonts w:ascii="Aptos" w:hAnsi="Aptos"/>
          <w:color w:val="1F1F1F"/>
          <w:sz w:val="20"/>
        </w:rPr>
        <w:t>Automated tests: 129 passed with two expected warnings at the final delivery state.</w:t>
      </w:r>
    </w:p>
    <w:tbl>
      <w:tblPr>
        <w:tblStyle w:val="TableGrid"/>
        <w:tblW w:type="auto" w:w="0"/>
        <w:jc w:val="center"/>
        <w:tblLayout w:type="fixed"/>
        <w:tblLook w:firstColumn="1" w:firstRow="1" w:lastColumn="0" w:lastRow="0" w:noHBand="0" w:noVBand="1" w:val="04A0"/>
      </w:tblPr>
      <w:tblGrid>
        <w:gridCol w:w="10512"/>
      </w:tblGrid>
      <w:tr>
        <w:tc>
          <w:tcPr>
            <w:tcW w:type="dxa" w:w="10152"/>
            <w:vAlign w:val="center"/>
            <w:tcMar>
              <w:top w:w="90" w:type="dxa"/>
              <w:start w:w="110" w:type="dxa"/>
              <w:bottom w:w="90" w:type="dxa"/>
              <w:end w:w="110" w:type="dxa"/>
            </w:tcMar>
            <w:shd w:fill="EEF5FA"/>
          </w:tcPr>
          <w:p>
            <w:pPr>
              <w:spacing w:after="0"/>
            </w:pPr>
            <w:r>
              <w:rPr>
                <w:rFonts w:ascii="Aptos" w:hAnsi="Aptos"/>
                <w:b/>
                <w:color w:val="1F4E79"/>
                <w:sz w:val="20"/>
              </w:rPr>
              <w:t xml:space="preserve">Verification note: </w:t>
            </w:r>
            <w:r>
              <w:rPr>
                <w:rFonts w:ascii="Aptos" w:hAnsi="Aptos"/>
                <w:sz w:val="20"/>
              </w:rPr>
              <w:t>Test counts may change if the codebase is extended after delivery. Treat a clean current run and the generated readiness reports as authoritative, while the counts above document the final locked delivery state.</w:t>
            </w:r>
          </w:p>
        </w:tc>
      </w:tr>
    </w:tbl>
    <w:p>
      <w:pPr>
        <w:pStyle w:val="Heading1"/>
      </w:pPr>
      <w:r>
        <w:t>5. Understanding the Baseline and Overlay</w:t>
      </w:r>
    </w:p>
    <w:p>
      <w:pPr>
        <w:spacing w:after="100" w:line="259" w:lineRule="auto"/>
      </w:pPr>
      <w:r>
        <w:rPr>
          <w:rFonts w:ascii="Aptos" w:hAnsi="Aptos"/>
          <w:color w:val="1F1F1F"/>
          <w:sz w:val="20"/>
        </w:rPr>
        <w:t>The official portfolio baseline is dated 30 April 2026. The six May 2026 documents form a processed overlay; they do not redefine the official close. This distinction prevents projected or newly approved events from being confused with booked April balances.</w:t>
      </w:r>
    </w:p>
    <w:tbl>
      <w:tblPr>
        <w:tblStyle w:val="TableGrid"/>
        <w:tblW w:type="auto" w:w="0"/>
        <w:jc w:val="center"/>
        <w:tblLayout w:type="fixed"/>
        <w:tblLook w:firstColumn="1" w:firstRow="1" w:lastColumn="0" w:lastRow="0" w:noHBand="0" w:noVBand="1" w:val="04A0"/>
      </w:tblPr>
      <w:tblGrid>
        <w:gridCol w:w="3504"/>
        <w:gridCol w:w="3504"/>
        <w:gridCol w:w="3504"/>
      </w:tblGrid>
      <w:tr>
        <w:trPr>
          <w:tblHeader w:val="true"/>
        </w:trPr>
        <w:tc>
          <w:tcPr>
            <w:tcW w:type="dxa" w:w="1872"/>
            <w:vAlign w:val="center"/>
            <w:tcMar>
              <w:top w:w="90" w:type="dxa"/>
              <w:start w:w="110" w:type="dxa"/>
              <w:bottom w:w="90" w:type="dxa"/>
              <w:end w:w="110" w:type="dxa"/>
            </w:tcMar>
            <w:shd w:fill="1F4E79"/>
          </w:tcPr>
          <w:p>
            <w:r>
              <w:rPr>
                <w:b/>
                <w:color w:val="FFFFFF"/>
                <w:sz w:val="16"/>
              </w:rPr>
              <w:t>State</w:t>
            </w:r>
          </w:p>
        </w:tc>
        <w:tc>
          <w:tcPr>
            <w:tcW w:type="dxa" w:w="3816"/>
            <w:vAlign w:val="center"/>
            <w:tcMar>
              <w:top w:w="90" w:type="dxa"/>
              <w:start w:w="110" w:type="dxa"/>
              <w:bottom w:w="90" w:type="dxa"/>
              <w:end w:w="110" w:type="dxa"/>
            </w:tcMar>
            <w:shd w:fill="1F4E79"/>
          </w:tcPr>
          <w:p>
            <w:r>
              <w:rPr>
                <w:b/>
                <w:color w:val="FFFFFF"/>
                <w:sz w:val="16"/>
              </w:rPr>
              <w:t>Meaning</w:t>
            </w:r>
          </w:p>
        </w:tc>
        <w:tc>
          <w:tcPr>
            <w:tcW w:type="dxa" w:w="4464"/>
            <w:vAlign w:val="center"/>
            <w:tcMar>
              <w:top w:w="90" w:type="dxa"/>
              <w:start w:w="110" w:type="dxa"/>
              <w:bottom w:w="90" w:type="dxa"/>
              <w:end w:w="110" w:type="dxa"/>
            </w:tcMar>
            <w:shd w:fill="1F4E79"/>
          </w:tcPr>
          <w:p>
            <w:r>
              <w:rPr>
                <w:b/>
                <w:color w:val="FFFFFF"/>
                <w:sz w:val="16"/>
              </w:rPr>
              <w:t>How to interpret it</w:t>
            </w:r>
          </w:p>
        </w:tc>
      </w:tr>
      <w:tr>
        <w:tc>
          <w:tcPr>
            <w:tcW w:type="dxa" w:w="1872"/>
            <w:vAlign w:val="center"/>
            <w:tcMar>
              <w:top w:w="90" w:type="dxa"/>
              <w:start w:w="110" w:type="dxa"/>
              <w:bottom w:w="90" w:type="dxa"/>
              <w:end w:w="110" w:type="dxa"/>
            </w:tcMar>
          </w:tcPr>
          <w:p>
            <w:pPr>
              <w:spacing w:after="0" w:line="240" w:lineRule="auto"/>
            </w:pPr>
            <w:r>
              <w:rPr>
                <w:rFonts w:ascii="Aptos" w:hAnsi="Aptos"/>
                <w:sz w:val="16"/>
              </w:rPr>
              <w:t>Official baseline</w:t>
            </w:r>
          </w:p>
        </w:tc>
        <w:tc>
          <w:tcPr>
            <w:tcW w:type="dxa" w:w="3816"/>
            <w:vAlign w:val="center"/>
            <w:tcMar>
              <w:top w:w="90" w:type="dxa"/>
              <w:start w:w="110" w:type="dxa"/>
              <w:bottom w:w="90" w:type="dxa"/>
              <w:end w:w="110" w:type="dxa"/>
            </w:tcMar>
          </w:tcPr>
          <w:p>
            <w:pPr>
              <w:spacing w:after="0" w:line="240" w:lineRule="auto"/>
            </w:pPr>
            <w:r>
              <w:rPr>
                <w:rFonts w:ascii="Aptos" w:hAnsi="Aptos"/>
                <w:sz w:val="16"/>
              </w:rPr>
              <w:t>The accepted portfolio position as of 30 April 2026.</w:t>
            </w:r>
          </w:p>
        </w:tc>
        <w:tc>
          <w:tcPr>
            <w:tcW w:type="dxa" w:w="4464"/>
            <w:vAlign w:val="center"/>
            <w:tcMar>
              <w:top w:w="90" w:type="dxa"/>
              <w:start w:w="110" w:type="dxa"/>
              <w:bottom w:w="90" w:type="dxa"/>
              <w:end w:w="110" w:type="dxa"/>
            </w:tcMar>
          </w:tcPr>
          <w:p>
            <w:pPr>
              <w:spacing w:after="0" w:line="240" w:lineRule="auto"/>
            </w:pPr>
            <w:r>
              <w:rPr>
                <w:rFonts w:ascii="Aptos" w:hAnsi="Aptos"/>
                <w:sz w:val="16"/>
              </w:rPr>
              <w:t>Use for booked values and reporting cut-off.</w:t>
            </w:r>
          </w:p>
        </w:tc>
      </w:tr>
      <w:tr>
        <w:tc>
          <w:tcPr>
            <w:tcW w:type="dxa" w:w="1872"/>
            <w:vAlign w:val="center"/>
            <w:tcMar>
              <w:top w:w="90" w:type="dxa"/>
              <w:start w:w="110" w:type="dxa"/>
              <w:bottom w:w="90" w:type="dxa"/>
              <w:end w:w="110" w:type="dxa"/>
            </w:tcMar>
          </w:tcPr>
          <w:p>
            <w:pPr>
              <w:spacing w:after="0" w:line="240" w:lineRule="auto"/>
            </w:pPr>
            <w:r>
              <w:rPr>
                <w:rFonts w:ascii="Aptos" w:hAnsi="Aptos"/>
                <w:sz w:val="16"/>
              </w:rPr>
              <w:t>Approved overlay</w:t>
            </w:r>
          </w:p>
        </w:tc>
        <w:tc>
          <w:tcPr>
            <w:tcW w:type="dxa" w:w="3816"/>
            <w:vAlign w:val="center"/>
            <w:tcMar>
              <w:top w:w="90" w:type="dxa"/>
              <w:start w:w="110" w:type="dxa"/>
              <w:bottom w:w="90" w:type="dxa"/>
              <w:end w:w="110" w:type="dxa"/>
            </w:tcMar>
          </w:tcPr>
          <w:p>
            <w:pPr>
              <w:spacing w:after="0" w:line="240" w:lineRule="auto"/>
            </w:pPr>
            <w:r>
              <w:rPr>
                <w:rFonts w:ascii="Aptos" w:hAnsi="Aptos"/>
                <w:sz w:val="16"/>
              </w:rPr>
              <w:t>May document information that passed validation and approval.</w:t>
            </w:r>
          </w:p>
        </w:tc>
        <w:tc>
          <w:tcPr>
            <w:tcW w:type="dxa" w:w="4464"/>
            <w:vAlign w:val="center"/>
            <w:tcMar>
              <w:top w:w="90" w:type="dxa"/>
              <w:start w:w="110" w:type="dxa"/>
              <w:bottom w:w="90" w:type="dxa"/>
              <w:end w:w="110" w:type="dxa"/>
            </w:tcMar>
          </w:tcPr>
          <w:p>
            <w:pPr>
              <w:spacing w:after="0" w:line="240" w:lineRule="auto"/>
            </w:pPr>
            <w:r>
              <w:rPr>
                <w:rFonts w:ascii="Aptos" w:hAnsi="Aptos"/>
                <w:sz w:val="16"/>
              </w:rPr>
              <w:t>Use to explain post-ingestion changes and projected events.</w:t>
            </w:r>
          </w:p>
        </w:tc>
      </w:tr>
      <w:tr>
        <w:tc>
          <w:tcPr>
            <w:tcW w:type="dxa" w:w="1872"/>
            <w:vAlign w:val="center"/>
            <w:tcMar>
              <w:top w:w="90" w:type="dxa"/>
              <w:start w:w="110" w:type="dxa"/>
              <w:bottom w:w="90" w:type="dxa"/>
              <w:end w:w="110" w:type="dxa"/>
            </w:tcMar>
          </w:tcPr>
          <w:p>
            <w:pPr>
              <w:spacing w:after="0" w:line="240" w:lineRule="auto"/>
            </w:pPr>
            <w:r>
              <w:rPr>
                <w:rFonts w:ascii="Aptos" w:hAnsi="Aptos"/>
                <w:sz w:val="16"/>
              </w:rPr>
              <w:t>Needs review</w:t>
            </w:r>
          </w:p>
        </w:tc>
        <w:tc>
          <w:tcPr>
            <w:tcW w:type="dxa" w:w="3816"/>
            <w:vAlign w:val="center"/>
            <w:tcMar>
              <w:top w:w="90" w:type="dxa"/>
              <w:start w:w="110" w:type="dxa"/>
              <w:bottom w:w="90" w:type="dxa"/>
              <w:end w:w="110" w:type="dxa"/>
            </w:tcMar>
          </w:tcPr>
          <w:p>
            <w:pPr>
              <w:spacing w:after="0" w:line="240" w:lineRule="auto"/>
            </w:pPr>
            <w:r>
              <w:rPr>
                <w:rFonts w:ascii="Aptos" w:hAnsi="Aptos"/>
                <w:sz w:val="16"/>
              </w:rPr>
              <w:t>A document or field requires human resolution.</w:t>
            </w:r>
          </w:p>
        </w:tc>
        <w:tc>
          <w:tcPr>
            <w:tcW w:type="dxa" w:w="4464"/>
            <w:vAlign w:val="center"/>
            <w:tcMar>
              <w:top w:w="90" w:type="dxa"/>
              <w:start w:w="110" w:type="dxa"/>
              <w:bottom w:w="90" w:type="dxa"/>
              <w:end w:w="110" w:type="dxa"/>
            </w:tcMar>
          </w:tcPr>
          <w:p>
            <w:pPr>
              <w:spacing w:after="0" w:line="240" w:lineRule="auto"/>
            </w:pPr>
            <w:r>
              <w:rPr>
                <w:rFonts w:ascii="Aptos" w:hAnsi="Aptos"/>
                <w:sz w:val="16"/>
              </w:rPr>
              <w:t>Visible in controls; excluded from applied portfolio state.</w:t>
            </w:r>
          </w:p>
        </w:tc>
      </w:tr>
      <w:tr>
        <w:tc>
          <w:tcPr>
            <w:tcW w:type="dxa" w:w="1872"/>
            <w:vAlign w:val="center"/>
            <w:tcMar>
              <w:top w:w="90" w:type="dxa"/>
              <w:start w:w="110" w:type="dxa"/>
              <w:bottom w:w="90" w:type="dxa"/>
              <w:end w:w="110" w:type="dxa"/>
            </w:tcMar>
          </w:tcPr>
          <w:p>
            <w:pPr>
              <w:spacing w:after="0" w:line="240" w:lineRule="auto"/>
            </w:pPr>
            <w:r>
              <w:rPr>
                <w:rFonts w:ascii="Aptos" w:hAnsi="Aptos"/>
                <w:sz w:val="16"/>
              </w:rPr>
              <w:t>Rejected</w:t>
            </w:r>
          </w:p>
        </w:tc>
        <w:tc>
          <w:tcPr>
            <w:tcW w:type="dxa" w:w="3816"/>
            <w:vAlign w:val="center"/>
            <w:tcMar>
              <w:top w:w="90" w:type="dxa"/>
              <w:start w:w="110" w:type="dxa"/>
              <w:bottom w:w="90" w:type="dxa"/>
              <w:end w:w="110" w:type="dxa"/>
            </w:tcMar>
          </w:tcPr>
          <w:p>
            <w:pPr>
              <w:spacing w:after="0" w:line="240" w:lineRule="auto"/>
            </w:pPr>
            <w:r>
              <w:rPr>
                <w:rFonts w:ascii="Aptos" w:hAnsi="Aptos"/>
                <w:sz w:val="16"/>
              </w:rPr>
              <w:t>The record does not meet the acceptance threshold.</w:t>
            </w:r>
          </w:p>
        </w:tc>
        <w:tc>
          <w:tcPr>
            <w:tcW w:type="dxa" w:w="4464"/>
            <w:vAlign w:val="center"/>
            <w:tcMar>
              <w:top w:w="90" w:type="dxa"/>
              <w:start w:w="110" w:type="dxa"/>
              <w:bottom w:w="90" w:type="dxa"/>
              <w:end w:w="110" w:type="dxa"/>
            </w:tcMar>
          </w:tcPr>
          <w:p>
            <w:pPr>
              <w:spacing w:after="0" w:line="240" w:lineRule="auto"/>
            </w:pPr>
            <w:r>
              <w:rPr>
                <w:rFonts w:ascii="Aptos" w:hAnsi="Aptos"/>
                <w:sz w:val="16"/>
              </w:rPr>
              <w:t>Retained for evidence; never applied.</w:t>
            </w:r>
          </w:p>
        </w:tc>
      </w:tr>
      <w:tr>
        <w:tc>
          <w:tcPr>
            <w:tcW w:type="dxa" w:w="1872"/>
            <w:vAlign w:val="center"/>
            <w:tcMar>
              <w:top w:w="90" w:type="dxa"/>
              <w:start w:w="110" w:type="dxa"/>
              <w:bottom w:w="90" w:type="dxa"/>
              <w:end w:w="110" w:type="dxa"/>
            </w:tcMar>
          </w:tcPr>
          <w:p>
            <w:pPr>
              <w:spacing w:after="0" w:line="240" w:lineRule="auto"/>
            </w:pPr>
            <w:r>
              <w:rPr>
                <w:rFonts w:ascii="Aptos" w:hAnsi="Aptos"/>
                <w:sz w:val="16"/>
              </w:rPr>
              <w:t>Public-proxy overlay</w:t>
            </w:r>
          </w:p>
        </w:tc>
        <w:tc>
          <w:tcPr>
            <w:tcW w:type="dxa" w:w="3816"/>
            <w:vAlign w:val="center"/>
            <w:tcMar>
              <w:top w:w="90" w:type="dxa"/>
              <w:start w:w="110" w:type="dxa"/>
              <w:bottom w:w="90" w:type="dxa"/>
              <w:end w:w="110" w:type="dxa"/>
            </w:tcMar>
          </w:tcPr>
          <w:p>
            <w:pPr>
              <w:spacing w:after="0" w:line="240" w:lineRule="auto"/>
            </w:pPr>
            <w:r>
              <w:rPr>
                <w:rFonts w:ascii="Aptos" w:hAnsi="Aptos"/>
                <w:sz w:val="16"/>
              </w:rPr>
              <w:t>Risk analytics calculated from real prices for approved synthetic proxy mappings.</w:t>
            </w:r>
          </w:p>
        </w:tc>
        <w:tc>
          <w:tcPr>
            <w:tcW w:type="dxa" w:w="4464"/>
            <w:vAlign w:val="center"/>
            <w:tcMar>
              <w:top w:w="90" w:type="dxa"/>
              <w:start w:w="110" w:type="dxa"/>
              <w:bottom w:w="90" w:type="dxa"/>
              <w:end w:w="110" w:type="dxa"/>
            </w:tcMar>
          </w:tcPr>
          <w:p>
            <w:pPr>
              <w:spacing w:after="0" w:line="240" w:lineRule="auto"/>
            </w:pPr>
            <w:r>
              <w:rPr>
                <w:rFonts w:ascii="Aptos" w:hAnsi="Aptos"/>
                <w:sz w:val="16"/>
              </w:rPr>
              <w:t>Useful for directional monitoring, not official accounting or full risk measurement.</w:t>
            </w:r>
          </w:p>
        </w:tc>
      </w:tr>
    </w:tbl>
    <w:p>
      <w:pPr>
        <w:pStyle w:val="Heading1"/>
      </w:pPr>
      <w:r>
        <w:t>6. Dashboard User Guide</w:t>
      </w:r>
    </w:p>
    <w:tbl>
      <w:tblPr>
        <w:tblStyle w:val="TableGrid"/>
        <w:tblW w:type="auto" w:w="0"/>
        <w:jc w:val="center"/>
        <w:tblLayout w:type="fixed"/>
        <w:tblLook w:firstColumn="1" w:firstRow="1" w:lastColumn="0" w:lastRow="0" w:noHBand="0" w:noVBand="1" w:val="04A0"/>
      </w:tblPr>
      <w:tblGrid>
        <w:gridCol w:w="3504"/>
        <w:gridCol w:w="3504"/>
        <w:gridCol w:w="3504"/>
      </w:tblGrid>
      <w:tr>
        <w:trPr>
          <w:tblHeader w:val="true"/>
        </w:trPr>
        <w:tc>
          <w:tcPr>
            <w:tcW w:type="dxa" w:w="1728"/>
            <w:vAlign w:val="center"/>
            <w:tcMar>
              <w:top w:w="90" w:type="dxa"/>
              <w:start w:w="110" w:type="dxa"/>
              <w:bottom w:w="90" w:type="dxa"/>
              <w:end w:w="110" w:type="dxa"/>
            </w:tcMar>
            <w:shd w:fill="1F4E79"/>
          </w:tcPr>
          <w:p>
            <w:r>
              <w:rPr>
                <w:b/>
                <w:color w:val="FFFFFF"/>
                <w:sz w:val="15"/>
              </w:rPr>
              <w:t>Page</w:t>
            </w:r>
          </w:p>
        </w:tc>
        <w:tc>
          <w:tcPr>
            <w:tcW w:type="dxa" w:w="3672"/>
            <w:vAlign w:val="center"/>
            <w:tcMar>
              <w:top w:w="90" w:type="dxa"/>
              <w:start w:w="110" w:type="dxa"/>
              <w:bottom w:w="90" w:type="dxa"/>
              <w:end w:w="110" w:type="dxa"/>
            </w:tcMar>
            <w:shd w:fill="1F4E79"/>
          </w:tcPr>
          <w:p>
            <w:r>
              <w:rPr>
                <w:b/>
                <w:color w:val="FFFFFF"/>
                <w:sz w:val="15"/>
              </w:rPr>
              <w:t>What it is for</w:t>
            </w:r>
          </w:p>
        </w:tc>
        <w:tc>
          <w:tcPr>
            <w:tcW w:type="dxa" w:w="4752"/>
            <w:vAlign w:val="center"/>
            <w:tcMar>
              <w:top w:w="90" w:type="dxa"/>
              <w:start w:w="110" w:type="dxa"/>
              <w:bottom w:w="90" w:type="dxa"/>
              <w:end w:w="110" w:type="dxa"/>
            </w:tcMar>
            <w:shd w:fill="1F4E79"/>
          </w:tcPr>
          <w:p>
            <w:r>
              <w:rPr>
                <w:b/>
                <w:color w:val="FFFFFF"/>
                <w:sz w:val="15"/>
              </w:rPr>
              <w:t>What to emphasize in review or presentation</w:t>
            </w:r>
          </w:p>
        </w:tc>
      </w:tr>
      <w:tr>
        <w:tc>
          <w:tcPr>
            <w:tcW w:type="dxa" w:w="1728"/>
            <w:vAlign w:val="center"/>
            <w:tcMar>
              <w:top w:w="90" w:type="dxa"/>
              <w:start w:w="110" w:type="dxa"/>
              <w:bottom w:w="90" w:type="dxa"/>
              <w:end w:w="110" w:type="dxa"/>
            </w:tcMar>
          </w:tcPr>
          <w:p>
            <w:pPr>
              <w:spacing w:after="0" w:line="240" w:lineRule="auto"/>
            </w:pPr>
            <w:r>
              <w:rPr>
                <w:rFonts w:ascii="Aptos" w:hAnsi="Aptos"/>
                <w:sz w:val="15"/>
              </w:rPr>
              <w:t>Overview</w:t>
            </w:r>
          </w:p>
        </w:tc>
        <w:tc>
          <w:tcPr>
            <w:tcW w:type="dxa" w:w="3672"/>
            <w:vAlign w:val="center"/>
            <w:tcMar>
              <w:top w:w="90" w:type="dxa"/>
              <w:start w:w="110" w:type="dxa"/>
              <w:bottom w:w="90" w:type="dxa"/>
              <w:end w:w="110" w:type="dxa"/>
            </w:tcMar>
          </w:tcPr>
          <w:p>
            <w:pPr>
              <w:spacing w:after="0" w:line="240" w:lineRule="auto"/>
            </w:pPr>
            <w:r>
              <w:rPr>
                <w:rFonts w:ascii="Aptos" w:hAnsi="Aptos"/>
                <w:sz w:val="15"/>
              </w:rPr>
              <w:t>Top-line AUM, performance, allocation, liquidity, and workflow state.</w:t>
            </w:r>
          </w:p>
        </w:tc>
        <w:tc>
          <w:tcPr>
            <w:tcW w:type="dxa" w:w="4752"/>
            <w:vAlign w:val="center"/>
            <w:tcMar>
              <w:top w:w="90" w:type="dxa"/>
              <w:start w:w="110" w:type="dxa"/>
              <w:bottom w:w="90" w:type="dxa"/>
              <w:end w:w="110" w:type="dxa"/>
            </w:tcMar>
          </w:tcPr>
          <w:p>
            <w:pPr>
              <w:spacing w:after="0" w:line="240" w:lineRule="auto"/>
            </w:pPr>
            <w:r>
              <w:rPr>
                <w:rFonts w:ascii="Aptos" w:hAnsi="Aptos"/>
                <w:sz w:val="15"/>
              </w:rPr>
              <w:t>Start here. Explain the April baseline versus May approved overlay before quoting any metric.</w:t>
            </w:r>
          </w:p>
        </w:tc>
      </w:tr>
      <w:tr>
        <w:tc>
          <w:tcPr>
            <w:tcW w:type="dxa" w:w="1728"/>
            <w:vAlign w:val="center"/>
            <w:tcMar>
              <w:top w:w="90" w:type="dxa"/>
              <w:start w:w="110" w:type="dxa"/>
              <w:bottom w:w="90" w:type="dxa"/>
              <w:end w:w="110" w:type="dxa"/>
            </w:tcMar>
          </w:tcPr>
          <w:p>
            <w:pPr>
              <w:spacing w:after="0" w:line="240" w:lineRule="auto"/>
            </w:pPr>
            <w:r>
              <w:rPr>
                <w:rFonts w:ascii="Aptos" w:hAnsi="Aptos"/>
                <w:sz w:val="15"/>
              </w:rPr>
              <w:t>Asset Class</w:t>
            </w:r>
          </w:p>
        </w:tc>
        <w:tc>
          <w:tcPr>
            <w:tcW w:type="dxa" w:w="3672"/>
            <w:vAlign w:val="center"/>
            <w:tcMar>
              <w:top w:w="90" w:type="dxa"/>
              <w:start w:w="110" w:type="dxa"/>
              <w:bottom w:w="90" w:type="dxa"/>
              <w:end w:w="110" w:type="dxa"/>
            </w:tcMar>
          </w:tcPr>
          <w:p>
            <w:pPr>
              <w:spacing w:after="0" w:line="240" w:lineRule="auto"/>
            </w:pPr>
            <w:r>
              <w:rPr>
                <w:rFonts w:ascii="Aptos" w:hAnsi="Aptos"/>
                <w:sz w:val="15"/>
              </w:rPr>
              <w:t>Allocation and composition by asset class over time.</w:t>
            </w:r>
          </w:p>
        </w:tc>
        <w:tc>
          <w:tcPr>
            <w:tcW w:type="dxa" w:w="4752"/>
            <w:vAlign w:val="center"/>
            <w:tcMar>
              <w:top w:w="90" w:type="dxa"/>
              <w:start w:w="110" w:type="dxa"/>
              <w:bottom w:w="90" w:type="dxa"/>
              <w:end w:w="110" w:type="dxa"/>
            </w:tcMar>
          </w:tcPr>
          <w:p>
            <w:pPr>
              <w:spacing w:after="0" w:line="240" w:lineRule="auto"/>
            </w:pPr>
            <w:r>
              <w:rPr>
                <w:rFonts w:ascii="Aptos" w:hAnsi="Aptos"/>
                <w:sz w:val="15"/>
              </w:rPr>
              <w:t>Use to explain portfolio construction and changes in mix.</w:t>
            </w:r>
          </w:p>
        </w:tc>
      </w:tr>
      <w:tr>
        <w:tc>
          <w:tcPr>
            <w:tcW w:type="dxa" w:w="1728"/>
            <w:vAlign w:val="center"/>
            <w:tcMar>
              <w:top w:w="90" w:type="dxa"/>
              <w:start w:w="110" w:type="dxa"/>
              <w:bottom w:w="90" w:type="dxa"/>
              <w:end w:w="110" w:type="dxa"/>
            </w:tcMar>
          </w:tcPr>
          <w:p>
            <w:pPr>
              <w:spacing w:after="0" w:line="240" w:lineRule="auto"/>
            </w:pPr>
            <w:r>
              <w:rPr>
                <w:rFonts w:ascii="Aptos" w:hAnsi="Aptos"/>
                <w:sz w:val="15"/>
              </w:rPr>
              <w:t>Public Markets</w:t>
            </w:r>
          </w:p>
        </w:tc>
        <w:tc>
          <w:tcPr>
            <w:tcW w:type="dxa" w:w="3672"/>
            <w:vAlign w:val="center"/>
            <w:tcMar>
              <w:top w:w="90" w:type="dxa"/>
              <w:start w:w="110" w:type="dxa"/>
              <w:bottom w:w="90" w:type="dxa"/>
              <w:end w:w="110" w:type="dxa"/>
            </w:tcMar>
          </w:tcPr>
          <w:p>
            <w:pPr>
              <w:spacing w:after="0" w:line="240" w:lineRule="auto"/>
            </w:pPr>
            <w:r>
              <w:rPr>
                <w:rFonts w:ascii="Aptos" w:hAnsi="Aptos"/>
                <w:sz w:val="15"/>
              </w:rPr>
              <w:t>Liquid-sleeve exposure, performance, sector, market-cap, and proxy mapping.</w:t>
            </w:r>
          </w:p>
        </w:tc>
        <w:tc>
          <w:tcPr>
            <w:tcW w:type="dxa" w:w="4752"/>
            <w:vAlign w:val="center"/>
            <w:tcMar>
              <w:top w:w="90" w:type="dxa"/>
              <w:start w:w="110" w:type="dxa"/>
              <w:bottom w:w="90" w:type="dxa"/>
              <w:end w:w="110" w:type="dxa"/>
            </w:tcMar>
          </w:tcPr>
          <w:p>
            <w:pPr>
              <w:spacing w:after="0" w:line="240" w:lineRule="auto"/>
            </w:pPr>
            <w:r>
              <w:rPr>
                <w:rFonts w:ascii="Aptos" w:hAnsi="Aptos"/>
                <w:sz w:val="15"/>
              </w:rPr>
              <w:t>State that risk and performance are proxy-based and market-linked.</w:t>
            </w:r>
          </w:p>
        </w:tc>
      </w:tr>
      <w:tr>
        <w:tc>
          <w:tcPr>
            <w:tcW w:type="dxa" w:w="1728"/>
            <w:vAlign w:val="center"/>
            <w:tcMar>
              <w:top w:w="90" w:type="dxa"/>
              <w:start w:w="110" w:type="dxa"/>
              <w:bottom w:w="90" w:type="dxa"/>
              <w:end w:w="110" w:type="dxa"/>
            </w:tcMar>
          </w:tcPr>
          <w:p>
            <w:pPr>
              <w:spacing w:after="0" w:line="240" w:lineRule="auto"/>
            </w:pPr>
            <w:r>
              <w:rPr>
                <w:rFonts w:ascii="Aptos" w:hAnsi="Aptos"/>
                <w:sz w:val="15"/>
              </w:rPr>
              <w:t>Private Markets</w:t>
            </w:r>
          </w:p>
        </w:tc>
        <w:tc>
          <w:tcPr>
            <w:tcW w:type="dxa" w:w="3672"/>
            <w:vAlign w:val="center"/>
            <w:tcMar>
              <w:top w:w="90" w:type="dxa"/>
              <w:start w:w="110" w:type="dxa"/>
              <w:bottom w:w="90" w:type="dxa"/>
              <w:end w:w="110" w:type="dxa"/>
            </w:tcMar>
          </w:tcPr>
          <w:p>
            <w:pPr>
              <w:spacing w:after="0" w:line="240" w:lineRule="auto"/>
            </w:pPr>
            <w:r>
              <w:rPr>
                <w:rFonts w:ascii="Aptos" w:hAnsi="Aptos"/>
                <w:sz w:val="15"/>
              </w:rPr>
              <w:t>NAV, commitments, paid-in, unfunded, statement lag, cash flows, commentary, and fund table.</w:t>
            </w:r>
          </w:p>
        </w:tc>
        <w:tc>
          <w:tcPr>
            <w:tcW w:type="dxa" w:w="4752"/>
            <w:vAlign w:val="center"/>
            <w:tcMar>
              <w:top w:w="90" w:type="dxa"/>
              <w:start w:w="110" w:type="dxa"/>
              <w:bottom w:w="90" w:type="dxa"/>
              <w:end w:w="110" w:type="dxa"/>
            </w:tcMar>
          </w:tcPr>
          <w:p>
            <w:pPr>
              <w:spacing w:after="0" w:line="240" w:lineRule="auto"/>
            </w:pPr>
            <w:r>
              <w:rPr>
                <w:rFonts w:ascii="Aptos" w:hAnsi="Aptos"/>
                <w:sz w:val="15"/>
              </w:rPr>
              <w:t>Show how approved PDF_003, PDF_004, and PDF_006 affect different data types.</w:t>
            </w:r>
          </w:p>
        </w:tc>
      </w:tr>
      <w:tr>
        <w:tc>
          <w:tcPr>
            <w:tcW w:type="dxa" w:w="1728"/>
            <w:vAlign w:val="center"/>
            <w:tcMar>
              <w:top w:w="90" w:type="dxa"/>
              <w:start w:w="110" w:type="dxa"/>
              <w:bottom w:w="90" w:type="dxa"/>
              <w:end w:w="110" w:type="dxa"/>
            </w:tcMar>
          </w:tcPr>
          <w:p>
            <w:pPr>
              <w:spacing w:after="0" w:line="240" w:lineRule="auto"/>
            </w:pPr>
            <w:r>
              <w:rPr>
                <w:rFonts w:ascii="Aptos" w:hAnsi="Aptos"/>
                <w:sz w:val="15"/>
              </w:rPr>
              <w:t>Liquidity &amp; Commitments</w:t>
            </w:r>
          </w:p>
        </w:tc>
        <w:tc>
          <w:tcPr>
            <w:tcW w:type="dxa" w:w="3672"/>
            <w:vAlign w:val="center"/>
            <w:tcMar>
              <w:top w:w="90" w:type="dxa"/>
              <w:start w:w="110" w:type="dxa"/>
              <w:bottom w:w="90" w:type="dxa"/>
              <w:end w:w="110" w:type="dxa"/>
            </w:tcMar>
          </w:tcPr>
          <w:p>
            <w:pPr>
              <w:spacing w:after="0" w:line="240" w:lineRule="auto"/>
            </w:pPr>
            <w:r>
              <w:rPr>
                <w:rFonts w:ascii="Aptos" w:hAnsi="Aptos"/>
                <w:sz w:val="15"/>
              </w:rPr>
              <w:t>Booked cash, projected approved flows, coverage, unfunded commitments, and account detail.</w:t>
            </w:r>
          </w:p>
        </w:tc>
        <w:tc>
          <w:tcPr>
            <w:tcW w:type="dxa" w:w="4752"/>
            <w:vAlign w:val="center"/>
            <w:tcMar>
              <w:top w:w="90" w:type="dxa"/>
              <w:start w:w="110" w:type="dxa"/>
              <w:bottom w:w="90" w:type="dxa"/>
              <w:end w:w="110" w:type="dxa"/>
            </w:tcMar>
          </w:tcPr>
          <w:p>
            <w:pPr>
              <w:spacing w:after="0" w:line="240" w:lineRule="auto"/>
            </w:pPr>
            <w:r>
              <w:rPr>
                <w:rFonts w:ascii="Aptos" w:hAnsi="Aptos"/>
                <w:sz w:val="15"/>
              </w:rPr>
              <w:t>Point out the projected USD 3.1m approved distribution and the absence of blocked calls.</w:t>
            </w:r>
          </w:p>
        </w:tc>
      </w:tr>
      <w:tr>
        <w:tc>
          <w:tcPr>
            <w:tcW w:type="dxa" w:w="1728"/>
            <w:vAlign w:val="center"/>
            <w:tcMar>
              <w:top w:w="90" w:type="dxa"/>
              <w:start w:w="110" w:type="dxa"/>
              <w:bottom w:w="90" w:type="dxa"/>
              <w:end w:w="110" w:type="dxa"/>
            </w:tcMar>
          </w:tcPr>
          <w:p>
            <w:pPr>
              <w:spacing w:after="0" w:line="240" w:lineRule="auto"/>
            </w:pPr>
            <w:r>
              <w:rPr>
                <w:rFonts w:ascii="Aptos" w:hAnsi="Aptos"/>
                <w:sz w:val="15"/>
              </w:rPr>
              <w:t>Risk Profile</w:t>
            </w:r>
          </w:p>
        </w:tc>
        <w:tc>
          <w:tcPr>
            <w:tcW w:type="dxa" w:w="3672"/>
            <w:vAlign w:val="center"/>
            <w:tcMar>
              <w:top w:w="90" w:type="dxa"/>
              <w:start w:w="110" w:type="dxa"/>
              <w:bottom w:w="90" w:type="dxa"/>
              <w:end w:w="110" w:type="dxa"/>
            </w:tcMar>
          </w:tcPr>
          <w:p>
            <w:pPr>
              <w:spacing w:after="0" w:line="240" w:lineRule="auto"/>
            </w:pPr>
            <w:r>
              <w:rPr>
                <w:rFonts w:ascii="Aptos" w:hAnsi="Aptos"/>
                <w:sz w:val="15"/>
              </w:rPr>
              <w:t>Volatility, drawdown, Sharpe, correlation, and stress scenarios.</w:t>
            </w:r>
          </w:p>
        </w:tc>
        <w:tc>
          <w:tcPr>
            <w:tcW w:type="dxa" w:w="4752"/>
            <w:vAlign w:val="center"/>
            <w:tcMar>
              <w:top w:w="90" w:type="dxa"/>
              <w:start w:w="110" w:type="dxa"/>
              <w:bottom w:w="90" w:type="dxa"/>
              <w:end w:w="110" w:type="dxa"/>
            </w:tcMar>
          </w:tcPr>
          <w:p>
            <w:pPr>
              <w:spacing w:after="0" w:line="240" w:lineRule="auto"/>
            </w:pPr>
            <w:r>
              <w:rPr>
                <w:rFonts w:ascii="Aptos" w:hAnsi="Aptos"/>
                <w:sz w:val="15"/>
              </w:rPr>
              <w:t>Use as a monitoring overlay; do not present as institutional risk-engine output.</w:t>
            </w:r>
          </w:p>
        </w:tc>
      </w:tr>
      <w:tr>
        <w:tc>
          <w:tcPr>
            <w:tcW w:type="dxa" w:w="1728"/>
            <w:vAlign w:val="center"/>
            <w:tcMar>
              <w:top w:w="90" w:type="dxa"/>
              <w:start w:w="110" w:type="dxa"/>
              <w:bottom w:w="90" w:type="dxa"/>
              <w:end w:w="110" w:type="dxa"/>
            </w:tcMar>
          </w:tcPr>
          <w:p>
            <w:pPr>
              <w:spacing w:after="0" w:line="240" w:lineRule="auto"/>
            </w:pPr>
            <w:r>
              <w:rPr>
                <w:rFonts w:ascii="Aptos" w:hAnsi="Aptos"/>
                <w:sz w:val="15"/>
              </w:rPr>
              <w:t>Workflow &amp; Controls</w:t>
            </w:r>
          </w:p>
        </w:tc>
        <w:tc>
          <w:tcPr>
            <w:tcW w:type="dxa" w:w="3672"/>
            <w:vAlign w:val="center"/>
            <w:tcMar>
              <w:top w:w="90" w:type="dxa"/>
              <w:start w:w="110" w:type="dxa"/>
              <w:bottom w:w="90" w:type="dxa"/>
              <w:end w:w="110" w:type="dxa"/>
            </w:tcMar>
          </w:tcPr>
          <w:p>
            <w:pPr>
              <w:spacing w:after="0" w:line="240" w:lineRule="auto"/>
            </w:pPr>
            <w:r>
              <w:rPr>
                <w:rFonts w:ascii="Aptos" w:hAnsi="Aptos"/>
                <w:sz w:val="15"/>
              </w:rPr>
              <w:t>Document status, validation, review queue, and application status.</w:t>
            </w:r>
          </w:p>
        </w:tc>
        <w:tc>
          <w:tcPr>
            <w:tcW w:type="dxa" w:w="4752"/>
            <w:vAlign w:val="center"/>
            <w:tcMar>
              <w:top w:w="90" w:type="dxa"/>
              <w:start w:w="110" w:type="dxa"/>
              <w:bottom w:w="90" w:type="dxa"/>
              <w:end w:w="110" w:type="dxa"/>
            </w:tcMar>
          </w:tcPr>
          <w:p>
            <w:pPr>
              <w:spacing w:after="0" w:line="240" w:lineRule="auto"/>
            </w:pPr>
            <w:r>
              <w:rPr>
                <w:rFonts w:ascii="Aptos" w:hAnsi="Aptos"/>
                <w:sz w:val="15"/>
              </w:rPr>
              <w:t>Use this page to prove that unresolved or rejected documents do not change portfolio state.</w:t>
            </w:r>
          </w:p>
        </w:tc>
      </w:tr>
      <w:tr>
        <w:tc>
          <w:tcPr>
            <w:tcW w:type="dxa" w:w="1728"/>
            <w:vAlign w:val="center"/>
            <w:tcMar>
              <w:top w:w="90" w:type="dxa"/>
              <w:start w:w="110" w:type="dxa"/>
              <w:bottom w:w="90" w:type="dxa"/>
              <w:end w:w="110" w:type="dxa"/>
            </w:tcMar>
          </w:tcPr>
          <w:p>
            <w:pPr>
              <w:spacing w:after="0" w:line="240" w:lineRule="auto"/>
            </w:pPr>
            <w:r>
              <w:rPr>
                <w:rFonts w:ascii="Aptos" w:hAnsi="Aptos"/>
                <w:sz w:val="15"/>
              </w:rPr>
              <w:t>Document Intake</w:t>
            </w:r>
          </w:p>
        </w:tc>
        <w:tc>
          <w:tcPr>
            <w:tcW w:type="dxa" w:w="3672"/>
            <w:vAlign w:val="center"/>
            <w:tcMar>
              <w:top w:w="90" w:type="dxa"/>
              <w:start w:w="110" w:type="dxa"/>
              <w:bottom w:w="90" w:type="dxa"/>
              <w:end w:w="110" w:type="dxa"/>
            </w:tcMar>
          </w:tcPr>
          <w:p>
            <w:pPr>
              <w:spacing w:after="0" w:line="240" w:lineRule="auto"/>
            </w:pPr>
            <w:r>
              <w:rPr>
                <w:rFonts w:ascii="Aptos" w:hAnsi="Aptos"/>
                <w:sz w:val="15"/>
              </w:rPr>
              <w:t>Stage PDFs for the offline workflow.</w:t>
            </w:r>
          </w:p>
        </w:tc>
        <w:tc>
          <w:tcPr>
            <w:tcW w:type="dxa" w:w="4752"/>
            <w:vAlign w:val="center"/>
            <w:tcMar>
              <w:top w:w="90" w:type="dxa"/>
              <w:start w:w="110" w:type="dxa"/>
              <w:bottom w:w="90" w:type="dxa"/>
              <w:end w:w="110" w:type="dxa"/>
            </w:tcMar>
          </w:tcPr>
          <w:p>
            <w:pPr>
              <w:spacing w:after="0" w:line="240" w:lineRule="auto"/>
            </w:pPr>
            <w:r>
              <w:rPr>
                <w:rFonts w:ascii="Aptos" w:hAnsi="Aptos"/>
                <w:sz w:val="15"/>
              </w:rPr>
              <w:t>Uploading is not approval or posting; explain the handoff to the processing pipeline.</w:t>
            </w:r>
          </w:p>
        </w:tc>
      </w:tr>
    </w:tbl>
    <w:p>
      <w:pPr>
        <w:pStyle w:val="Heading1"/>
      </w:pPr>
      <w:r>
        <w:t>7. Document Intake and Review Workflow</w:t>
      </w:r>
    </w:p>
    <w:p>
      <w:pPr>
        <w:spacing w:after="100" w:line="259" w:lineRule="auto"/>
      </w:pPr>
      <w:r>
        <w:rPr>
          <w:rFonts w:ascii="Aptos" w:hAnsi="Aptos"/>
          <w:color w:val="1F1F1F"/>
          <w:sz w:val="20"/>
        </w:rPr>
        <w:t>Use the interactive upload flow to demonstrate intake without implying that an uploaded document has already changed the portfolio.</w:t>
      </w:r>
    </w:p>
    <w:p>
      <w:pPr>
        <w:pStyle w:val="ListNumber"/>
        <w:spacing w:after="100" w:line="259" w:lineRule="auto"/>
        <w:ind w:left="403" w:hanging="259"/>
      </w:pPr>
      <w:r>
        <w:rPr>
          <w:rFonts w:ascii="Aptos" w:hAnsi="Aptos"/>
          <w:color w:val="1F1F1F"/>
          <w:sz w:val="20"/>
        </w:rPr>
        <w:t>Open Document Intake and select a PDF.</w:t>
      </w:r>
    </w:p>
    <w:p>
      <w:pPr>
        <w:pStyle w:val="ListNumber"/>
        <w:spacing w:after="100" w:line="259" w:lineRule="auto"/>
        <w:ind w:left="403" w:hanging="259"/>
      </w:pPr>
      <w:r>
        <w:rPr>
          <w:rFonts w:ascii="Aptos" w:hAnsi="Aptos"/>
          <w:color w:val="1F1F1F"/>
          <w:sz w:val="20"/>
        </w:rPr>
        <w:t>Review the staged-file confirmation and document metadata.</w:t>
      </w:r>
    </w:p>
    <w:p>
      <w:pPr>
        <w:pStyle w:val="ListNumber"/>
        <w:spacing w:after="100" w:line="259" w:lineRule="auto"/>
        <w:ind w:left="403" w:hanging="259"/>
      </w:pPr>
      <w:r>
        <w:rPr>
          <w:rFonts w:ascii="Aptos" w:hAnsi="Aptos"/>
          <w:color w:val="1F1F1F"/>
          <w:sz w:val="20"/>
        </w:rPr>
        <w:t>Explain that the file is written under data/interim/document_ingestion/.</w:t>
      </w:r>
    </w:p>
    <w:p>
      <w:pPr>
        <w:pStyle w:val="ListNumber"/>
        <w:spacing w:after="100" w:line="259" w:lineRule="auto"/>
        <w:ind w:left="403" w:hanging="259"/>
      </w:pPr>
      <w:r>
        <w:rPr>
          <w:rFonts w:ascii="Aptos" w:hAnsi="Aptos"/>
          <w:color w:val="1F1F1F"/>
          <w:sz w:val="20"/>
        </w:rPr>
        <w:t>Run extraction, validation, and approved-only application offline using the baseline commands when appropriate.</w:t>
      </w:r>
    </w:p>
    <w:p>
      <w:pPr>
        <w:pStyle w:val="ListNumber"/>
        <w:spacing w:after="100" w:line="259" w:lineRule="auto"/>
        <w:ind w:left="403" w:hanging="259"/>
      </w:pPr>
      <w:r>
        <w:rPr>
          <w:rFonts w:ascii="Aptos" w:hAnsi="Aptos"/>
          <w:color w:val="1F1F1F"/>
          <w:sz w:val="20"/>
        </w:rPr>
        <w:t>Open Workflow &amp; Controls to inspect status and exceptions.</w:t>
      </w:r>
    </w:p>
    <w:p>
      <w:pPr>
        <w:pStyle w:val="ListNumber"/>
        <w:spacing w:after="100" w:line="259" w:lineRule="auto"/>
        <w:ind w:left="403" w:hanging="259"/>
      </w:pPr>
      <w:r>
        <w:rPr>
          <w:rFonts w:ascii="Aptos" w:hAnsi="Aptos"/>
          <w:color w:val="1F1F1F"/>
          <w:sz w:val="20"/>
        </w:rPr>
        <w:t>Open the relevant portfolio or liquidity page only after the applied output is available.</w:t>
      </w:r>
    </w:p>
    <w:tbl>
      <w:tblPr>
        <w:tblStyle w:val="TableGrid"/>
        <w:tblW w:type="auto" w:w="0"/>
        <w:jc w:val="center"/>
        <w:tblLayout w:type="fixed"/>
        <w:tblLook w:firstColumn="1" w:firstRow="1" w:lastColumn="0" w:lastRow="0" w:noHBand="0" w:noVBand="1" w:val="04A0"/>
      </w:tblPr>
      <w:tblGrid>
        <w:gridCol w:w="10512"/>
      </w:tblGrid>
      <w:tr>
        <w:tc>
          <w:tcPr>
            <w:tcW w:type="dxa" w:w="10152"/>
            <w:vAlign w:val="center"/>
            <w:tcMar>
              <w:top w:w="90" w:type="dxa"/>
              <w:start w:w="110" w:type="dxa"/>
              <w:bottom w:w="90" w:type="dxa"/>
              <w:end w:w="110" w:type="dxa"/>
            </w:tcMar>
            <w:shd w:fill="FCE4D6"/>
          </w:tcPr>
          <w:p>
            <w:pPr>
              <w:spacing w:after="0"/>
            </w:pPr>
            <w:r>
              <w:rPr>
                <w:rFonts w:ascii="Aptos" w:hAnsi="Aptos"/>
                <w:b/>
                <w:color w:val="1F4E79"/>
                <w:sz w:val="20"/>
              </w:rPr>
              <w:t xml:space="preserve">Never bypass review: </w:t>
            </w:r>
            <w:r>
              <w:rPr>
                <w:rFonts w:ascii="Aptos" w:hAnsi="Aptos"/>
                <w:sz w:val="20"/>
              </w:rPr>
              <w:t>A readable extraction result is not automatically an approved portfolio update. Resolve needs-review items and reject unsafe records before application.</w:t>
            </w:r>
          </w:p>
        </w:tc>
      </w:tr>
    </w:tbl>
    <w:p>
      <w:pPr>
        <w:pStyle w:val="Heading1"/>
      </w:pPr>
      <w:r>
        <w:t>8. Six-Document Expected Results</w:t>
      </w:r>
    </w:p>
    <w:tbl>
      <w:tblPr>
        <w:tblStyle w:val="TableGrid"/>
        <w:tblW w:type="auto" w:w="0"/>
        <w:jc w:val="center"/>
        <w:tblLayout w:type="fixed"/>
        <w:tblLook w:firstColumn="1" w:firstRow="1" w:lastColumn="0" w:lastRow="0" w:noHBand="0" w:noVBand="1" w:val="04A0"/>
      </w:tblPr>
      <w:tblGrid>
        <w:gridCol w:w="2628"/>
        <w:gridCol w:w="2628"/>
        <w:gridCol w:w="2628"/>
        <w:gridCol w:w="2628"/>
      </w:tblGrid>
      <w:tr>
        <w:trPr>
          <w:tblHeader w:val="true"/>
        </w:trPr>
        <w:tc>
          <w:tcPr>
            <w:tcW w:type="dxa" w:w="2880"/>
            <w:vAlign w:val="center"/>
            <w:tcMar>
              <w:top w:w="90" w:type="dxa"/>
              <w:start w:w="110" w:type="dxa"/>
              <w:bottom w:w="90" w:type="dxa"/>
              <w:end w:w="110" w:type="dxa"/>
            </w:tcMar>
            <w:shd w:fill="1F4E79"/>
          </w:tcPr>
          <w:p>
            <w:r>
              <w:rPr>
                <w:b/>
                <w:color w:val="FFFFFF"/>
                <w:sz w:val="15"/>
              </w:rPr>
              <w:t>Document</w:t>
            </w:r>
          </w:p>
        </w:tc>
        <w:tc>
          <w:tcPr>
            <w:tcW w:type="dxa" w:w="1800"/>
            <w:vAlign w:val="center"/>
            <w:tcMar>
              <w:top w:w="90" w:type="dxa"/>
              <w:start w:w="110" w:type="dxa"/>
              <w:bottom w:w="90" w:type="dxa"/>
              <w:end w:w="110" w:type="dxa"/>
            </w:tcMar>
            <w:shd w:fill="1F4E79"/>
          </w:tcPr>
          <w:p>
            <w:r>
              <w:rPr>
                <w:b/>
                <w:color w:val="FFFFFF"/>
                <w:sz w:val="15"/>
              </w:rPr>
              <w:t>Expected status</w:t>
            </w:r>
          </w:p>
        </w:tc>
        <w:tc>
          <w:tcPr>
            <w:tcW w:type="dxa" w:w="1008"/>
            <w:vAlign w:val="center"/>
            <w:tcMar>
              <w:top w:w="90" w:type="dxa"/>
              <w:start w:w="110" w:type="dxa"/>
              <w:bottom w:w="90" w:type="dxa"/>
              <w:end w:w="110" w:type="dxa"/>
            </w:tcMar>
            <w:shd w:fill="1F4E79"/>
          </w:tcPr>
          <w:p>
            <w:r>
              <w:rPr>
                <w:b/>
                <w:color w:val="FFFFFF"/>
                <w:sz w:val="15"/>
              </w:rPr>
              <w:t>Applied</w:t>
            </w:r>
          </w:p>
        </w:tc>
        <w:tc>
          <w:tcPr>
            <w:tcW w:type="dxa" w:w="4464"/>
            <w:vAlign w:val="center"/>
            <w:tcMar>
              <w:top w:w="90" w:type="dxa"/>
              <w:start w:w="110" w:type="dxa"/>
              <w:bottom w:w="90" w:type="dxa"/>
              <w:end w:w="110" w:type="dxa"/>
            </w:tcMar>
            <w:shd w:fill="1F4E79"/>
          </w:tcPr>
          <w:p>
            <w:r>
              <w:rPr>
                <w:b/>
                <w:color w:val="FFFFFF"/>
                <w:sz w:val="15"/>
              </w:rPr>
              <w:t>Expected effect</w:t>
            </w:r>
          </w:p>
        </w:tc>
      </w:tr>
      <w:tr>
        <w:tc>
          <w:tcPr>
            <w:tcW w:type="dxa" w:w="2880"/>
            <w:vAlign w:val="center"/>
            <w:tcMar>
              <w:top w:w="90" w:type="dxa"/>
              <w:start w:w="110" w:type="dxa"/>
              <w:bottom w:w="90" w:type="dxa"/>
              <w:end w:w="110" w:type="dxa"/>
            </w:tcMar>
          </w:tcPr>
          <w:p>
            <w:pPr>
              <w:spacing w:after="0" w:line="240" w:lineRule="auto"/>
            </w:pPr>
            <w:r>
              <w:rPr>
                <w:rFonts w:ascii="Aptos" w:hAnsi="Aptos"/>
                <w:sz w:val="15"/>
              </w:rPr>
              <w:t>PDF_001 Northstar capital call</w:t>
            </w:r>
          </w:p>
        </w:tc>
        <w:tc>
          <w:tcPr>
            <w:tcW w:type="dxa" w:w="1800"/>
            <w:vAlign w:val="center"/>
            <w:tcMar>
              <w:top w:w="90" w:type="dxa"/>
              <w:start w:w="110" w:type="dxa"/>
              <w:bottom w:w="90" w:type="dxa"/>
              <w:end w:w="110" w:type="dxa"/>
            </w:tcMar>
          </w:tcPr>
          <w:p>
            <w:pPr>
              <w:spacing w:after="0" w:line="240" w:lineRule="auto"/>
            </w:pPr>
            <w:r>
              <w:rPr>
                <w:rFonts w:ascii="Aptos" w:hAnsi="Aptos"/>
                <w:sz w:val="15"/>
              </w:rPr>
              <w:t>Needs review</w:t>
            </w:r>
          </w:p>
        </w:tc>
        <w:tc>
          <w:tcPr>
            <w:tcW w:type="dxa" w:w="1008"/>
            <w:vAlign w:val="center"/>
            <w:tcMar>
              <w:top w:w="90" w:type="dxa"/>
              <w:start w:w="110" w:type="dxa"/>
              <w:bottom w:w="90" w:type="dxa"/>
              <w:end w:w="110" w:type="dxa"/>
            </w:tcMar>
          </w:tcPr>
          <w:p>
            <w:pPr>
              <w:spacing w:after="0" w:line="240" w:lineRule="auto"/>
            </w:pPr>
            <w:r>
              <w:rPr>
                <w:rFonts w:ascii="Aptos" w:hAnsi="Aptos"/>
                <w:sz w:val="15"/>
              </w:rPr>
              <w:t>No</w:t>
            </w:r>
          </w:p>
        </w:tc>
        <w:tc>
          <w:tcPr>
            <w:tcW w:type="dxa" w:w="4464"/>
            <w:vAlign w:val="center"/>
            <w:tcMar>
              <w:top w:w="90" w:type="dxa"/>
              <w:start w:w="110" w:type="dxa"/>
              <w:bottom w:w="90" w:type="dxa"/>
              <w:end w:w="110" w:type="dxa"/>
            </w:tcMar>
          </w:tcPr>
          <w:p>
            <w:pPr>
              <w:spacing w:after="0" w:line="240" w:lineRule="auto"/>
            </w:pPr>
            <w:r>
              <w:rPr>
                <w:rFonts w:ascii="Aptos" w:hAnsi="Aptos"/>
                <w:sz w:val="15"/>
              </w:rPr>
              <w:t>Potential outflow remains blocked.</w:t>
            </w:r>
          </w:p>
        </w:tc>
      </w:tr>
      <w:tr>
        <w:tc>
          <w:tcPr>
            <w:tcW w:type="dxa" w:w="2880"/>
            <w:vAlign w:val="center"/>
            <w:tcMar>
              <w:top w:w="90" w:type="dxa"/>
              <w:start w:w="110" w:type="dxa"/>
              <w:bottom w:w="90" w:type="dxa"/>
              <w:end w:w="110" w:type="dxa"/>
            </w:tcMar>
          </w:tcPr>
          <w:p>
            <w:pPr>
              <w:spacing w:after="0" w:line="240" w:lineRule="auto"/>
            </w:pPr>
            <w:r>
              <w:rPr>
                <w:rFonts w:ascii="Aptos" w:hAnsi="Aptos"/>
                <w:sz w:val="15"/>
              </w:rPr>
              <w:t>PDF_002 SeedSpring capital call</w:t>
            </w:r>
          </w:p>
        </w:tc>
        <w:tc>
          <w:tcPr>
            <w:tcW w:type="dxa" w:w="1800"/>
            <w:vAlign w:val="center"/>
            <w:tcMar>
              <w:top w:w="90" w:type="dxa"/>
              <w:start w:w="110" w:type="dxa"/>
              <w:bottom w:w="90" w:type="dxa"/>
              <w:end w:w="110" w:type="dxa"/>
            </w:tcMar>
          </w:tcPr>
          <w:p>
            <w:pPr>
              <w:spacing w:after="0" w:line="240" w:lineRule="auto"/>
            </w:pPr>
            <w:r>
              <w:rPr>
                <w:rFonts w:ascii="Aptos" w:hAnsi="Aptos"/>
                <w:sz w:val="15"/>
              </w:rPr>
              <w:t>Needs review</w:t>
            </w:r>
          </w:p>
        </w:tc>
        <w:tc>
          <w:tcPr>
            <w:tcW w:type="dxa" w:w="1008"/>
            <w:vAlign w:val="center"/>
            <w:tcMar>
              <w:top w:w="90" w:type="dxa"/>
              <w:start w:w="110" w:type="dxa"/>
              <w:bottom w:w="90" w:type="dxa"/>
              <w:end w:w="110" w:type="dxa"/>
            </w:tcMar>
          </w:tcPr>
          <w:p>
            <w:pPr>
              <w:spacing w:after="0" w:line="240" w:lineRule="auto"/>
            </w:pPr>
            <w:r>
              <w:rPr>
                <w:rFonts w:ascii="Aptos" w:hAnsi="Aptos"/>
                <w:sz w:val="15"/>
              </w:rPr>
              <w:t>No</w:t>
            </w:r>
          </w:p>
        </w:tc>
        <w:tc>
          <w:tcPr>
            <w:tcW w:type="dxa" w:w="4464"/>
            <w:vAlign w:val="center"/>
            <w:tcMar>
              <w:top w:w="90" w:type="dxa"/>
              <w:start w:w="110" w:type="dxa"/>
              <w:bottom w:w="90" w:type="dxa"/>
              <w:end w:w="110" w:type="dxa"/>
            </w:tcMar>
          </w:tcPr>
          <w:p>
            <w:pPr>
              <w:spacing w:after="0" w:line="240" w:lineRule="auto"/>
            </w:pPr>
            <w:r>
              <w:rPr>
                <w:rFonts w:ascii="Aptos" w:hAnsi="Aptos"/>
                <w:sz w:val="15"/>
              </w:rPr>
              <w:t>Exception remains in the review queue.</w:t>
            </w:r>
          </w:p>
        </w:tc>
      </w:tr>
      <w:tr>
        <w:tc>
          <w:tcPr>
            <w:tcW w:type="dxa" w:w="2880"/>
            <w:vAlign w:val="center"/>
            <w:tcMar>
              <w:top w:w="90" w:type="dxa"/>
              <w:start w:w="110" w:type="dxa"/>
              <w:bottom w:w="90" w:type="dxa"/>
              <w:end w:w="110" w:type="dxa"/>
            </w:tcMar>
          </w:tcPr>
          <w:p>
            <w:pPr>
              <w:spacing w:after="0" w:line="240" w:lineRule="auto"/>
            </w:pPr>
            <w:r>
              <w:rPr>
                <w:rFonts w:ascii="Aptos" w:hAnsi="Aptos"/>
                <w:sz w:val="15"/>
              </w:rPr>
              <w:t>PDF_003 Harbor Peak distribution</w:t>
            </w:r>
          </w:p>
        </w:tc>
        <w:tc>
          <w:tcPr>
            <w:tcW w:type="dxa" w:w="1800"/>
            <w:vAlign w:val="center"/>
            <w:tcMar>
              <w:top w:w="90" w:type="dxa"/>
              <w:start w:w="110" w:type="dxa"/>
              <w:bottom w:w="90" w:type="dxa"/>
              <w:end w:w="110" w:type="dxa"/>
            </w:tcMar>
          </w:tcPr>
          <w:p>
            <w:pPr>
              <w:spacing w:after="0" w:line="240" w:lineRule="auto"/>
            </w:pPr>
            <w:r>
              <w:rPr>
                <w:rFonts w:ascii="Aptos" w:hAnsi="Aptos"/>
                <w:sz w:val="15"/>
              </w:rPr>
              <w:t>Approved</w:t>
            </w:r>
          </w:p>
        </w:tc>
        <w:tc>
          <w:tcPr>
            <w:tcW w:type="dxa" w:w="1008"/>
            <w:vAlign w:val="center"/>
            <w:tcMar>
              <w:top w:w="90" w:type="dxa"/>
              <w:start w:w="110" w:type="dxa"/>
              <w:bottom w:w="90" w:type="dxa"/>
              <w:end w:w="110" w:type="dxa"/>
            </w:tcMar>
          </w:tcPr>
          <w:p>
            <w:pPr>
              <w:spacing w:after="0" w:line="240" w:lineRule="auto"/>
            </w:pPr>
            <w:r>
              <w:rPr>
                <w:rFonts w:ascii="Aptos" w:hAnsi="Aptos"/>
                <w:sz w:val="15"/>
              </w:rPr>
              <w:t>Yes</w:t>
            </w:r>
          </w:p>
        </w:tc>
        <w:tc>
          <w:tcPr>
            <w:tcW w:type="dxa" w:w="4464"/>
            <w:vAlign w:val="center"/>
            <w:tcMar>
              <w:top w:w="90" w:type="dxa"/>
              <w:start w:w="110" w:type="dxa"/>
              <w:bottom w:w="90" w:type="dxa"/>
              <w:end w:w="110" w:type="dxa"/>
            </w:tcMar>
          </w:tcPr>
          <w:p>
            <w:pPr>
              <w:spacing w:after="0" w:line="240" w:lineRule="auto"/>
            </w:pPr>
            <w:r>
              <w:rPr>
                <w:rFonts w:ascii="Aptos" w:hAnsi="Aptos"/>
                <w:sz w:val="15"/>
              </w:rPr>
              <w:t>Projected USD 3.1m inflow and approved cash-flow record.</w:t>
            </w:r>
          </w:p>
        </w:tc>
      </w:tr>
      <w:tr>
        <w:tc>
          <w:tcPr>
            <w:tcW w:type="dxa" w:w="2880"/>
            <w:vAlign w:val="center"/>
            <w:tcMar>
              <w:top w:w="90" w:type="dxa"/>
              <w:start w:w="110" w:type="dxa"/>
              <w:bottom w:w="90" w:type="dxa"/>
              <w:end w:w="110" w:type="dxa"/>
            </w:tcMar>
          </w:tcPr>
          <w:p>
            <w:pPr>
              <w:spacing w:after="0" w:line="240" w:lineRule="auto"/>
            </w:pPr>
            <w:r>
              <w:rPr>
                <w:rFonts w:ascii="Aptos" w:hAnsi="Aptos"/>
                <w:sz w:val="15"/>
              </w:rPr>
              <w:t>PDF_004 Northstar capital-account statement</w:t>
            </w:r>
          </w:p>
        </w:tc>
        <w:tc>
          <w:tcPr>
            <w:tcW w:type="dxa" w:w="1800"/>
            <w:vAlign w:val="center"/>
            <w:tcMar>
              <w:top w:w="90" w:type="dxa"/>
              <w:start w:w="110" w:type="dxa"/>
              <w:bottom w:w="90" w:type="dxa"/>
              <w:end w:w="110" w:type="dxa"/>
            </w:tcMar>
          </w:tcPr>
          <w:p>
            <w:pPr>
              <w:spacing w:after="0" w:line="240" w:lineRule="auto"/>
            </w:pPr>
            <w:r>
              <w:rPr>
                <w:rFonts w:ascii="Aptos" w:hAnsi="Aptos"/>
                <w:sz w:val="15"/>
              </w:rPr>
              <w:t>Approved</w:t>
            </w:r>
          </w:p>
        </w:tc>
        <w:tc>
          <w:tcPr>
            <w:tcW w:type="dxa" w:w="1008"/>
            <w:vAlign w:val="center"/>
            <w:tcMar>
              <w:top w:w="90" w:type="dxa"/>
              <w:start w:w="110" w:type="dxa"/>
              <w:bottom w:w="90" w:type="dxa"/>
              <w:end w:w="110" w:type="dxa"/>
            </w:tcMar>
          </w:tcPr>
          <w:p>
            <w:pPr>
              <w:spacing w:after="0" w:line="240" w:lineRule="auto"/>
            </w:pPr>
            <w:r>
              <w:rPr>
                <w:rFonts w:ascii="Aptos" w:hAnsi="Aptos"/>
                <w:sz w:val="15"/>
              </w:rPr>
              <w:t>Yes</w:t>
            </w:r>
          </w:p>
        </w:tc>
        <w:tc>
          <w:tcPr>
            <w:tcW w:type="dxa" w:w="4464"/>
            <w:vAlign w:val="center"/>
            <w:tcMar>
              <w:top w:w="90" w:type="dxa"/>
              <w:start w:w="110" w:type="dxa"/>
              <w:bottom w:w="90" w:type="dxa"/>
              <w:end w:w="110" w:type="dxa"/>
            </w:tcMar>
          </w:tcPr>
          <w:p>
            <w:pPr>
              <w:spacing w:after="0" w:line="240" w:lineRule="auto"/>
            </w:pPr>
            <w:r>
              <w:rPr>
                <w:rFonts w:ascii="Aptos" w:hAnsi="Aptos"/>
                <w:sz w:val="15"/>
              </w:rPr>
              <w:t>Private-market position update.</w:t>
            </w:r>
          </w:p>
        </w:tc>
      </w:tr>
      <w:tr>
        <w:tc>
          <w:tcPr>
            <w:tcW w:type="dxa" w:w="2880"/>
            <w:vAlign w:val="center"/>
            <w:tcMar>
              <w:top w:w="90" w:type="dxa"/>
              <w:start w:w="110" w:type="dxa"/>
              <w:bottom w:w="90" w:type="dxa"/>
              <w:end w:w="110" w:type="dxa"/>
            </w:tcMar>
          </w:tcPr>
          <w:p>
            <w:pPr>
              <w:spacing w:after="0" w:line="240" w:lineRule="auto"/>
            </w:pPr>
            <w:r>
              <w:rPr>
                <w:rFonts w:ascii="Aptos" w:hAnsi="Aptos"/>
                <w:sz w:val="15"/>
              </w:rPr>
              <w:t>PDF_005 LionRock capital-account statement</w:t>
            </w:r>
          </w:p>
        </w:tc>
        <w:tc>
          <w:tcPr>
            <w:tcW w:type="dxa" w:w="1800"/>
            <w:vAlign w:val="center"/>
            <w:tcMar>
              <w:top w:w="90" w:type="dxa"/>
              <w:start w:w="110" w:type="dxa"/>
              <w:bottom w:w="90" w:type="dxa"/>
              <w:end w:w="110" w:type="dxa"/>
            </w:tcMar>
          </w:tcPr>
          <w:p>
            <w:pPr>
              <w:spacing w:after="0" w:line="240" w:lineRule="auto"/>
            </w:pPr>
            <w:r>
              <w:rPr>
                <w:rFonts w:ascii="Aptos" w:hAnsi="Aptos"/>
                <w:sz w:val="15"/>
              </w:rPr>
              <w:t>Rejected</w:t>
            </w:r>
          </w:p>
        </w:tc>
        <w:tc>
          <w:tcPr>
            <w:tcW w:type="dxa" w:w="1008"/>
            <w:vAlign w:val="center"/>
            <w:tcMar>
              <w:top w:w="90" w:type="dxa"/>
              <w:start w:w="110" w:type="dxa"/>
              <w:bottom w:w="90" w:type="dxa"/>
              <w:end w:w="110" w:type="dxa"/>
            </w:tcMar>
          </w:tcPr>
          <w:p>
            <w:pPr>
              <w:spacing w:after="0" w:line="240" w:lineRule="auto"/>
            </w:pPr>
            <w:r>
              <w:rPr>
                <w:rFonts w:ascii="Aptos" w:hAnsi="Aptos"/>
                <w:sz w:val="15"/>
              </w:rPr>
              <w:t>No</w:t>
            </w:r>
          </w:p>
        </w:tc>
        <w:tc>
          <w:tcPr>
            <w:tcW w:type="dxa" w:w="4464"/>
            <w:vAlign w:val="center"/>
            <w:tcMar>
              <w:top w:w="90" w:type="dxa"/>
              <w:start w:w="110" w:type="dxa"/>
              <w:bottom w:w="90" w:type="dxa"/>
              <w:end w:w="110" w:type="dxa"/>
            </w:tcMar>
          </w:tcPr>
          <w:p>
            <w:pPr>
              <w:spacing w:after="0" w:line="240" w:lineRule="auto"/>
            </w:pPr>
            <w:r>
              <w:rPr>
                <w:rFonts w:ascii="Aptos" w:hAnsi="Aptos"/>
                <w:sz w:val="15"/>
              </w:rPr>
              <w:t>No portfolio update.</w:t>
            </w:r>
          </w:p>
        </w:tc>
      </w:tr>
      <w:tr>
        <w:tc>
          <w:tcPr>
            <w:tcW w:type="dxa" w:w="2880"/>
            <w:vAlign w:val="center"/>
            <w:tcMar>
              <w:top w:w="90" w:type="dxa"/>
              <w:start w:w="110" w:type="dxa"/>
              <w:bottom w:w="90" w:type="dxa"/>
              <w:end w:w="110" w:type="dxa"/>
            </w:tcMar>
          </w:tcPr>
          <w:p>
            <w:pPr>
              <w:spacing w:after="0" w:line="240" w:lineRule="auto"/>
            </w:pPr>
            <w:r>
              <w:rPr>
                <w:rFonts w:ascii="Aptos" w:hAnsi="Aptos"/>
                <w:sz w:val="15"/>
              </w:rPr>
              <w:t>PDF_006 Blue Horizon newsletter</w:t>
            </w:r>
          </w:p>
        </w:tc>
        <w:tc>
          <w:tcPr>
            <w:tcW w:type="dxa" w:w="1800"/>
            <w:vAlign w:val="center"/>
            <w:tcMar>
              <w:top w:w="90" w:type="dxa"/>
              <w:start w:w="110" w:type="dxa"/>
              <w:bottom w:w="90" w:type="dxa"/>
              <w:end w:w="110" w:type="dxa"/>
            </w:tcMar>
          </w:tcPr>
          <w:p>
            <w:pPr>
              <w:spacing w:after="0" w:line="240" w:lineRule="auto"/>
            </w:pPr>
            <w:r>
              <w:rPr>
                <w:rFonts w:ascii="Aptos" w:hAnsi="Aptos"/>
                <w:sz w:val="15"/>
              </w:rPr>
              <w:t>Approved</w:t>
            </w:r>
          </w:p>
        </w:tc>
        <w:tc>
          <w:tcPr>
            <w:tcW w:type="dxa" w:w="1008"/>
            <w:vAlign w:val="center"/>
            <w:tcMar>
              <w:top w:w="90" w:type="dxa"/>
              <w:start w:w="110" w:type="dxa"/>
              <w:bottom w:w="90" w:type="dxa"/>
              <w:end w:w="110" w:type="dxa"/>
            </w:tcMar>
          </w:tcPr>
          <w:p>
            <w:pPr>
              <w:spacing w:after="0" w:line="240" w:lineRule="auto"/>
            </w:pPr>
            <w:r>
              <w:rPr>
                <w:rFonts w:ascii="Aptos" w:hAnsi="Aptos"/>
                <w:sz w:val="15"/>
              </w:rPr>
              <w:t>Yes</w:t>
            </w:r>
          </w:p>
        </w:tc>
        <w:tc>
          <w:tcPr>
            <w:tcW w:type="dxa" w:w="4464"/>
            <w:vAlign w:val="center"/>
            <w:tcMar>
              <w:top w:w="90" w:type="dxa"/>
              <w:start w:w="110" w:type="dxa"/>
              <w:bottom w:w="90" w:type="dxa"/>
              <w:end w:w="110" w:type="dxa"/>
            </w:tcMar>
          </w:tcPr>
          <w:p>
            <w:pPr>
              <w:spacing w:after="0" w:line="240" w:lineRule="auto"/>
            </w:pPr>
            <w:r>
              <w:rPr>
                <w:rFonts w:ascii="Aptos" w:hAnsi="Aptos"/>
                <w:sz w:val="15"/>
              </w:rPr>
              <w:t>Commentary only; no financial balance change.</w:t>
            </w:r>
          </w:p>
        </w:tc>
      </w:tr>
    </w:tbl>
    <w:p>
      <w:pPr>
        <w:pStyle w:val="Heading1"/>
      </w:pPr>
      <w:r>
        <w:t>9. Demo Presentation Runbook</w:t>
      </w:r>
    </w:p>
    <w:p>
      <w:pPr>
        <w:spacing w:after="100" w:line="259" w:lineRule="auto"/>
      </w:pPr>
      <w:r>
        <w:rPr>
          <w:rFonts w:ascii="Aptos" w:hAnsi="Aptos"/>
          <w:color w:val="1F1F1F"/>
          <w:sz w:val="20"/>
        </w:rPr>
        <w:t>A reliable demonstration should follow the business story rather than the application menu.</w:t>
      </w:r>
    </w:p>
    <w:p>
      <w:pPr>
        <w:spacing w:after="100" w:line="259" w:lineRule="auto"/>
      </w:pPr>
      <w:r>
        <w:rPr>
          <w:rFonts w:ascii="Aptos" w:hAnsi="Aptos"/>
          <w:b/>
          <w:color w:val="1F1F1F"/>
          <w:sz w:val="20"/>
        </w:rPr>
        <w:t>Problem. Explain that private-market reporting is document-driven, delayed, and manually reconciled.</w:t>
      </w:r>
    </w:p>
    <w:p>
      <w:pPr>
        <w:spacing w:after="100" w:line="259" w:lineRule="auto"/>
      </w:pPr>
      <w:r>
        <w:rPr>
          <w:rFonts w:ascii="Aptos" w:hAnsi="Aptos"/>
          <w:b/>
          <w:color w:val="1F1F1F"/>
          <w:sz w:val="20"/>
        </w:rPr>
        <w:t>Baseline. Open Overview and establish the 30 April official portfolio state.</w:t>
      </w:r>
    </w:p>
    <w:p>
      <w:pPr>
        <w:spacing w:after="100" w:line="259" w:lineRule="auto"/>
      </w:pPr>
      <w:r>
        <w:rPr>
          <w:rFonts w:ascii="Aptos" w:hAnsi="Aptos"/>
          <w:b/>
          <w:color w:val="1F1F1F"/>
          <w:sz w:val="20"/>
        </w:rPr>
        <w:t>Document evidence. Open Workflow &amp; Controls and show all six documents with three different outcomes.</w:t>
      </w:r>
    </w:p>
    <w:p>
      <w:pPr>
        <w:spacing w:after="100" w:line="259" w:lineRule="auto"/>
      </w:pPr>
      <w:r>
        <w:rPr>
          <w:rFonts w:ascii="Aptos" w:hAnsi="Aptos"/>
          <w:b/>
          <w:color w:val="1F1F1F"/>
          <w:sz w:val="20"/>
        </w:rPr>
        <w:t>Applied effects. Open Private Markets and Liquidity &amp; Commitments to show the approved distribution, position update, and commentary.</w:t>
      </w:r>
    </w:p>
    <w:p>
      <w:pPr>
        <w:spacing w:after="100" w:line="259" w:lineRule="auto"/>
      </w:pPr>
      <w:r>
        <w:rPr>
          <w:rFonts w:ascii="Aptos" w:hAnsi="Aptos"/>
          <w:b/>
          <w:color w:val="1F1F1F"/>
          <w:sz w:val="20"/>
        </w:rPr>
        <w:t>Control evidence. Return to Workflow &amp; Controls and show that two review items and one rejection remain blocked.</w:t>
      </w:r>
    </w:p>
    <w:p>
      <w:pPr>
        <w:spacing w:after="100" w:line="259" w:lineRule="auto"/>
      </w:pPr>
      <w:r>
        <w:rPr>
          <w:rFonts w:ascii="Aptos" w:hAnsi="Aptos"/>
          <w:b/>
          <w:color w:val="1F1F1F"/>
          <w:sz w:val="20"/>
        </w:rPr>
        <w:t>Decision value. Use Overview, Risk Profile, and stakeholder-relevant pages to explain CIO, analyst, and operations use cases.</w:t>
      </w:r>
    </w:p>
    <w:p>
      <w:pPr>
        <w:spacing w:after="100" w:line="259" w:lineRule="auto"/>
      </w:pPr>
      <w:r>
        <w:rPr>
          <w:rFonts w:ascii="Aptos" w:hAnsi="Aptos"/>
          <w:b/>
          <w:color w:val="1F1F1F"/>
          <w:sz w:val="20"/>
        </w:rPr>
        <w:t>Conclusion. State that the achievement is the controlled source-to-decision chain, not a dashboard or extraction script alone.</w:t>
      </w:r>
    </w:p>
    <w:tbl>
      <w:tblPr>
        <w:tblStyle w:val="TableGrid"/>
        <w:tblW w:type="auto" w:w="0"/>
        <w:jc w:val="center"/>
        <w:tblLayout w:type="fixed"/>
        <w:tblLook w:firstColumn="1" w:firstRow="1" w:lastColumn="0" w:lastRow="0" w:noHBand="0" w:noVBand="1" w:val="04A0"/>
      </w:tblPr>
      <w:tblGrid>
        <w:gridCol w:w="10512"/>
      </w:tblGrid>
      <w:tr>
        <w:tc>
          <w:tcPr>
            <w:tcW w:type="dxa" w:w="10152"/>
            <w:vAlign w:val="center"/>
            <w:tcMar>
              <w:top w:w="90" w:type="dxa"/>
              <w:start w:w="110" w:type="dxa"/>
              <w:bottom w:w="90" w:type="dxa"/>
              <w:end w:w="110" w:type="dxa"/>
            </w:tcMar>
            <w:shd w:fill="EEF5FA"/>
          </w:tcPr>
          <w:p>
            <w:pPr>
              <w:spacing w:after="0"/>
            </w:pPr>
            <w:r>
              <w:rPr>
                <w:rFonts w:ascii="Aptos" w:hAnsi="Aptos"/>
                <w:b/>
                <w:color w:val="1F4E79"/>
                <w:sz w:val="20"/>
              </w:rPr>
              <w:t xml:space="preserve">Recommended message: </w:t>
            </w:r>
            <w:r>
              <w:rPr>
                <w:rFonts w:ascii="Aptos" w:hAnsi="Aptos"/>
                <w:sz w:val="20"/>
              </w:rPr>
              <w:t>The system automates structuring and checking, while humans retain approval authority. Approved information changes decision views; unresolved information remains visible but cannot silently change the portfolio.</w:t>
            </w:r>
          </w:p>
        </w:tc>
      </w:tr>
    </w:tbl>
    <w:p>
      <w:pPr>
        <w:pStyle w:val="Heading1"/>
      </w:pPr>
      <w:r>
        <w:t>10. Reset and Replay</w:t>
      </w:r>
    </w:p>
    <w:p>
      <w:pPr>
        <w:spacing w:after="100" w:line="259" w:lineRule="auto"/>
      </w:pPr>
      <w:r>
        <w:rPr>
          <w:rFonts w:ascii="Aptos" w:hAnsi="Aptos"/>
          <w:color w:val="1F1F1F"/>
          <w:sz w:val="20"/>
        </w:rPr>
        <w:t>Use the dashboard's Demo Tools controls when preparing to replay the scenario:</w:t>
      </w:r>
    </w:p>
    <w:p>
      <w:pPr>
        <w:pStyle w:val="ListBullet"/>
        <w:spacing w:after="100" w:line="259" w:lineRule="auto"/>
        <w:ind w:left="360" w:hanging="216"/>
      </w:pPr>
      <w:r>
        <w:rPr>
          <w:rFonts w:ascii="Aptos" w:hAnsi="Aptos"/>
          <w:color w:val="1F1F1F"/>
          <w:sz w:val="20"/>
        </w:rPr>
        <w:t>Reset To Demo Start State returns the approved overlay and market-linked pages to the official baseline month and backs up the current processed/overlay artifacts.</w:t>
      </w:r>
    </w:p>
    <w:p>
      <w:pPr>
        <w:pStyle w:val="ListBullet"/>
        <w:spacing w:after="100" w:line="259" w:lineRule="auto"/>
        <w:ind w:left="360" w:hanging="216"/>
      </w:pPr>
      <w:r>
        <w:rPr>
          <w:rFonts w:ascii="Aptos" w:hAnsi="Aptos"/>
          <w:color w:val="1F1F1F"/>
          <w:sz w:val="20"/>
        </w:rPr>
        <w:t>Refresh Market-Linked Pages advances external-market-backed pages to the current approved PDF month.</w:t>
      </w:r>
    </w:p>
    <w:p>
      <w:pPr>
        <w:pStyle w:val="ListBullet"/>
        <w:spacing w:after="100" w:line="259" w:lineRule="auto"/>
        <w:ind w:left="360" w:hanging="216"/>
      </w:pPr>
      <w:r>
        <w:rPr>
          <w:rFonts w:ascii="Aptos" w:hAnsi="Aptos"/>
          <w:color w:val="1F1F1F"/>
          <w:sz w:val="20"/>
        </w:rPr>
        <w:t>After a reset, rerun the locked baseline sequence before presenting the applied May state again.</w:t>
      </w:r>
    </w:p>
    <w:tbl>
      <w:tblPr>
        <w:tblStyle w:val="TableGrid"/>
        <w:tblW w:type="auto" w:w="0"/>
        <w:jc w:val="center"/>
        <w:tblLayout w:type="fixed"/>
        <w:tblLook w:firstColumn="1" w:firstRow="1" w:lastColumn="0" w:lastRow="0" w:noHBand="0" w:noVBand="1" w:val="04A0"/>
      </w:tblPr>
      <w:tblGrid>
        <w:gridCol w:w="10512"/>
      </w:tblGrid>
      <w:tr>
        <w:tc>
          <w:tcPr>
            <w:tcW w:type="dxa" w:w="10152"/>
            <w:vAlign w:val="center"/>
            <w:tcMar>
              <w:top w:w="90" w:type="dxa"/>
              <w:start w:w="110" w:type="dxa"/>
              <w:bottom w:w="90" w:type="dxa"/>
              <w:end w:w="110" w:type="dxa"/>
            </w:tcMar>
            <w:shd w:fill="FFF2CC"/>
          </w:tcPr>
          <w:p>
            <w:pPr>
              <w:spacing w:after="0"/>
            </w:pPr>
            <w:r>
              <w:rPr>
                <w:rFonts w:ascii="Aptos" w:hAnsi="Aptos"/>
                <w:b/>
                <w:color w:val="1F4E79"/>
                <w:sz w:val="20"/>
              </w:rPr>
              <w:t xml:space="preserve">Caution: </w:t>
            </w:r>
            <w:r>
              <w:rPr>
                <w:rFonts w:ascii="Aptos" w:hAnsi="Aptos"/>
                <w:sz w:val="20"/>
              </w:rPr>
              <w:t>Reset changes generated demo state. Confirm that no unrelated local work depends on the current processed outputs before using it.</w:t>
            </w:r>
          </w:p>
        </w:tc>
      </w:tr>
    </w:tbl>
    <w:p>
      <w:pPr>
        <w:pStyle w:val="Heading1"/>
      </w:pPr>
      <w:r>
        <w:t>11. Outputs and Evidence Locations</w:t>
      </w:r>
    </w:p>
    <w:tbl>
      <w:tblPr>
        <w:tblStyle w:val="TableGrid"/>
        <w:tblW w:type="auto" w:w="0"/>
        <w:jc w:val="center"/>
        <w:tblLayout w:type="fixed"/>
        <w:tblLook w:firstColumn="1" w:firstRow="1" w:lastColumn="0" w:lastRow="0" w:noHBand="0" w:noVBand="1" w:val="04A0"/>
      </w:tblPr>
      <w:tblGrid>
        <w:gridCol w:w="5256"/>
        <w:gridCol w:w="5256"/>
      </w:tblGrid>
      <w:tr>
        <w:trPr>
          <w:tblHeader w:val="true"/>
        </w:trPr>
        <w:tc>
          <w:tcPr>
            <w:tcW w:type="dxa" w:w="3528"/>
            <w:vAlign w:val="center"/>
            <w:tcMar>
              <w:top w:w="90" w:type="dxa"/>
              <w:start w:w="110" w:type="dxa"/>
              <w:bottom w:w="90" w:type="dxa"/>
              <w:end w:w="110" w:type="dxa"/>
            </w:tcMar>
            <w:shd w:fill="1F4E79"/>
          </w:tcPr>
          <w:p>
            <w:r>
              <w:rPr>
                <w:b/>
                <w:color w:val="FFFFFF"/>
                <w:sz w:val="16"/>
              </w:rPr>
              <w:t>Location</w:t>
            </w:r>
          </w:p>
        </w:tc>
        <w:tc>
          <w:tcPr>
            <w:tcW w:type="dxa" w:w="6624"/>
            <w:vAlign w:val="center"/>
            <w:tcMar>
              <w:top w:w="90" w:type="dxa"/>
              <w:start w:w="110" w:type="dxa"/>
              <w:bottom w:w="90" w:type="dxa"/>
              <w:end w:w="110" w:type="dxa"/>
            </w:tcMar>
            <w:shd w:fill="1F4E79"/>
          </w:tcPr>
          <w:p>
            <w:r>
              <w:rPr>
                <w:b/>
                <w:color w:val="FFFFFF"/>
                <w:sz w:val="16"/>
              </w:rPr>
              <w:t>Contents</w:t>
            </w:r>
          </w:p>
        </w:tc>
      </w:tr>
      <w:tr>
        <w:tc>
          <w:tcPr>
            <w:tcW w:type="dxa" w:w="3528"/>
            <w:vAlign w:val="center"/>
            <w:tcMar>
              <w:top w:w="90" w:type="dxa"/>
              <w:start w:w="110" w:type="dxa"/>
              <w:bottom w:w="90" w:type="dxa"/>
              <w:end w:w="110" w:type="dxa"/>
            </w:tcMar>
          </w:tcPr>
          <w:p>
            <w:pPr>
              <w:spacing w:after="0" w:line="240" w:lineRule="auto"/>
            </w:pPr>
            <w:r>
              <w:rPr>
                <w:rFonts w:ascii="Aptos" w:hAnsi="Aptos"/>
                <w:sz w:val="16"/>
              </w:rPr>
              <w:t>outputs/extracted_json/baseline/</w:t>
            </w:r>
          </w:p>
        </w:tc>
        <w:tc>
          <w:tcPr>
            <w:tcW w:type="dxa" w:w="6624"/>
            <w:vAlign w:val="center"/>
            <w:tcMar>
              <w:top w:w="90" w:type="dxa"/>
              <w:start w:w="110" w:type="dxa"/>
              <w:bottom w:w="90" w:type="dxa"/>
              <w:end w:w="110" w:type="dxa"/>
            </w:tcMar>
          </w:tcPr>
          <w:p>
            <w:pPr>
              <w:spacing w:after="0" w:line="240" w:lineRule="auto"/>
            </w:pPr>
            <w:r>
              <w:rPr>
                <w:rFonts w:ascii="Aptos" w:hAnsi="Aptos"/>
                <w:sz w:val="16"/>
              </w:rPr>
              <w:t>Schema-compliant deterministic extraction outputs.</w:t>
            </w:r>
          </w:p>
        </w:tc>
      </w:tr>
      <w:tr>
        <w:tc>
          <w:tcPr>
            <w:tcW w:type="dxa" w:w="3528"/>
            <w:vAlign w:val="center"/>
            <w:tcMar>
              <w:top w:w="90" w:type="dxa"/>
              <w:start w:w="110" w:type="dxa"/>
              <w:bottom w:w="90" w:type="dxa"/>
              <w:end w:w="110" w:type="dxa"/>
            </w:tcMar>
          </w:tcPr>
          <w:p>
            <w:pPr>
              <w:spacing w:after="0" w:line="240" w:lineRule="auto"/>
            </w:pPr>
            <w:r>
              <w:rPr>
                <w:rFonts w:ascii="Aptos" w:hAnsi="Aptos"/>
                <w:sz w:val="16"/>
              </w:rPr>
              <w:t>outputs/extracted_json/llm/</w:t>
            </w:r>
          </w:p>
        </w:tc>
        <w:tc>
          <w:tcPr>
            <w:tcW w:type="dxa" w:w="6624"/>
            <w:vAlign w:val="center"/>
            <w:tcMar>
              <w:top w:w="90" w:type="dxa"/>
              <w:start w:w="110" w:type="dxa"/>
              <w:bottom w:w="90" w:type="dxa"/>
              <w:end w:w="110" w:type="dxa"/>
            </w:tcMar>
          </w:tcPr>
          <w:p>
            <w:pPr>
              <w:spacing w:after="0" w:line="240" w:lineRule="auto"/>
            </w:pPr>
            <w:r>
              <w:rPr>
                <w:rFonts w:ascii="Aptos" w:hAnsi="Aptos"/>
                <w:sz w:val="16"/>
              </w:rPr>
              <w:t>Optional API-backed comparison outputs; not used by the standard demo.</w:t>
            </w:r>
          </w:p>
        </w:tc>
      </w:tr>
      <w:tr>
        <w:tc>
          <w:tcPr>
            <w:tcW w:type="dxa" w:w="3528"/>
            <w:vAlign w:val="center"/>
            <w:tcMar>
              <w:top w:w="90" w:type="dxa"/>
              <w:start w:w="110" w:type="dxa"/>
              <w:bottom w:w="90" w:type="dxa"/>
              <w:end w:w="110" w:type="dxa"/>
            </w:tcMar>
          </w:tcPr>
          <w:p>
            <w:pPr>
              <w:spacing w:after="0" w:line="240" w:lineRule="auto"/>
            </w:pPr>
            <w:r>
              <w:rPr>
                <w:rFonts w:ascii="Aptos" w:hAnsi="Aptos"/>
                <w:sz w:val="16"/>
              </w:rPr>
              <w:t>outputs/validation/</w:t>
            </w:r>
          </w:p>
        </w:tc>
        <w:tc>
          <w:tcPr>
            <w:tcW w:type="dxa" w:w="6624"/>
            <w:vAlign w:val="center"/>
            <w:tcMar>
              <w:top w:w="90" w:type="dxa"/>
              <w:start w:w="110" w:type="dxa"/>
              <w:bottom w:w="90" w:type="dxa"/>
              <w:end w:w="110" w:type="dxa"/>
            </w:tcMar>
          </w:tcPr>
          <w:p>
            <w:pPr>
              <w:spacing w:after="0" w:line="240" w:lineRule="auto"/>
            </w:pPr>
            <w:r>
              <w:rPr>
                <w:rFonts w:ascii="Aptos" w:hAnsi="Aptos"/>
                <w:sz w:val="16"/>
              </w:rPr>
              <w:t>Validation results and review queue.</w:t>
            </w:r>
          </w:p>
        </w:tc>
      </w:tr>
      <w:tr>
        <w:tc>
          <w:tcPr>
            <w:tcW w:type="dxa" w:w="3528"/>
            <w:vAlign w:val="center"/>
            <w:tcMar>
              <w:top w:w="90" w:type="dxa"/>
              <w:start w:w="110" w:type="dxa"/>
              <w:bottom w:w="90" w:type="dxa"/>
              <w:end w:w="110" w:type="dxa"/>
            </w:tcMar>
          </w:tcPr>
          <w:p>
            <w:pPr>
              <w:spacing w:after="0" w:line="240" w:lineRule="auto"/>
            </w:pPr>
            <w:r>
              <w:rPr>
                <w:rFonts w:ascii="Aptos" w:hAnsi="Aptos"/>
                <w:sz w:val="16"/>
              </w:rPr>
              <w:t>outputs/risk/</w:t>
            </w:r>
          </w:p>
        </w:tc>
        <w:tc>
          <w:tcPr>
            <w:tcW w:type="dxa" w:w="6624"/>
            <w:vAlign w:val="center"/>
            <w:tcMar>
              <w:top w:w="90" w:type="dxa"/>
              <w:start w:w="110" w:type="dxa"/>
              <w:bottom w:w="90" w:type="dxa"/>
              <w:end w:w="110" w:type="dxa"/>
            </w:tcMar>
          </w:tcPr>
          <w:p>
            <w:pPr>
              <w:spacing w:after="0" w:line="240" w:lineRule="auto"/>
            </w:pPr>
            <w:r>
              <w:rPr>
                <w:rFonts w:ascii="Aptos" w:hAnsi="Aptos"/>
                <w:sz w:val="16"/>
              </w:rPr>
              <w:t>Public risk metrics, correlations, and stress-test outputs.</w:t>
            </w:r>
          </w:p>
        </w:tc>
      </w:tr>
      <w:tr>
        <w:tc>
          <w:tcPr>
            <w:tcW w:type="dxa" w:w="3528"/>
            <w:vAlign w:val="center"/>
            <w:tcMar>
              <w:top w:w="90" w:type="dxa"/>
              <w:start w:w="110" w:type="dxa"/>
              <w:bottom w:w="90" w:type="dxa"/>
              <w:end w:w="110" w:type="dxa"/>
            </w:tcMar>
          </w:tcPr>
          <w:p>
            <w:pPr>
              <w:spacing w:after="0" w:line="240" w:lineRule="auto"/>
            </w:pPr>
            <w:r>
              <w:rPr>
                <w:rFonts w:ascii="Aptos" w:hAnsi="Aptos"/>
                <w:sz w:val="16"/>
              </w:rPr>
              <w:t>outputs/reports/</w:t>
            </w:r>
          </w:p>
        </w:tc>
        <w:tc>
          <w:tcPr>
            <w:tcW w:type="dxa" w:w="6624"/>
            <w:vAlign w:val="center"/>
            <w:tcMar>
              <w:top w:w="90" w:type="dxa"/>
              <w:start w:w="110" w:type="dxa"/>
              <w:bottom w:w="90" w:type="dxa"/>
              <w:end w:w="110" w:type="dxa"/>
            </w:tcMar>
          </w:tcPr>
          <w:p>
            <w:pPr>
              <w:spacing w:after="0" w:line="240" w:lineRule="auto"/>
            </w:pPr>
            <w:r>
              <w:rPr>
                <w:rFonts w:ascii="Aptos" w:hAnsi="Aptos"/>
                <w:sz w:val="16"/>
              </w:rPr>
              <w:t>Data QA, extraction, validation, update, and demo-readiness summaries.</w:t>
            </w:r>
          </w:p>
        </w:tc>
      </w:tr>
      <w:tr>
        <w:tc>
          <w:tcPr>
            <w:tcW w:type="dxa" w:w="3528"/>
            <w:vAlign w:val="center"/>
            <w:tcMar>
              <w:top w:w="90" w:type="dxa"/>
              <w:start w:w="110" w:type="dxa"/>
              <w:bottom w:w="90" w:type="dxa"/>
              <w:end w:w="110" w:type="dxa"/>
            </w:tcMar>
          </w:tcPr>
          <w:p>
            <w:pPr>
              <w:spacing w:after="0" w:line="240" w:lineRule="auto"/>
            </w:pPr>
            <w:r>
              <w:rPr>
                <w:rFonts w:ascii="Aptos" w:hAnsi="Aptos"/>
                <w:sz w:val="16"/>
              </w:rPr>
              <w:t>data/processed/</w:t>
            </w:r>
          </w:p>
        </w:tc>
        <w:tc>
          <w:tcPr>
            <w:tcW w:type="dxa" w:w="6624"/>
            <w:vAlign w:val="center"/>
            <w:tcMar>
              <w:top w:w="90" w:type="dxa"/>
              <w:start w:w="110" w:type="dxa"/>
              <w:bottom w:w="90" w:type="dxa"/>
              <w:end w:w="110" w:type="dxa"/>
            </w:tcMar>
          </w:tcPr>
          <w:p>
            <w:pPr>
              <w:spacing w:after="0" w:line="240" w:lineRule="auto"/>
            </w:pPr>
            <w:r>
              <w:rPr>
                <w:rFonts w:ascii="Aptos" w:hAnsi="Aptos"/>
                <w:sz w:val="16"/>
              </w:rPr>
              <w:t>Final transformed portfolio datasets consumed by the dashboard.</w:t>
            </w:r>
          </w:p>
        </w:tc>
      </w:tr>
      <w:tr>
        <w:tc>
          <w:tcPr>
            <w:tcW w:type="dxa" w:w="3528"/>
            <w:vAlign w:val="center"/>
            <w:tcMar>
              <w:top w:w="90" w:type="dxa"/>
              <w:start w:w="110" w:type="dxa"/>
              <w:bottom w:w="90" w:type="dxa"/>
              <w:end w:w="110" w:type="dxa"/>
            </w:tcMar>
          </w:tcPr>
          <w:p>
            <w:pPr>
              <w:spacing w:after="0" w:line="240" w:lineRule="auto"/>
            </w:pPr>
            <w:r>
              <w:rPr>
                <w:rFonts w:ascii="Aptos" w:hAnsi="Aptos"/>
                <w:sz w:val="16"/>
              </w:rPr>
              <w:t>data/interim/document_ingestion/</w:t>
            </w:r>
          </w:p>
        </w:tc>
        <w:tc>
          <w:tcPr>
            <w:tcW w:type="dxa" w:w="6624"/>
            <w:vAlign w:val="center"/>
            <w:tcMar>
              <w:top w:w="90" w:type="dxa"/>
              <w:start w:w="110" w:type="dxa"/>
              <w:bottom w:w="90" w:type="dxa"/>
              <w:end w:w="110" w:type="dxa"/>
            </w:tcMar>
          </w:tcPr>
          <w:p>
            <w:pPr>
              <w:spacing w:after="0" w:line="240" w:lineRule="auto"/>
            </w:pPr>
            <w:r>
              <w:rPr>
                <w:rFonts w:ascii="Aptos" w:hAnsi="Aptos"/>
                <w:sz w:val="16"/>
              </w:rPr>
              <w:t>Staged uploads awaiting offline processing and review.</w:t>
            </w:r>
          </w:p>
        </w:tc>
      </w:tr>
    </w:tbl>
    <w:p>
      <w:pPr>
        <w:pStyle w:val="Heading1"/>
      </w:pPr>
      <w:r>
        <w:t>12. Optional LLM Extraction Mode</w:t>
      </w:r>
    </w:p>
    <w:p>
      <w:pPr>
        <w:spacing w:after="100" w:line="259" w:lineRule="auto"/>
      </w:pPr>
      <w:r>
        <w:rPr>
          <w:rFonts w:ascii="Aptos" w:hAnsi="Aptos"/>
          <w:color w:val="1F1F1F"/>
          <w:sz w:val="20"/>
        </w:rPr>
        <w:t>The API-backed LLM mode is retained for controlled experiments against the same ground truth and JSON Schemas. It is not required for the standard demo and should not be presented as the baseline result.</w:t>
      </w:r>
    </w:p>
    <w:tbl>
      <w:tblPr>
        <w:tblStyle w:val="TableGrid"/>
        <w:tblW w:type="auto" w:w="0"/>
        <w:jc w:val="center"/>
        <w:tblLayout w:type="fixed"/>
        <w:tblLook w:firstColumn="1" w:firstRow="1" w:lastColumn="0" w:lastRow="0" w:noHBand="0" w:noVBand="1" w:val="04A0"/>
      </w:tblPr>
      <w:tblGrid>
        <w:gridCol w:w="10512"/>
      </w:tblGrid>
      <w:tr>
        <w:tc>
          <w:tcPr>
            <w:tcW w:type="dxa" w:w="10152"/>
            <w:vAlign w:val="center"/>
            <w:tcMar>
              <w:top w:w="90" w:type="dxa"/>
              <w:start w:w="110" w:type="dxa"/>
              <w:bottom w:w="90" w:type="dxa"/>
              <w:end w:w="110" w:type="dxa"/>
            </w:tcMar>
            <w:shd w:fill="F7F7F7"/>
          </w:tcPr>
          <w:p>
            <w:pPr>
              <w:spacing w:after="0"/>
            </w:pPr>
            <w:r>
              <w:rPr>
                <w:rFonts w:ascii="Courier New" w:hAnsi="Courier New"/>
                <w:color w:val="1F1F1F"/>
                <w:sz w:val="17"/>
              </w:rPr>
              <w:t>cp .env.example .env</w:t>
            </w:r>
            <w:r>
              <w:br/>
            </w:r>
            <w:r>
              <w:rPr>
                <w:rFonts w:ascii="Courier New" w:hAnsi="Courier New"/>
                <w:color w:val="1F1F1F"/>
                <w:sz w:val="17"/>
              </w:rPr>
              <w:t># Edit .env locally and replace the OPENAI_API_KEY placeholder.</w:t>
            </w:r>
            <w:r>
              <w:br/>
            </w:r>
            <w:r>
              <w:rPr>
                <w:rFonts w:ascii="Courier New" w:hAnsi="Courier New"/>
                <w:color w:val="1F1F1F"/>
                <w:sz w:val="17"/>
              </w:rPr>
              <w:t>python3 -m src.extraction.run_extraction --mode llm</w:t>
            </w:r>
          </w:p>
        </w:tc>
      </w:tr>
    </w:tbl>
    <w:p>
      <w:pPr>
        <w:pStyle w:val="ListBullet"/>
        <w:spacing w:after="100" w:line="259" w:lineRule="auto"/>
        <w:ind w:left="360" w:hanging="216"/>
      </w:pPr>
      <w:r>
        <w:rPr>
          <w:rFonts w:ascii="Aptos" w:hAnsi="Aptos"/>
          <w:color w:val="1F1F1F"/>
          <w:sz w:val="20"/>
        </w:rPr>
        <w:t>Never commit .env or disclose an API key in screenshots, reports, or presentation materials.</w:t>
      </w:r>
    </w:p>
    <w:p>
      <w:pPr>
        <w:pStyle w:val="ListBullet"/>
        <w:spacing w:after="100" w:line="259" w:lineRule="auto"/>
        <w:ind w:left="360" w:hanging="216"/>
      </w:pPr>
      <w:r>
        <w:rPr>
          <w:rFonts w:ascii="Aptos" w:hAnsi="Aptos"/>
          <w:color w:val="1F1F1F"/>
          <w:sz w:val="20"/>
        </w:rPr>
        <w:t>LLM outputs are written under outputs/extracted_json/llm/.</w:t>
      </w:r>
    </w:p>
    <w:p>
      <w:pPr>
        <w:pStyle w:val="ListBullet"/>
        <w:spacing w:after="100" w:line="259" w:lineRule="auto"/>
        <w:ind w:left="360" w:hanging="216"/>
      </w:pPr>
      <w:r>
        <w:rPr>
          <w:rFonts w:ascii="Aptos" w:hAnsi="Aptos"/>
          <w:color w:val="1F1F1F"/>
          <w:sz w:val="20"/>
        </w:rPr>
        <w:t>LLM outputs remain subject to the same schema validation, review rules, and approved-only controls.</w:t>
      </w:r>
    </w:p>
    <w:p>
      <w:pPr>
        <w:pStyle w:val="ListBullet"/>
        <w:spacing w:after="100" w:line="259" w:lineRule="auto"/>
        <w:ind w:left="360" w:hanging="216"/>
      </w:pPr>
      <w:r>
        <w:rPr>
          <w:rFonts w:ascii="Aptos" w:hAnsi="Aptos"/>
          <w:color w:val="1F1F1F"/>
          <w:sz w:val="20"/>
        </w:rPr>
        <w:t>The pipeline raises an explicit error if credentials are missing; it does not relabel baseline output as LLM output.</w:t>
      </w:r>
    </w:p>
    <w:p>
      <w:pPr>
        <w:pStyle w:val="Heading1"/>
      </w:pPr>
      <w:r>
        <w:t>13. Public-Market Data Refresh</w:t>
      </w:r>
    </w:p>
    <w:p>
      <w:pPr>
        <w:spacing w:after="100" w:line="259" w:lineRule="auto"/>
      </w:pPr>
      <w:r>
        <w:rPr>
          <w:rFonts w:ascii="Aptos" w:hAnsi="Aptos"/>
          <w:color w:val="1F1F1F"/>
          <w:sz w:val="20"/>
        </w:rPr>
        <w:t>The locked demo uses the committed monthly proxy-price file, so no network refresh is required. If a deliberate refresh is needed:</w:t>
      </w:r>
    </w:p>
    <w:tbl>
      <w:tblPr>
        <w:tblStyle w:val="TableGrid"/>
        <w:tblW w:type="auto" w:w="0"/>
        <w:jc w:val="center"/>
        <w:tblLayout w:type="fixed"/>
        <w:tblLook w:firstColumn="1" w:firstRow="1" w:lastColumn="0" w:lastRow="0" w:noHBand="0" w:noVBand="1" w:val="04A0"/>
      </w:tblPr>
      <w:tblGrid>
        <w:gridCol w:w="10512"/>
      </w:tblGrid>
      <w:tr>
        <w:tc>
          <w:tcPr>
            <w:tcW w:type="dxa" w:w="10152"/>
            <w:vAlign w:val="center"/>
            <w:tcMar>
              <w:top w:w="90" w:type="dxa"/>
              <w:start w:w="110" w:type="dxa"/>
              <w:bottom w:w="90" w:type="dxa"/>
              <w:end w:w="110" w:type="dxa"/>
            </w:tcMar>
            <w:shd w:fill="F7F7F7"/>
          </w:tcPr>
          <w:p>
            <w:pPr>
              <w:spacing w:after="0"/>
            </w:pPr>
            <w:r>
              <w:rPr>
                <w:rFonts w:ascii="Courier New" w:hAnsi="Courier New"/>
                <w:color w:val="1F1F1F"/>
                <w:sz w:val="17"/>
              </w:rPr>
              <w:t>python3 -m src.risk.fetch_market_data --provider yfinance --start-date 2020-01-01</w:t>
            </w:r>
          </w:p>
        </w:tc>
      </w:tr>
    </w:tbl>
    <w:p>
      <w:pPr>
        <w:spacing w:after="100" w:line="259" w:lineRule="auto"/>
      </w:pPr>
      <w:r>
        <w:rPr>
          <w:rFonts w:ascii="Aptos" w:hAnsi="Aptos"/>
          <w:color w:val="1F1F1F"/>
          <w:sz w:val="20"/>
        </w:rPr>
        <w:t>The approved proxy universe is mapped to 30 public tickers. The current committed file is data/raw/market_prices/yfinance_monthly_prices.csv. Do not overwrite raw source data casually; preserve a reproducible baseline and document any refreshed cut-off date.</w:t>
      </w:r>
    </w:p>
    <w:p>
      <w:pPr>
        <w:pStyle w:val="Heading1"/>
      </w:pPr>
      <w:r>
        <w:t>14. Troubleshooting</w:t>
      </w:r>
    </w:p>
    <w:tbl>
      <w:tblPr>
        <w:tblStyle w:val="TableGrid"/>
        <w:tblW w:type="auto" w:w="0"/>
        <w:jc w:val="center"/>
        <w:tblLayout w:type="fixed"/>
        <w:tblLook w:firstColumn="1" w:firstRow="1" w:lastColumn="0" w:lastRow="0" w:noHBand="0" w:noVBand="1" w:val="04A0"/>
      </w:tblPr>
      <w:tblGrid>
        <w:gridCol w:w="3504"/>
        <w:gridCol w:w="3504"/>
        <w:gridCol w:w="3504"/>
      </w:tblGrid>
      <w:tr>
        <w:trPr>
          <w:tblHeader w:val="true"/>
        </w:trPr>
        <w:tc>
          <w:tcPr>
            <w:tcW w:type="dxa" w:w="2376"/>
            <w:vAlign w:val="center"/>
            <w:tcMar>
              <w:top w:w="90" w:type="dxa"/>
              <w:start w:w="110" w:type="dxa"/>
              <w:bottom w:w="90" w:type="dxa"/>
              <w:end w:w="110" w:type="dxa"/>
            </w:tcMar>
            <w:shd w:fill="1F4E79"/>
          </w:tcPr>
          <w:p>
            <w:r>
              <w:rPr>
                <w:b/>
                <w:color w:val="FFFFFF"/>
                <w:sz w:val="15"/>
              </w:rPr>
              <w:t>Symptom</w:t>
            </w:r>
          </w:p>
        </w:tc>
        <w:tc>
          <w:tcPr>
            <w:tcW w:type="dxa" w:w="3168"/>
            <w:vAlign w:val="center"/>
            <w:tcMar>
              <w:top w:w="90" w:type="dxa"/>
              <w:start w:w="110" w:type="dxa"/>
              <w:bottom w:w="90" w:type="dxa"/>
              <w:end w:w="110" w:type="dxa"/>
            </w:tcMar>
            <w:shd w:fill="1F4E79"/>
          </w:tcPr>
          <w:p>
            <w:r>
              <w:rPr>
                <w:b/>
                <w:color w:val="FFFFFF"/>
                <w:sz w:val="15"/>
              </w:rPr>
              <w:t>Likely cause</w:t>
            </w:r>
          </w:p>
        </w:tc>
        <w:tc>
          <w:tcPr>
            <w:tcW w:type="dxa" w:w="4608"/>
            <w:vAlign w:val="center"/>
            <w:tcMar>
              <w:top w:w="90" w:type="dxa"/>
              <w:start w:w="110" w:type="dxa"/>
              <w:bottom w:w="90" w:type="dxa"/>
              <w:end w:w="110" w:type="dxa"/>
            </w:tcMar>
            <w:shd w:fill="1F4E79"/>
          </w:tcPr>
          <w:p>
            <w:r>
              <w:rPr>
                <w:b/>
                <w:color w:val="FFFFFF"/>
                <w:sz w:val="15"/>
              </w:rPr>
              <w:t>Action</w:t>
            </w:r>
          </w:p>
        </w:tc>
      </w:tr>
      <w:tr>
        <w:tc>
          <w:tcPr>
            <w:tcW w:type="dxa" w:w="2376"/>
            <w:vAlign w:val="center"/>
            <w:tcMar>
              <w:top w:w="90" w:type="dxa"/>
              <w:start w:w="110" w:type="dxa"/>
              <w:bottom w:w="90" w:type="dxa"/>
              <w:end w:w="110" w:type="dxa"/>
            </w:tcMar>
          </w:tcPr>
          <w:p>
            <w:pPr>
              <w:spacing w:after="0" w:line="240" w:lineRule="auto"/>
            </w:pPr>
            <w:r>
              <w:rPr>
                <w:rFonts w:ascii="Aptos" w:hAnsi="Aptos"/>
                <w:sz w:val="15"/>
              </w:rPr>
              <w:t>Streamlit does not start</w:t>
            </w:r>
          </w:p>
        </w:tc>
        <w:tc>
          <w:tcPr>
            <w:tcW w:type="dxa" w:w="3168"/>
            <w:vAlign w:val="center"/>
            <w:tcMar>
              <w:top w:w="90" w:type="dxa"/>
              <w:start w:w="110" w:type="dxa"/>
              <w:bottom w:w="90" w:type="dxa"/>
              <w:end w:w="110" w:type="dxa"/>
            </w:tcMar>
          </w:tcPr>
          <w:p>
            <w:pPr>
              <w:spacing w:after="0" w:line="240" w:lineRule="auto"/>
            </w:pPr>
            <w:r>
              <w:rPr>
                <w:rFonts w:ascii="Aptos" w:hAnsi="Aptos"/>
                <w:sz w:val="15"/>
              </w:rPr>
              <w:t>Dependency or environment issue</w:t>
            </w:r>
          </w:p>
        </w:tc>
        <w:tc>
          <w:tcPr>
            <w:tcW w:type="dxa" w:w="4608"/>
            <w:vAlign w:val="center"/>
            <w:tcMar>
              <w:top w:w="90" w:type="dxa"/>
              <w:start w:w="110" w:type="dxa"/>
              <w:bottom w:w="90" w:type="dxa"/>
              <w:end w:w="110" w:type="dxa"/>
            </w:tcMar>
          </w:tcPr>
          <w:p>
            <w:pPr>
              <w:spacing w:after="0" w:line="240" w:lineRule="auto"/>
            </w:pPr>
            <w:r>
              <w:rPr>
                <w:rFonts w:ascii="Aptos" w:hAnsi="Aptos"/>
                <w:sz w:val="15"/>
              </w:rPr>
              <w:t>Confirm Python environment, install project dependencies, and rerun streamlit run app.py from the repository root.</w:t>
            </w:r>
          </w:p>
        </w:tc>
      </w:tr>
      <w:tr>
        <w:tc>
          <w:tcPr>
            <w:tcW w:type="dxa" w:w="2376"/>
            <w:vAlign w:val="center"/>
            <w:tcMar>
              <w:top w:w="90" w:type="dxa"/>
              <w:start w:w="110" w:type="dxa"/>
              <w:bottom w:w="90" w:type="dxa"/>
              <w:end w:w="110" w:type="dxa"/>
            </w:tcMar>
          </w:tcPr>
          <w:p>
            <w:pPr>
              <w:spacing w:after="0" w:line="240" w:lineRule="auto"/>
            </w:pPr>
            <w:r>
              <w:rPr>
                <w:rFonts w:ascii="Aptos" w:hAnsi="Aptos"/>
                <w:sz w:val="15"/>
              </w:rPr>
              <w:t>Dashboard loads but data is missing</w:t>
            </w:r>
          </w:p>
        </w:tc>
        <w:tc>
          <w:tcPr>
            <w:tcW w:type="dxa" w:w="3168"/>
            <w:vAlign w:val="center"/>
            <w:tcMar>
              <w:top w:w="90" w:type="dxa"/>
              <w:start w:w="110" w:type="dxa"/>
              <w:bottom w:w="90" w:type="dxa"/>
              <w:end w:w="110" w:type="dxa"/>
            </w:tcMar>
          </w:tcPr>
          <w:p>
            <w:pPr>
              <w:spacing w:after="0" w:line="240" w:lineRule="auto"/>
            </w:pPr>
            <w:r>
              <w:rPr>
                <w:rFonts w:ascii="Aptos" w:hAnsi="Aptos"/>
                <w:sz w:val="15"/>
              </w:rPr>
              <w:t>Pipeline not run or processed outputs absent</w:t>
            </w:r>
          </w:p>
        </w:tc>
        <w:tc>
          <w:tcPr>
            <w:tcW w:type="dxa" w:w="4608"/>
            <w:vAlign w:val="center"/>
            <w:tcMar>
              <w:top w:w="90" w:type="dxa"/>
              <w:start w:w="110" w:type="dxa"/>
              <w:bottom w:w="90" w:type="dxa"/>
              <w:end w:w="110" w:type="dxa"/>
            </w:tcMar>
          </w:tcPr>
          <w:p>
            <w:pPr>
              <w:spacing w:after="0" w:line="240" w:lineRule="auto"/>
            </w:pPr>
            <w:r>
              <w:rPr>
                <w:rFonts w:ascii="Aptos" w:hAnsi="Aptos"/>
                <w:sz w:val="15"/>
              </w:rPr>
              <w:t>Run data checks, extraction, validation, approved updates, and demo check in order.</w:t>
            </w:r>
          </w:p>
        </w:tc>
      </w:tr>
      <w:tr>
        <w:tc>
          <w:tcPr>
            <w:tcW w:type="dxa" w:w="2376"/>
            <w:vAlign w:val="center"/>
            <w:tcMar>
              <w:top w:w="90" w:type="dxa"/>
              <w:start w:w="110" w:type="dxa"/>
              <w:bottom w:w="90" w:type="dxa"/>
              <w:end w:w="110" w:type="dxa"/>
            </w:tcMar>
          </w:tcPr>
          <w:p>
            <w:pPr>
              <w:spacing w:after="0" w:line="240" w:lineRule="auto"/>
            </w:pPr>
            <w:r>
              <w:rPr>
                <w:rFonts w:ascii="Aptos" w:hAnsi="Aptos"/>
                <w:sz w:val="15"/>
              </w:rPr>
              <w:t>Document appears but portfolio does not change</w:t>
            </w:r>
          </w:p>
        </w:tc>
        <w:tc>
          <w:tcPr>
            <w:tcW w:type="dxa" w:w="3168"/>
            <w:vAlign w:val="center"/>
            <w:tcMar>
              <w:top w:w="90" w:type="dxa"/>
              <w:start w:w="110" w:type="dxa"/>
              <w:bottom w:w="90" w:type="dxa"/>
              <w:end w:w="110" w:type="dxa"/>
            </w:tcMar>
          </w:tcPr>
          <w:p>
            <w:pPr>
              <w:spacing w:after="0" w:line="240" w:lineRule="auto"/>
            </w:pPr>
            <w:r>
              <w:rPr>
                <w:rFonts w:ascii="Aptos" w:hAnsi="Aptos"/>
                <w:sz w:val="15"/>
              </w:rPr>
              <w:t>Upload is staged, or validation did not approve the record</w:t>
            </w:r>
          </w:p>
        </w:tc>
        <w:tc>
          <w:tcPr>
            <w:tcW w:type="dxa" w:w="4608"/>
            <w:vAlign w:val="center"/>
            <w:tcMar>
              <w:top w:w="90" w:type="dxa"/>
              <w:start w:w="110" w:type="dxa"/>
              <w:bottom w:w="90" w:type="dxa"/>
              <w:end w:w="110" w:type="dxa"/>
            </w:tcMar>
          </w:tcPr>
          <w:p>
            <w:pPr>
              <w:spacing w:after="0" w:line="240" w:lineRule="auto"/>
            </w:pPr>
            <w:r>
              <w:rPr>
                <w:rFonts w:ascii="Aptos" w:hAnsi="Aptos"/>
                <w:sz w:val="15"/>
              </w:rPr>
              <w:t>Inspect Workflow &amp; Controls and the review queue; do not force an update.</w:t>
            </w:r>
          </w:p>
        </w:tc>
      </w:tr>
      <w:tr>
        <w:tc>
          <w:tcPr>
            <w:tcW w:type="dxa" w:w="2376"/>
            <w:vAlign w:val="center"/>
            <w:tcMar>
              <w:top w:w="90" w:type="dxa"/>
              <w:start w:w="110" w:type="dxa"/>
              <w:bottom w:w="90" w:type="dxa"/>
              <w:end w:w="110" w:type="dxa"/>
            </w:tcMar>
          </w:tcPr>
          <w:p>
            <w:pPr>
              <w:spacing w:after="0" w:line="240" w:lineRule="auto"/>
            </w:pPr>
            <w:r>
              <w:rPr>
                <w:rFonts w:ascii="Aptos" w:hAnsi="Aptos"/>
                <w:sz w:val="15"/>
              </w:rPr>
              <w:t>Counts differ from the locked demo</w:t>
            </w:r>
          </w:p>
        </w:tc>
        <w:tc>
          <w:tcPr>
            <w:tcW w:type="dxa" w:w="3168"/>
            <w:vAlign w:val="center"/>
            <w:tcMar>
              <w:top w:w="90" w:type="dxa"/>
              <w:start w:w="110" w:type="dxa"/>
              <w:bottom w:w="90" w:type="dxa"/>
              <w:end w:w="110" w:type="dxa"/>
            </w:tcMar>
          </w:tcPr>
          <w:p>
            <w:pPr>
              <w:spacing w:after="0" w:line="240" w:lineRule="auto"/>
            </w:pPr>
            <w:r>
              <w:rPr>
                <w:rFonts w:ascii="Aptos" w:hAnsi="Aptos"/>
                <w:sz w:val="15"/>
              </w:rPr>
              <w:t>Files or code changed after delivery, or mixed baseline/LLM outputs</w:t>
            </w:r>
          </w:p>
        </w:tc>
        <w:tc>
          <w:tcPr>
            <w:tcW w:type="dxa" w:w="4608"/>
            <w:vAlign w:val="center"/>
            <w:tcMar>
              <w:top w:w="90" w:type="dxa"/>
              <w:start w:w="110" w:type="dxa"/>
              <w:bottom w:w="90" w:type="dxa"/>
              <w:end w:w="110" w:type="dxa"/>
            </w:tcMar>
          </w:tcPr>
          <w:p>
            <w:pPr>
              <w:spacing w:after="0" w:line="240" w:lineRule="auto"/>
            </w:pPr>
            <w:r>
              <w:rPr>
                <w:rFonts w:ascii="Aptos" w:hAnsi="Aptos"/>
                <w:sz w:val="15"/>
              </w:rPr>
              <w:t>Confirm baseline mode, rerun from a clean demo state, and inspect generated summaries.</w:t>
            </w:r>
          </w:p>
        </w:tc>
      </w:tr>
      <w:tr>
        <w:tc>
          <w:tcPr>
            <w:tcW w:type="dxa" w:w="2376"/>
            <w:vAlign w:val="center"/>
            <w:tcMar>
              <w:top w:w="90" w:type="dxa"/>
              <w:start w:w="110" w:type="dxa"/>
              <w:bottom w:w="90" w:type="dxa"/>
              <w:end w:w="110" w:type="dxa"/>
            </w:tcMar>
          </w:tcPr>
          <w:p>
            <w:pPr>
              <w:spacing w:after="0" w:line="240" w:lineRule="auto"/>
            </w:pPr>
            <w:r>
              <w:rPr>
                <w:rFonts w:ascii="Aptos" w:hAnsi="Aptos"/>
                <w:sz w:val="15"/>
              </w:rPr>
              <w:t>Risk pages are stale</w:t>
            </w:r>
          </w:p>
        </w:tc>
        <w:tc>
          <w:tcPr>
            <w:tcW w:type="dxa" w:w="3168"/>
            <w:vAlign w:val="center"/>
            <w:tcMar>
              <w:top w:w="90" w:type="dxa"/>
              <w:start w:w="110" w:type="dxa"/>
              <w:bottom w:w="90" w:type="dxa"/>
              <w:end w:w="110" w:type="dxa"/>
            </w:tcMar>
          </w:tcPr>
          <w:p>
            <w:pPr>
              <w:spacing w:after="0" w:line="240" w:lineRule="auto"/>
            </w:pPr>
            <w:r>
              <w:rPr>
                <w:rFonts w:ascii="Aptos" w:hAnsi="Aptos"/>
                <w:sz w:val="15"/>
              </w:rPr>
              <w:t>Market-linked pages have not been advanced or refreshed</w:t>
            </w:r>
          </w:p>
        </w:tc>
        <w:tc>
          <w:tcPr>
            <w:tcW w:type="dxa" w:w="4608"/>
            <w:vAlign w:val="center"/>
            <w:tcMar>
              <w:top w:w="90" w:type="dxa"/>
              <w:start w:w="110" w:type="dxa"/>
              <w:bottom w:w="90" w:type="dxa"/>
              <w:end w:w="110" w:type="dxa"/>
            </w:tcMar>
          </w:tcPr>
          <w:p>
            <w:pPr>
              <w:spacing w:after="0" w:line="240" w:lineRule="auto"/>
            </w:pPr>
            <w:r>
              <w:rPr>
                <w:rFonts w:ascii="Aptos" w:hAnsi="Aptos"/>
                <w:sz w:val="15"/>
              </w:rPr>
              <w:t>Use Refresh Market-Linked Pages or deliberately refresh proxy prices.</w:t>
            </w:r>
          </w:p>
        </w:tc>
      </w:tr>
      <w:tr>
        <w:tc>
          <w:tcPr>
            <w:tcW w:type="dxa" w:w="2376"/>
            <w:vAlign w:val="center"/>
            <w:tcMar>
              <w:top w:w="90" w:type="dxa"/>
              <w:start w:w="110" w:type="dxa"/>
              <w:bottom w:w="90" w:type="dxa"/>
              <w:end w:w="110" w:type="dxa"/>
            </w:tcMar>
          </w:tcPr>
          <w:p>
            <w:pPr>
              <w:spacing w:after="0" w:line="240" w:lineRule="auto"/>
            </w:pPr>
            <w:r>
              <w:rPr>
                <w:rFonts w:ascii="Aptos" w:hAnsi="Aptos"/>
                <w:sz w:val="15"/>
              </w:rPr>
              <w:t>LLM extraction fails</w:t>
            </w:r>
          </w:p>
        </w:tc>
        <w:tc>
          <w:tcPr>
            <w:tcW w:type="dxa" w:w="3168"/>
            <w:vAlign w:val="center"/>
            <w:tcMar>
              <w:top w:w="90" w:type="dxa"/>
              <w:start w:w="110" w:type="dxa"/>
              <w:bottom w:w="90" w:type="dxa"/>
              <w:end w:w="110" w:type="dxa"/>
            </w:tcMar>
          </w:tcPr>
          <w:p>
            <w:pPr>
              <w:spacing w:after="0" w:line="240" w:lineRule="auto"/>
            </w:pPr>
            <w:r>
              <w:rPr>
                <w:rFonts w:ascii="Aptos" w:hAnsi="Aptos"/>
                <w:sz w:val="15"/>
              </w:rPr>
              <w:t>Missing credentials, network, model access, or schema error</w:t>
            </w:r>
          </w:p>
        </w:tc>
        <w:tc>
          <w:tcPr>
            <w:tcW w:type="dxa" w:w="4608"/>
            <w:vAlign w:val="center"/>
            <w:tcMar>
              <w:top w:w="90" w:type="dxa"/>
              <w:start w:w="110" w:type="dxa"/>
              <w:bottom w:w="90" w:type="dxa"/>
              <w:end w:w="110" w:type="dxa"/>
            </w:tcMar>
          </w:tcPr>
          <w:p>
            <w:pPr>
              <w:spacing w:after="0" w:line="240" w:lineRule="auto"/>
            </w:pPr>
            <w:r>
              <w:rPr>
                <w:rFonts w:ascii="Aptos" w:hAnsi="Aptos"/>
                <w:sz w:val="15"/>
              </w:rPr>
              <w:t>Use baseline mode for the demo; inspect the explicit error before retrying LLM mode.</w:t>
            </w:r>
          </w:p>
        </w:tc>
      </w:tr>
    </w:tbl>
    <w:p>
      <w:pPr>
        <w:pStyle w:val="Heading1"/>
      </w:pPr>
      <w:r>
        <w:t>15. Limitations and Data Governance</w:t>
      </w:r>
    </w:p>
    <w:p>
      <w:pPr>
        <w:pStyle w:val="ListBullet"/>
        <w:spacing w:after="100" w:line="259" w:lineRule="auto"/>
        <w:ind w:left="360" w:hanging="216"/>
      </w:pPr>
      <w:r>
        <w:rPr>
          <w:rFonts w:ascii="Aptos" w:hAnsi="Aptos"/>
          <w:color w:val="1F1F1F"/>
          <w:sz w:val="20"/>
        </w:rPr>
        <w:t>No real family-office data should be added to the repository.</w:t>
      </w:r>
    </w:p>
    <w:p>
      <w:pPr>
        <w:pStyle w:val="ListBullet"/>
        <w:spacing w:after="100" w:line="259" w:lineRule="auto"/>
        <w:ind w:left="360" w:hanging="216"/>
      </w:pPr>
      <w:r>
        <w:rPr>
          <w:rFonts w:ascii="Aptos" w:hAnsi="Aptos"/>
          <w:color w:val="1F1F1F"/>
          <w:sz w:val="20"/>
        </w:rPr>
        <w:t>The proof of concept does not replace an accounting book of record, portfolio management system, or formal approval workflow.</w:t>
      </w:r>
    </w:p>
    <w:p>
      <w:pPr>
        <w:pStyle w:val="ListBullet"/>
        <w:spacing w:after="100" w:line="259" w:lineRule="auto"/>
        <w:ind w:left="360" w:hanging="216"/>
      </w:pPr>
      <w:r>
        <w:rPr>
          <w:rFonts w:ascii="Aptos" w:hAnsi="Aptos"/>
          <w:color w:val="1F1F1F"/>
          <w:sz w:val="20"/>
        </w:rPr>
        <w:t>Public-market risk metrics use proxies and do not represent full look-through, private-asset valuation risk, liquidity risk, tax, leverage, or counterparty exposure.</w:t>
      </w:r>
    </w:p>
    <w:p>
      <w:pPr>
        <w:pStyle w:val="ListBullet"/>
        <w:spacing w:after="100" w:line="259" w:lineRule="auto"/>
        <w:ind w:left="360" w:hanging="216"/>
      </w:pPr>
      <w:r>
        <w:rPr>
          <w:rFonts w:ascii="Aptos" w:hAnsi="Aptos"/>
          <w:color w:val="1F1F1F"/>
          <w:sz w:val="20"/>
        </w:rPr>
        <w:t>The deterministic extractor proves workflow behavior; it does not establish production extraction performance across manager formats.</w:t>
      </w:r>
    </w:p>
    <w:p>
      <w:pPr>
        <w:pStyle w:val="ListBullet"/>
        <w:spacing w:after="100" w:line="259" w:lineRule="auto"/>
        <w:ind w:left="360" w:hanging="216"/>
      </w:pPr>
      <w:r>
        <w:rPr>
          <w:rFonts w:ascii="Aptos" w:hAnsi="Aptos"/>
          <w:color w:val="1F1F1F"/>
          <w:sz w:val="20"/>
        </w:rPr>
        <w:t>Before production use, define access controls, encryption, retention, audit logging, model/vendor governance, human approval roles, monitoring, and incident procedures.</w:t>
      </w:r>
    </w:p>
    <w:p>
      <w:pPr>
        <w:pStyle w:val="ListBullet"/>
        <w:spacing w:after="100" w:line="259" w:lineRule="auto"/>
        <w:ind w:left="360" w:hanging="216"/>
      </w:pPr>
      <w:r>
        <w:rPr>
          <w:rFonts w:ascii="Aptos" w:hAnsi="Aptos"/>
          <w:color w:val="1F1F1F"/>
          <w:sz w:val="20"/>
        </w:rPr>
        <w:t>Commercial ROI requires a pilot measuring document volume, processing time, exception rates, corrections, reporting-cycle time, and user adoption.</w:t>
      </w:r>
    </w:p>
    <w:p>
      <w:pPr>
        <w:pStyle w:val="Heading1"/>
      </w:pPr>
      <w:r>
        <w:t>16. Final Handoff Checklist</w:t>
      </w:r>
    </w:p>
    <w:p>
      <w:pPr>
        <w:pStyle w:val="ListBullet"/>
        <w:spacing w:after="100" w:line="259" w:lineRule="auto"/>
        <w:ind w:left="360" w:hanging="216"/>
      </w:pPr>
      <w:r>
        <w:rPr>
          <w:rFonts w:ascii="Aptos" w:hAnsi="Aptos"/>
          <w:color w:val="1F1F1F"/>
          <w:sz w:val="20"/>
        </w:rPr>
        <w:t>☐ Final Project Report and this Delivery Instruction are included.</w:t>
      </w:r>
    </w:p>
    <w:p>
      <w:pPr>
        <w:pStyle w:val="ListBullet"/>
        <w:spacing w:after="100" w:line="259" w:lineRule="auto"/>
        <w:ind w:left="360" w:hanging="216"/>
      </w:pPr>
      <w:r>
        <w:rPr>
          <w:rFonts w:ascii="Aptos" w:hAnsi="Aptos"/>
          <w:color w:val="1F1F1F"/>
          <w:sz w:val="20"/>
        </w:rPr>
        <w:t>☐ Repository contains only synthetic family-office data.</w:t>
      </w:r>
    </w:p>
    <w:p>
      <w:pPr>
        <w:pStyle w:val="ListBullet"/>
        <w:spacing w:after="100" w:line="259" w:lineRule="auto"/>
        <w:ind w:left="360" w:hanging="216"/>
      </w:pPr>
      <w:r>
        <w:rPr>
          <w:rFonts w:ascii="Aptos" w:hAnsi="Aptos"/>
          <w:color w:val="1F1F1F"/>
          <w:sz w:val="20"/>
        </w:rPr>
        <w:t>☐ Data QA, demo check, and pytest complete successfully.</w:t>
      </w:r>
    </w:p>
    <w:p>
      <w:pPr>
        <w:pStyle w:val="ListBullet"/>
        <w:spacing w:after="100" w:line="259" w:lineRule="auto"/>
        <w:ind w:left="360" w:hanging="216"/>
      </w:pPr>
      <w:r>
        <w:rPr>
          <w:rFonts w:ascii="Aptos" w:hAnsi="Aptos"/>
          <w:color w:val="1F1F1F"/>
          <w:sz w:val="20"/>
        </w:rPr>
        <w:t>☐ Six baseline extraction outputs and validation results are present.</w:t>
      </w:r>
    </w:p>
    <w:p>
      <w:pPr>
        <w:pStyle w:val="ListBullet"/>
        <w:spacing w:after="100" w:line="259" w:lineRule="auto"/>
        <w:ind w:left="360" w:hanging="216"/>
      </w:pPr>
      <w:r>
        <w:rPr>
          <w:rFonts w:ascii="Aptos" w:hAnsi="Aptos"/>
          <w:color w:val="1F1F1F"/>
          <w:sz w:val="20"/>
        </w:rPr>
        <w:t>☐ Three records are applied and three are blocked as expected.</w:t>
      </w:r>
    </w:p>
    <w:p>
      <w:pPr>
        <w:pStyle w:val="ListBullet"/>
        <w:spacing w:after="100" w:line="259" w:lineRule="auto"/>
        <w:ind w:left="360" w:hanging="216"/>
      </w:pPr>
      <w:r>
        <w:rPr>
          <w:rFonts w:ascii="Aptos" w:hAnsi="Aptos"/>
          <w:color w:val="1F1F1F"/>
          <w:sz w:val="20"/>
        </w:rPr>
        <w:t>☐ Dashboard opens and all pages render without errors.</w:t>
      </w:r>
    </w:p>
    <w:p>
      <w:pPr>
        <w:pStyle w:val="ListBullet"/>
        <w:spacing w:after="100" w:line="259" w:lineRule="auto"/>
        <w:ind w:left="360" w:hanging="216"/>
      </w:pPr>
      <w:r>
        <w:rPr>
          <w:rFonts w:ascii="Aptos" w:hAnsi="Aptos"/>
          <w:color w:val="1F1F1F"/>
          <w:sz w:val="20"/>
        </w:rPr>
        <w:t>☐ Presenter can explain baseline versus overlay and booked versus projected cash.</w:t>
      </w:r>
    </w:p>
    <w:p>
      <w:pPr>
        <w:pStyle w:val="ListBullet"/>
        <w:spacing w:after="100" w:line="259" w:lineRule="auto"/>
        <w:ind w:left="360" w:hanging="216"/>
      </w:pPr>
      <w:r>
        <w:rPr>
          <w:rFonts w:ascii="Aptos" w:hAnsi="Aptos"/>
          <w:color w:val="1F1F1F"/>
          <w:sz w:val="20"/>
        </w:rPr>
        <w:t>☐ Presenter can trace each applied dashboard effect to its source document.</w:t>
      </w:r>
    </w:p>
    <w:p>
      <w:pPr>
        <w:pStyle w:val="ListBullet"/>
        <w:spacing w:after="100" w:line="259" w:lineRule="auto"/>
        <w:ind w:left="360" w:hanging="216"/>
      </w:pPr>
      <w:r>
        <w:rPr>
          <w:rFonts w:ascii="Aptos" w:hAnsi="Aptos"/>
          <w:color w:val="1F1F1F"/>
          <w:sz w:val="20"/>
        </w:rPr>
        <w:t>☐ API credentials and local .env files are excluded from delivery.</w:t>
      </w:r>
    </w:p>
    <w:p>
      <w:pPr>
        <w:pStyle w:val="ListBullet"/>
        <w:spacing w:after="100" w:line="259" w:lineRule="auto"/>
        <w:ind w:left="360" w:hanging="216"/>
      </w:pPr>
      <w:r>
        <w:rPr>
          <w:rFonts w:ascii="Aptos" w:hAnsi="Aptos"/>
          <w:color w:val="1F1F1F"/>
          <w:sz w:val="20"/>
        </w:rPr>
        <w:t>☐ Any post-delivery code or data changes are documented and revalidated.</w:t>
      </w:r>
    </w:p>
    <w:tbl>
      <w:tblPr>
        <w:tblStyle w:val="TableGrid"/>
        <w:tblW w:type="auto" w:w="0"/>
        <w:jc w:val="center"/>
        <w:tblLayout w:type="fixed"/>
        <w:tblLook w:firstColumn="1" w:firstRow="1" w:lastColumn="0" w:lastRow="0" w:noHBand="0" w:noVBand="1" w:val="04A0"/>
      </w:tblPr>
      <w:tblGrid>
        <w:gridCol w:w="10512"/>
      </w:tblGrid>
      <w:tr>
        <w:tc>
          <w:tcPr>
            <w:tcW w:type="dxa" w:w="10152"/>
            <w:vAlign w:val="center"/>
            <w:tcMar>
              <w:top w:w="90" w:type="dxa"/>
              <w:start w:w="110" w:type="dxa"/>
              <w:bottom w:w="90" w:type="dxa"/>
              <w:end w:w="110" w:type="dxa"/>
            </w:tcMar>
            <w:shd w:fill="E2F0D9"/>
          </w:tcPr>
          <w:p>
            <w:pPr>
              <w:spacing w:after="0"/>
            </w:pPr>
            <w:r>
              <w:rPr>
                <w:rFonts w:ascii="Aptos" w:hAnsi="Aptos"/>
                <w:b/>
                <w:color w:val="1F4E79"/>
                <w:sz w:val="20"/>
              </w:rPr>
              <w:t xml:space="preserve">Handoff complete when: </w:t>
            </w:r>
            <w:r>
              <w:rPr>
                <w:rFonts w:ascii="Aptos" w:hAnsi="Aptos"/>
                <w:sz w:val="20"/>
              </w:rPr>
              <w:t>A reviewer can reproduce the locked baseline, understand every document status, see how approved records affect portfolio and liquidity views, and distinguish demonstrated capability from production requirements.</w:t>
            </w:r>
          </w:p>
        </w:tc>
      </w:tr>
    </w:tbl>
    <w:sectPr w:rsidR="00730BCB" w:rsidSect="00034616">
      <w:headerReference w:type="default" r:id="rId53"/>
      <w:footerReference w:type="default" r:id="rId54"/>
      <w:pgSz w:w="12240" w:h="15840"/>
      <w:pgMar w:top="864" w:right="864" w:bottom="806" w:left="864"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1382E5" w14:textId="77777777" w:rsidR="00884E69" w:rsidRDefault="00884E69">
      <w:r>
        <w:separator/>
      </w:r>
    </w:p>
  </w:endnote>
  <w:endnote w:type="continuationSeparator" w:id="0">
    <w:p w14:paraId="66AD0349" w14:textId="77777777" w:rsidR="00884E69" w:rsidRDefault="00884E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ourier">
    <w:altName w:val="Courier New"/>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616EF" w14:textId="77777777" w:rsidR="00730BCB" w:rsidRDefault="00000000">
    <w:pPr>
      <w:pStyle w:val="Footer"/>
      <w:jc w:val="center"/>
    </w:pPr>
    <w:r>
      <w:rPr>
        <w:rFonts w:ascii="Arial" w:hAnsi="Arial"/>
        <w:color w:val="5A5A5A"/>
        <w:sz w:val="18"/>
      </w:rPr>
      <w:fldChar w:fldCharType="begin"/>
    </w:r>
    <w:r>
      <w:rPr>
        <w:rFonts w:ascii="Arial" w:hAnsi="Arial"/>
        <w:color w:val="5A5A5A"/>
        <w:sz w:val="18"/>
      </w:rPr>
      <w:instrText>PAGE</w:instrText>
    </w:r>
    <w:r>
      <w:rPr>
        <w:rFonts w:ascii="Arial" w:hAnsi="Arial"/>
        <w:color w:val="5A5A5A"/>
        <w:sz w:val="18"/>
      </w:rPr>
      <w:fldChar w:fldCharType="separate"/>
    </w:r>
    <w:r w:rsidR="0005241A">
      <w:rPr>
        <w:rFonts w:ascii="Arial" w:hAnsi="Arial"/>
        <w:noProof/>
        <w:color w:val="5A5A5A"/>
        <w:sz w:val="18"/>
      </w:rPr>
      <w:t>1</w:t>
    </w:r>
    <w:r>
      <w:rPr>
        <w:rFonts w:ascii="Arial" w:hAnsi="Arial"/>
        <w:color w:val="5A5A5A"/>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DA50F0" w14:textId="77777777" w:rsidR="00884E69" w:rsidRDefault="00884E69">
      <w:r>
        <w:separator/>
      </w:r>
    </w:p>
  </w:footnote>
  <w:footnote w:type="continuationSeparator" w:id="0">
    <w:p w14:paraId="6CBB6A88" w14:textId="77777777" w:rsidR="00884E69" w:rsidRDefault="00884E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644FE" w14:textId="77777777" w:rsidR="009A325F" w:rsidRDefault="00000000">
    <w:pPr>
      <w:pStyle w:val="Header"/>
      <w:jc w:val="center"/>
    </w:pPr>
    <w:r>
      <w:rPr>
        <w:rFonts w:ascii="Aptos" w:hAnsi="Aptos"/>
        <w:color w:val="5A5A5A"/>
        <w:sz w:val="16"/>
      </w:rPr>
      <w:t>AI-Powered Family Office Portfolio Dashboard | Delivery Instruction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2778504">
    <w:abstractNumId w:val="8"/>
  </w:num>
  <w:num w:numId="2" w16cid:durableId="1334840856">
    <w:abstractNumId w:val="6"/>
  </w:num>
  <w:num w:numId="3" w16cid:durableId="732002154">
    <w:abstractNumId w:val="5"/>
  </w:num>
  <w:num w:numId="4" w16cid:durableId="493303007">
    <w:abstractNumId w:val="4"/>
  </w:num>
  <w:num w:numId="5" w16cid:durableId="1222133264">
    <w:abstractNumId w:val="7"/>
  </w:num>
  <w:num w:numId="6" w16cid:durableId="1371298135">
    <w:abstractNumId w:val="3"/>
  </w:num>
  <w:num w:numId="7" w16cid:durableId="913316066">
    <w:abstractNumId w:val="2"/>
  </w:num>
  <w:num w:numId="8" w16cid:durableId="1924560747">
    <w:abstractNumId w:val="1"/>
  </w:num>
  <w:num w:numId="9" w16cid:durableId="2105372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241A"/>
    <w:rsid w:val="0006063C"/>
    <w:rsid w:val="0015074B"/>
    <w:rsid w:val="0029639D"/>
    <w:rsid w:val="00296531"/>
    <w:rsid w:val="002A4A1E"/>
    <w:rsid w:val="002F2433"/>
    <w:rsid w:val="00326F90"/>
    <w:rsid w:val="004036F7"/>
    <w:rsid w:val="006E7617"/>
    <w:rsid w:val="006E7D7F"/>
    <w:rsid w:val="00730BCB"/>
    <w:rsid w:val="00764F9C"/>
    <w:rsid w:val="007840C3"/>
    <w:rsid w:val="00884E69"/>
    <w:rsid w:val="00931D43"/>
    <w:rsid w:val="009A325F"/>
    <w:rsid w:val="00A70FFF"/>
    <w:rsid w:val="00AA1D8D"/>
    <w:rsid w:val="00AD7534"/>
    <w:rsid w:val="00B47730"/>
    <w:rsid w:val="00C47B23"/>
    <w:rsid w:val="00C817C0"/>
    <w:rsid w:val="00CB0664"/>
    <w:rsid w:val="00D421E6"/>
    <w:rsid w:val="00D74312"/>
    <w:rsid w:val="00D82F12"/>
    <w:rsid w:val="00FC693F"/>
    <w:rsid w:val="00FD2F4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990AB8"/>
  <w14:defaultImageDpi w14:val="300"/>
  <w15:docId w15:val="{DE26CA30-3A60-EF43-A51E-29F761077272}"/>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7D7F"/>
    <w:pPr>
      <w:spacing w:after="0" w:line="240" w:lineRule="auto"/>
    </w:pPr>
    <w:rPr>
      <w:rFonts w:ascii="Times New Roman" w:eastAsia="Times New Roman" w:hAnsi="Times New Roman" w:cs="Times New Roman"/>
      <w:sz w:val="24"/>
      <w:szCs w:val="24"/>
      <w:lang w:val="en-SG" w:eastAsia="zh-CN"/>
    </w:rPr>
  </w:style>
  <w:style w:type="paragraph" w:styleId="Heading1">
    <w:name w:val="heading 1"/>
    <w:basedOn w:val="Normal"/>
    <w:next w:val="Normal"/>
    <w:link w:val="Heading1Char"/>
    <w:uiPriority w:val="9"/>
    <w:qFormat/>
    <w:rsid w:val="00FC693F"/>
    <w:pPr>
      <w:keepNext/>
      <w:keepLines/>
      <w:spacing w:before="240" w:after="120" w:line="252" w:lineRule="auto"/>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50" w:after="75" w:line="252" w:lineRule="auto"/>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20" w:after="60" w:line="252" w:lineRule="auto"/>
      <w:outlineLvl w:val="2"/>
    </w:pPr>
    <w:rPr>
      <w:rFonts w:asciiTheme="majorHAnsi" w:eastAsiaTheme="majorEastAsia" w:hAnsiTheme="majorHAnsi" w:cstheme="majorBidi"/>
      <w:b/>
      <w:bCs/>
      <w:color w:val="1F4E79"/>
      <w:sz w:val="25"/>
    </w:rPr>
  </w:style>
  <w:style w:type="paragraph" w:styleId="Heading4">
    <w:name w:val="heading 4"/>
    <w:basedOn w:val="Normal"/>
    <w:next w:val="Normal"/>
    <w:link w:val="Heading4Char"/>
    <w:uiPriority w:val="9"/>
    <w:semiHidden/>
    <w:unhideWhenUsed/>
    <w:qFormat/>
    <w:rsid w:val="00FC693F"/>
    <w:pPr>
      <w:keepNext/>
      <w:keepLines/>
      <w:spacing w:before="120" w:after="60" w:line="252" w:lineRule="auto"/>
      <w:outlineLvl w:val="3"/>
    </w:pPr>
    <w:rPr>
      <w:rFonts w:asciiTheme="majorHAnsi" w:eastAsiaTheme="majorEastAsia" w:hAnsiTheme="majorHAnsi" w:cstheme="majorBidi"/>
      <w:b/>
      <w:bCs/>
      <w:iCs/>
      <w:color w:val="1F4E79"/>
    </w:rPr>
  </w:style>
  <w:style w:type="paragraph" w:styleId="Heading5">
    <w:name w:val="heading 5"/>
    <w:basedOn w:val="Normal"/>
    <w:next w:val="Normal"/>
    <w:link w:val="Heading5Char"/>
    <w:uiPriority w:val="9"/>
    <w:semiHidden/>
    <w:unhideWhenUsed/>
    <w:qFormat/>
    <w:rsid w:val="00FC693F"/>
    <w:pPr>
      <w:keepNext/>
      <w:keepLines/>
      <w:spacing w:before="120" w:after="60" w:line="252" w:lineRule="auto"/>
      <w:outlineLvl w:val="4"/>
    </w:pPr>
    <w:rPr>
      <w:rFonts w:asciiTheme="majorHAnsi" w:eastAsiaTheme="majorEastAsia" w:hAnsiTheme="majorHAnsi" w:cstheme="majorBidi"/>
      <w:b/>
      <w:color w:val="1F4E79"/>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120" w:line="276" w:lineRule="auto"/>
    </w:pPr>
    <w:rPr>
      <w:rFonts w:eastAsia="SimSun"/>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76" w:lineRule="auto"/>
    </w:pPr>
    <w:rPr>
      <w:rFonts w:eastAsia="SimSun"/>
      <w:sz w:val="22"/>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360" w:after="120" w:line="276" w:lineRule="auto"/>
      <w:contextualSpacing/>
      <w:jc w:val="center"/>
    </w:pPr>
    <w:rPr>
      <w:rFonts w:asciiTheme="majorHAnsi" w:eastAsiaTheme="majorEastAsia" w:hAnsiTheme="majorHAnsi" w:cstheme="majorBidi"/>
      <w:b/>
      <w:color w:val="1F4E79"/>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z w:val="52"/>
      <w:szCs w:val="52"/>
    </w:rPr>
  </w:style>
  <w:style w:type="paragraph" w:styleId="Subtitle">
    <w:name w:val="Subtitle"/>
    <w:basedOn w:val="Normal"/>
    <w:next w:val="Normal"/>
    <w:link w:val="SubtitleChar"/>
    <w:uiPriority w:val="11"/>
    <w:qFormat/>
    <w:rsid w:val="00FC693F"/>
    <w:pPr>
      <w:numPr>
        <w:ilvl w:val="1"/>
      </w:numPr>
      <w:spacing w:after="270" w:line="276" w:lineRule="auto"/>
      <w:jc w:val="center"/>
    </w:pPr>
    <w:rPr>
      <w:rFonts w:asciiTheme="majorHAnsi" w:eastAsiaTheme="majorEastAsia" w:hAnsiTheme="majorHAnsi" w:cstheme="majorBidi"/>
      <w:i/>
      <w:iCs/>
      <w:color w:val="5A5A5A"/>
      <w:sz w:val="23"/>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z w:val="24"/>
      <w:szCs w:val="24"/>
    </w:rPr>
  </w:style>
  <w:style w:type="paragraph" w:styleId="ListParagraph">
    <w:name w:val="List Paragraph"/>
    <w:basedOn w:val="Normal"/>
    <w:uiPriority w:val="34"/>
    <w:qFormat/>
    <w:rsid w:val="00FC693F"/>
    <w:pPr>
      <w:spacing w:after="120" w:line="276" w:lineRule="auto"/>
      <w:ind w:left="720"/>
      <w:contextualSpacing/>
    </w:pPr>
    <w:rPr>
      <w:rFonts w:eastAsia="SimSun"/>
      <w:sz w:val="22"/>
    </w:rPr>
  </w:style>
  <w:style w:type="paragraph" w:styleId="BodyText">
    <w:name w:val="Body Text"/>
    <w:basedOn w:val="Normal"/>
    <w:link w:val="BodyTextChar"/>
    <w:uiPriority w:val="99"/>
    <w:unhideWhenUsed/>
    <w:rsid w:val="00AA1D8D"/>
    <w:pPr>
      <w:spacing w:after="120" w:line="276" w:lineRule="auto"/>
    </w:pPr>
    <w:rPr>
      <w:rFonts w:eastAsia="SimSun"/>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eastAsia="SimSun"/>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76" w:lineRule="auto"/>
    </w:pPr>
    <w:rPr>
      <w:rFonts w:eastAsia="SimSun"/>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20" w:line="276" w:lineRule="auto"/>
      <w:ind w:left="360" w:hanging="360"/>
      <w:contextualSpacing/>
    </w:pPr>
    <w:rPr>
      <w:rFonts w:eastAsia="SimSun"/>
      <w:sz w:val="22"/>
    </w:rPr>
  </w:style>
  <w:style w:type="paragraph" w:styleId="List2">
    <w:name w:val="List 2"/>
    <w:basedOn w:val="Normal"/>
    <w:uiPriority w:val="99"/>
    <w:unhideWhenUsed/>
    <w:rsid w:val="00326F90"/>
    <w:pPr>
      <w:spacing w:after="120" w:line="276" w:lineRule="auto"/>
      <w:ind w:left="720" w:hanging="360"/>
      <w:contextualSpacing/>
    </w:pPr>
    <w:rPr>
      <w:rFonts w:eastAsia="SimSun"/>
      <w:sz w:val="22"/>
    </w:rPr>
  </w:style>
  <w:style w:type="paragraph" w:styleId="List3">
    <w:name w:val="List 3"/>
    <w:basedOn w:val="Normal"/>
    <w:uiPriority w:val="99"/>
    <w:unhideWhenUsed/>
    <w:rsid w:val="00326F90"/>
    <w:pPr>
      <w:spacing w:after="120" w:line="276" w:lineRule="auto"/>
      <w:ind w:left="1080" w:hanging="360"/>
      <w:contextualSpacing/>
    </w:pPr>
    <w:rPr>
      <w:rFonts w:eastAsia="SimSun"/>
      <w:sz w:val="22"/>
    </w:rPr>
  </w:style>
  <w:style w:type="paragraph" w:styleId="ListBullet">
    <w:name w:val="List Bullet"/>
    <w:basedOn w:val="Normal"/>
    <w:uiPriority w:val="99"/>
    <w:unhideWhenUsed/>
    <w:rsid w:val="00326F90"/>
    <w:pPr>
      <w:numPr>
        <w:numId w:val="1"/>
      </w:numPr>
      <w:spacing w:after="60" w:line="276" w:lineRule="auto"/>
      <w:contextualSpacing/>
    </w:pPr>
    <w:rPr>
      <w:rFonts w:eastAsia="SimSun"/>
      <w:sz w:val="22"/>
    </w:rPr>
  </w:style>
  <w:style w:type="paragraph" w:styleId="ListBullet2">
    <w:name w:val="List Bullet 2"/>
    <w:basedOn w:val="Normal"/>
    <w:uiPriority w:val="99"/>
    <w:unhideWhenUsed/>
    <w:rsid w:val="00326F90"/>
    <w:pPr>
      <w:numPr>
        <w:numId w:val="2"/>
      </w:numPr>
      <w:spacing w:after="120" w:line="276" w:lineRule="auto"/>
      <w:contextualSpacing/>
    </w:pPr>
    <w:rPr>
      <w:rFonts w:eastAsia="SimSun"/>
      <w:sz w:val="22"/>
    </w:rPr>
  </w:style>
  <w:style w:type="paragraph" w:styleId="ListBullet3">
    <w:name w:val="List Bullet 3"/>
    <w:basedOn w:val="Normal"/>
    <w:uiPriority w:val="99"/>
    <w:unhideWhenUsed/>
    <w:rsid w:val="00326F90"/>
    <w:pPr>
      <w:numPr>
        <w:numId w:val="3"/>
      </w:numPr>
      <w:spacing w:after="120" w:line="276" w:lineRule="auto"/>
      <w:contextualSpacing/>
    </w:pPr>
    <w:rPr>
      <w:rFonts w:eastAsia="SimSun"/>
      <w:sz w:val="22"/>
    </w:rPr>
  </w:style>
  <w:style w:type="paragraph" w:styleId="ListNumber">
    <w:name w:val="List Number"/>
    <w:basedOn w:val="Normal"/>
    <w:uiPriority w:val="99"/>
    <w:unhideWhenUsed/>
    <w:rsid w:val="00326F90"/>
    <w:pPr>
      <w:numPr>
        <w:numId w:val="5"/>
      </w:numPr>
      <w:spacing w:after="120" w:line="276" w:lineRule="auto"/>
      <w:contextualSpacing/>
    </w:pPr>
    <w:rPr>
      <w:rFonts w:eastAsia="SimSun"/>
      <w:sz w:val="22"/>
    </w:rPr>
  </w:style>
  <w:style w:type="paragraph" w:styleId="ListNumber2">
    <w:name w:val="List Number 2"/>
    <w:basedOn w:val="Normal"/>
    <w:uiPriority w:val="99"/>
    <w:unhideWhenUsed/>
    <w:rsid w:val="0029639D"/>
    <w:pPr>
      <w:numPr>
        <w:numId w:val="6"/>
      </w:numPr>
      <w:spacing w:after="120" w:line="276" w:lineRule="auto"/>
      <w:contextualSpacing/>
    </w:pPr>
    <w:rPr>
      <w:rFonts w:eastAsia="SimSun"/>
      <w:sz w:val="22"/>
    </w:rPr>
  </w:style>
  <w:style w:type="paragraph" w:styleId="ListNumber3">
    <w:name w:val="List Number 3"/>
    <w:basedOn w:val="Normal"/>
    <w:uiPriority w:val="99"/>
    <w:unhideWhenUsed/>
    <w:rsid w:val="0029639D"/>
    <w:pPr>
      <w:numPr>
        <w:numId w:val="7"/>
      </w:numPr>
      <w:spacing w:after="120" w:line="276" w:lineRule="auto"/>
      <w:contextualSpacing/>
    </w:pPr>
    <w:rPr>
      <w:rFonts w:eastAsia="SimSun"/>
      <w:sz w:val="22"/>
    </w:rPr>
  </w:style>
  <w:style w:type="paragraph" w:styleId="ListContinue">
    <w:name w:val="List Continue"/>
    <w:basedOn w:val="Normal"/>
    <w:uiPriority w:val="99"/>
    <w:unhideWhenUsed/>
    <w:rsid w:val="0029639D"/>
    <w:pPr>
      <w:spacing w:after="120" w:line="276" w:lineRule="auto"/>
      <w:ind w:left="360"/>
      <w:contextualSpacing/>
    </w:pPr>
    <w:rPr>
      <w:rFonts w:eastAsia="SimSun"/>
      <w:sz w:val="22"/>
    </w:rPr>
  </w:style>
  <w:style w:type="paragraph" w:styleId="ListContinue2">
    <w:name w:val="List Continue 2"/>
    <w:basedOn w:val="Normal"/>
    <w:uiPriority w:val="99"/>
    <w:unhideWhenUsed/>
    <w:rsid w:val="0029639D"/>
    <w:pPr>
      <w:spacing w:after="120" w:line="276" w:lineRule="auto"/>
      <w:ind w:left="720"/>
      <w:contextualSpacing/>
    </w:pPr>
    <w:rPr>
      <w:rFonts w:eastAsia="SimSun"/>
      <w:sz w:val="22"/>
    </w:rPr>
  </w:style>
  <w:style w:type="paragraph" w:styleId="ListContinue3">
    <w:name w:val="List Continue 3"/>
    <w:basedOn w:val="Normal"/>
    <w:uiPriority w:val="99"/>
    <w:unhideWhenUsed/>
    <w:rsid w:val="0029639D"/>
    <w:pPr>
      <w:spacing w:after="120" w:line="276" w:lineRule="auto"/>
      <w:ind w:left="1080"/>
      <w:contextualSpacing/>
    </w:pPr>
    <w:rPr>
      <w:rFonts w:eastAsia="SimSun"/>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20" w:line="276" w:lineRule="auto"/>
    </w:pPr>
    <w:rPr>
      <w:rFonts w:eastAsia="SimSun"/>
      <w:i/>
      <w:iCs/>
      <w:color w:val="000000" w:themeColor="text1"/>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line="276" w:lineRule="auto"/>
      <w:ind w:left="936" w:right="936"/>
    </w:pPr>
    <w:rPr>
      <w:rFonts w:eastAsia="SimSun"/>
      <w:b/>
      <w:bCs/>
      <w:i/>
      <w:iCs/>
      <w:color w:val="4F81BD" w:themeColor="accent1"/>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u w:val="single"/>
    </w:rPr>
  </w:style>
  <w:style w:type="character" w:styleId="BookTitle">
    <w:name w:val="Book Title"/>
    <w:basedOn w:val="DefaultParagraphFont"/>
    <w:uiPriority w:val="33"/>
    <w:qFormat/>
    <w:rsid w:val="00FC693F"/>
    <w:rPr>
      <w:b/>
      <w:bCs/>
      <w:smallCaps/>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ourceLead">
    <w:name w:val="Resource Lead"/>
    <w:basedOn w:val="Normal"/>
    <w:pPr>
      <w:spacing w:before="60" w:after="30" w:line="276" w:lineRule="auto"/>
    </w:pPr>
    <w:rPr>
      <w:rFonts w:eastAsia="SimSun" w:cs="Arial"/>
      <w:b/>
      <w:color w:val="5A5A5A"/>
      <w:sz w:val="20"/>
    </w:rPr>
  </w:style>
  <w:style w:type="paragraph" w:customStyle="1" w:styleId="ResourceBullet">
    <w:name w:val="Resource Bullet"/>
    <w:basedOn w:val="Normal"/>
    <w:pPr>
      <w:spacing w:after="30" w:line="276" w:lineRule="auto"/>
      <w:ind w:left="259" w:hanging="259"/>
    </w:pPr>
    <w:rPr>
      <w:rFonts w:eastAsia="SimSun"/>
      <w:color w:val="464646"/>
      <w:sz w:val="19"/>
    </w:rPr>
  </w:style>
  <w:style w:type="paragraph" w:customStyle="1" w:styleId="Box">
    <w:name w:val="Box"/>
    <w:basedOn w:val="Normal"/>
    <w:pPr>
      <w:spacing w:after="120" w:line="276" w:lineRule="auto"/>
      <w:ind w:left="216" w:right="216"/>
    </w:pPr>
    <w:rPr>
      <w:rFonts w:eastAsia="SimSun"/>
      <w:sz w:val="20"/>
    </w:rPr>
  </w:style>
  <w:style w:type="paragraph" w:styleId="NormalWeb">
    <w:name w:val="Normal (Web)"/>
    <w:basedOn w:val="Normal"/>
    <w:uiPriority w:val="99"/>
    <w:unhideWhenUsed/>
    <w:rsid w:val="007840C3"/>
    <w:pPr>
      <w:spacing w:before="100" w:beforeAutospacing="1" w:after="100" w:afterAutospacing="1" w:line="276" w:lineRule="auto"/>
    </w:pPr>
    <w:rPr>
      <w:rFonts w:eastAsia="SimSun"/>
      <w:sz w:val="22"/>
    </w:rPr>
  </w:style>
  <w:style w:type="table" w:styleId="PlainTable1">
    <w:name w:val="Plain Table 1"/>
    <w:basedOn w:val="TableNormal"/>
    <w:uiPriority w:val="99"/>
    <w:rsid w:val="007840C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TMLCode">
    <w:name w:val="HTML Code"/>
    <w:basedOn w:val="DefaultParagraphFont"/>
    <w:uiPriority w:val="99"/>
    <w:semiHidden/>
    <w:unhideWhenUsed/>
    <w:rsid w:val="006E7D7F"/>
    <w:rPr>
      <w:rFonts w:ascii="Courier New" w:eastAsia="Times New Roman" w:hAnsi="Courier New" w:cs="Courier New"/>
      <w:sz w:val="20"/>
      <w:szCs w:val="20"/>
    </w:rPr>
  </w:style>
  <w:style w:type="table" w:styleId="GridTable1Light-Accent5">
    <w:name w:val="Grid Table 1 Light Accent 5"/>
    <w:basedOn w:val="TableNormal"/>
    <w:uiPriority w:val="46"/>
    <w:rsid w:val="00D74312"/>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6ColourfulAccent1">
    <w:name w:val="Grid Table 6 Colorful Accent 1"/>
    <w:basedOn w:val="TableNormal"/>
    <w:uiPriority w:val="51"/>
    <w:rsid w:val="00D74312"/>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PlainTable2">
    <w:name w:val="Plain Table 2"/>
    <w:basedOn w:val="TableNormal"/>
    <w:uiPriority w:val="99"/>
    <w:rsid w:val="00D7431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lpa.org/industry-guidance/templates-standards-model-documents/ilpa-templates-hub/ilpa-reporting-template/" TargetMode="External"/><Relationship Id="rId18" Type="http://schemas.openxmlformats.org/officeDocument/2006/relationships/hyperlink" Target="https://ilpa.org/industry-guidance/templates-standards-model-documents/ilpa-templates-hub/ilpa-capital-call-distribution-template/" TargetMode="External"/><Relationship Id="rId26" Type="http://schemas.openxmlformats.org/officeDocument/2006/relationships/hyperlink" Target="https://www.nist.gov/itl/ai-risk-management-framework" TargetMode="External"/><Relationship Id="rId39" Type="http://schemas.openxmlformats.org/officeDocument/2006/relationships/hyperlink" Target="https://ilpa.org/industry-guidance/templates-standards-model-documents/ilpa-templates-hub/ilpa-reporting-template/" TargetMode="External"/><Relationship Id="rId21" Type="http://schemas.openxmlformats.org/officeDocument/2006/relationships/hyperlink" Target="https://carta.com/sg/en/blog/data-extraction-capital-call-schedules/" TargetMode="External"/><Relationship Id="rId34" Type="http://schemas.openxmlformats.org/officeDocument/2006/relationships/hyperlink" Target="https://www.campdenwealth.com/form/the-family-office-operational-ex" TargetMode="External"/><Relationship Id="rId42" Type="http://schemas.openxmlformats.org/officeDocument/2006/relationships/hyperlink" Target="https://ilpa.org/industry-guidance/templates-standards-model-documents/ilpa-templates-hub/ilpa-capital-call-distribution-template/" TargetMode="External"/><Relationship Id="rId47" Type="http://schemas.openxmlformats.org/officeDocument/2006/relationships/hyperlink" Target="https://www.citigroup.com/rcs/citigpa/storage/public/ai_in_the_family_office.pdf" TargetMode="External"/><Relationship Id="rId50" Type="http://schemas.openxmlformats.org/officeDocument/2006/relationships/hyperlink" Target="https://nvlpubs.nist.gov/nistpubs/ai/nist.ai.100-1.pdf" TargetMode="Externa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rpc.cfainstitute.org/research/surveys/2024/private-markets-governance-issues" TargetMode="External"/><Relationship Id="rId29" Type="http://schemas.openxmlformats.org/officeDocument/2006/relationships/hyperlink" Target="https://privatebank.jpmorgan.com/apac/en/insights/markets-and-investing/ideas-and-insights/how-much-does-ai-already-know-about-you-and-your-family-office" TargetMode="External"/><Relationship Id="rId11" Type="http://schemas.openxmlformats.org/officeDocument/2006/relationships/hyperlink" Target="https://www.privatebanking.hsbc.com/family-office-uhnw/the-european-family-office-report-2024/" TargetMode="External"/><Relationship Id="rId24" Type="http://schemas.openxmlformats.org/officeDocument/2006/relationships/hyperlink" Target="https://andsimple.co/guides/ai-strategy-and-governance/" TargetMode="External"/><Relationship Id="rId32" Type="http://schemas.openxmlformats.org/officeDocument/2006/relationships/hyperlink" Target="https://www.privatebank.citibank.com/ivc/docs/Consolidated-reporting-in-family-Offices.pdf" TargetMode="External"/><Relationship Id="rId37" Type="http://schemas.openxmlformats.org/officeDocument/2006/relationships/hyperlink" Target="https://www.landytech.com/hubfs/PDFs/Whitepaper/Family%20offices%20in%20the%20digital%20age%20-%20Data%20and%20the%20reporting%20challenge.pdf" TargetMode="External"/><Relationship Id="rId40" Type="http://schemas.openxmlformats.org/officeDocument/2006/relationships/hyperlink" Target="https://ilpa.org/resources-tools/resource-library/ilpa-reporting-template-v-2-0/" TargetMode="External"/><Relationship Id="rId45" Type="http://schemas.openxmlformats.org/officeDocument/2006/relationships/hyperlink" Target="https://carta.com/learn/private-funds/management/capital-calls/" TargetMode="External"/><Relationship Id="rId53"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www.campdenwealth.com/form/the-family-office-operational-ex" TargetMode="External"/><Relationship Id="rId19" Type="http://schemas.openxmlformats.org/officeDocument/2006/relationships/hyperlink" Target="https://ilpa.org/industry-guidance/templates-standards-model-documents/" TargetMode="External"/><Relationship Id="rId31" Type="http://schemas.openxmlformats.org/officeDocument/2006/relationships/image" Target="media/image1.png"/><Relationship Id="rId44" Type="http://schemas.openxmlformats.org/officeDocument/2006/relationships/hyperlink" Target="https://caia.org/sites/default/files/AIAR_Q3_2016_04_PrivateEquity.pdf" TargetMode="External"/><Relationship Id="rId52" Type="http://schemas.openxmlformats.org/officeDocument/2006/relationships/hyperlink" Target="https://privatebank.jpmorgan.com/apac/en/insights/markets-and-investing/ideas-and-insights/how-much-does-ai-already-know-about-you-and-your-family-office" TargetMode="External"/><Relationship Id="rId4" Type="http://schemas.openxmlformats.org/officeDocument/2006/relationships/settings" Target="settings.xml"/><Relationship Id="rId9" Type="http://schemas.openxmlformats.org/officeDocument/2006/relationships/hyperlink" Target="https://www.privatebank.citibank.com/doc/family-office/2025-global-family-office-report.pdf" TargetMode="External"/><Relationship Id="rId14" Type="http://schemas.openxmlformats.org/officeDocument/2006/relationships/hyperlink" Target="https://ilpa.org/resources-tools/resource-library/ilpa-reporting-template-v-2-0/" TargetMode="External"/><Relationship Id="rId22" Type="http://schemas.openxmlformats.org/officeDocument/2006/relationships/hyperlink" Target="https://www.citigroup.com/rcs/citigpa/storage/public/ai_in_the_family_office.pdf" TargetMode="External"/><Relationship Id="rId27" Type="http://schemas.openxmlformats.org/officeDocument/2006/relationships/hyperlink" Target="https://nvlpubs.nist.gov/nistpubs/ai/nist.ai.100-1.pdf" TargetMode="External"/><Relationship Id="rId30" Type="http://schemas.openxmlformats.org/officeDocument/2006/relationships/hyperlink" Target="https://www.citigroup.com/rcs/citigpa/storage/public/ai_in_the_family_office.pdf" TargetMode="External"/><Relationship Id="rId35" Type="http://schemas.openxmlformats.org/officeDocument/2006/relationships/hyperlink" Target="https://alti-global.com/ideas/introducing-the-2025-family-office-operational-excellence-report/" TargetMode="External"/><Relationship Id="rId43" Type="http://schemas.openxmlformats.org/officeDocument/2006/relationships/hyperlink" Target="https://rpc.cfainstitute.org/research/surveys/2024/private-markets-governance-issues" TargetMode="External"/><Relationship Id="rId48" Type="http://schemas.openxmlformats.org/officeDocument/2006/relationships/hyperlink" Target="https://andsimple.co/guides/ai-strategy-and-governance/" TargetMode="External"/><Relationship Id="rId56" Type="http://schemas.openxmlformats.org/officeDocument/2006/relationships/theme" Target="theme/theme1.xml"/><Relationship Id="rId8" Type="http://schemas.openxmlformats.org/officeDocument/2006/relationships/hyperlink" Target="https://www.privatebank.citibank.com/ivc/docs/Consolidated-reporting-in-family-Offices.pdf" TargetMode="External"/><Relationship Id="rId51" Type="http://schemas.openxmlformats.org/officeDocument/2006/relationships/hyperlink" Target="https://www.oecd.org/en/topics/sub-issues/ai-principles.html" TargetMode="External"/><Relationship Id="rId3" Type="http://schemas.openxmlformats.org/officeDocument/2006/relationships/styles" Target="styles.xml"/><Relationship Id="rId12" Type="http://schemas.openxmlformats.org/officeDocument/2006/relationships/hyperlink" Target="https://www.landytech.com/hubfs/PDFs/Whitepaper/Family%20offices%20in%20the%20digital%20age%20-%20Data%20and%20the%20reporting%20challenge.pdf" TargetMode="External"/><Relationship Id="rId17" Type="http://schemas.openxmlformats.org/officeDocument/2006/relationships/hyperlink" Target="https://caia.org/sites/default/files/AIAR_Q3_2016_04_PrivateEquity.pdf" TargetMode="External"/><Relationship Id="rId25" Type="http://schemas.openxmlformats.org/officeDocument/2006/relationships/hyperlink" Target="https://carta.com/sg/en/blog/data-extraction-capital-call-schedules/" TargetMode="External"/><Relationship Id="rId33" Type="http://schemas.openxmlformats.org/officeDocument/2006/relationships/hyperlink" Target="https://www.privatebank.citibank.com/doc/family-office/2025-global-family-office-report.pdf" TargetMode="External"/><Relationship Id="rId38" Type="http://schemas.openxmlformats.org/officeDocument/2006/relationships/hyperlink" Target="https://ilpa.org/industry-guidance/templates-standards-model-documents/" TargetMode="External"/><Relationship Id="rId46" Type="http://schemas.openxmlformats.org/officeDocument/2006/relationships/hyperlink" Target="https://carta.com/sg/en/blog/data-extraction-capital-call-schedules/" TargetMode="External"/><Relationship Id="rId20" Type="http://schemas.openxmlformats.org/officeDocument/2006/relationships/hyperlink" Target="https://carta.com/learn/private-funds/management/capital-calls/" TargetMode="External"/><Relationship Id="rId41" Type="http://schemas.openxmlformats.org/officeDocument/2006/relationships/hyperlink" Target="https://ilpa.org/wp-content/uploads/2016/09/ILPA-Best-Practices-Quarterly-Reporting-Standards_Version-1.1.pdf" TargetMode="External"/><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ilpa.org/wp-content/uploads/2016/09/ILPA-Best-Practices-Quarterly-Reporting-Standards_Version-1.1.pdf" TargetMode="External"/><Relationship Id="rId23" Type="http://schemas.openxmlformats.org/officeDocument/2006/relationships/hyperlink" Target="https://www.privatebank.citibank.com/insights/ai-in-the-family-office-navigating-privacy-efficiency-and-institutional-rigor" TargetMode="External"/><Relationship Id="rId28" Type="http://schemas.openxmlformats.org/officeDocument/2006/relationships/hyperlink" Target="https://www.oecd.org/en/topics/sub-issues/ai-principles.html" TargetMode="External"/><Relationship Id="rId36" Type="http://schemas.openxmlformats.org/officeDocument/2006/relationships/hyperlink" Target="https://www.privatebanking.hsbc.com/family-office-uhnw/the-european-family-office-report-2024/" TargetMode="External"/><Relationship Id="rId49" Type="http://schemas.openxmlformats.org/officeDocument/2006/relationships/hyperlink" Target="https://www.nist.gov/itl/ai-risk-management-framewo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19</Pages>
  <Words>8148</Words>
  <Characters>46445</Characters>
  <Application>Microsoft Office Word</Application>
  <DocSecurity>0</DocSecurity>
  <Lines>387</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54485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AI-Powered Family Office Portfolio Dashboard - Detailed Final Report</dc:title>
  <dc:subject>Detailed final proof-of-concept report retaining original research and hyperlinks</dc:subject>
  <dc:creator>Yang Shu</dc:creator>
  <cp:keywords/>
  <dc:description/>
  <cp:lastModifiedBy>YANG Shu</cp:lastModifiedBy>
  <cp:revision>8</cp:revision>
  <dcterms:created xsi:type="dcterms:W3CDTF">2013-12-23T23:15:00Z</dcterms:created>
  <dcterms:modified xsi:type="dcterms:W3CDTF">2026-06-04T12:15:00Z</dcterms:modified>
  <cp:category/>
</cp:coreProperties>
</file>