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DF01" w14:textId="77777777" w:rsidR="00730BCB" w:rsidRDefault="00000000">
      <w:pPr>
        <w:pStyle w:val="Title"/>
      </w:pPr>
      <w:r>
        <w:rPr>
          <w:rFonts w:ascii="Arial" w:eastAsia="SimSun" w:hAnsi="Arial" w:cs="Arial"/>
          <w:sz w:val="40"/>
        </w:rPr>
        <w:t>AI-Powered Family Office Portfolio Dashboard</w:t>
      </w:r>
    </w:p>
    <w:p w14:paraId="27B168CA" w14:textId="05792071" w:rsidR="006A4D66" w:rsidRDefault="00000000" w:rsidP="002B020F">
      <w:pPr>
        <w:pStyle w:val="Subtitle"/>
        <w:rPr>
          <w:rFonts w:hint="eastAsia"/>
        </w:rPr>
      </w:pPr>
      <w:r>
        <w:rPr>
          <w:rFonts w:ascii="Arial" w:eastAsia="SimSun" w:hAnsi="Arial" w:cs="Arial"/>
        </w:rPr>
        <w:t>A Proof-of-Concept for Automating Private Market Reporting and Portfolio Risk Monitoring</w:t>
      </w:r>
    </w:p>
    <w:p w14:paraId="5C0DDEC1" w14:textId="77777777" w:rsidR="006A4D66" w:rsidRDefault="00000000">
      <w:pPr>
        <w:pStyle w:val="Heading1"/>
      </w:pPr>
      <w:r>
        <w:t>Executive Summary</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0152"/>
      </w:tblGrid>
      <w:tr w:rsidR="006A4D66" w14:paraId="53E66FFB" w14:textId="77777777">
        <w:trPr>
          <w:jc w:val="center"/>
        </w:trPr>
        <w:tc>
          <w:tcPr>
            <w:tcW w:w="10152" w:type="dxa"/>
            <w:shd w:val="clear" w:color="auto" w:fill="D9EAF7"/>
            <w:tcMar>
              <w:top w:w="105" w:type="dxa"/>
              <w:left w:w="120" w:type="dxa"/>
              <w:bottom w:w="105" w:type="dxa"/>
              <w:right w:w="120" w:type="dxa"/>
            </w:tcMar>
            <w:vAlign w:val="center"/>
          </w:tcPr>
          <w:p w14:paraId="1B2775FF" w14:textId="77777777" w:rsidR="006A4D66" w:rsidRDefault="00000000">
            <w:r>
              <w:rPr>
                <w:b/>
                <w:color w:val="000000"/>
                <w:sz w:val="19"/>
              </w:rPr>
              <w:t xml:space="preserve">Core conclusion: </w:t>
            </w:r>
            <w:r>
              <w:rPr>
                <w:color w:val="000000"/>
                <w:sz w:val="19"/>
              </w:rPr>
              <w:t>The central family-office problem addressed by this project is not the absence of data; it is the delay, inconsistency, and control risk involved in turning fragmented private-market documents into a decision-ready view of portfolio value, liquidity, exposure, and workflow status.</w:t>
            </w:r>
          </w:p>
        </w:tc>
      </w:tr>
    </w:tbl>
    <w:p w14:paraId="3A4ABEBD" w14:textId="77777777" w:rsidR="002B020F" w:rsidRDefault="002B020F">
      <w:pPr>
        <w:spacing w:after="100" w:line="259" w:lineRule="auto"/>
        <w:rPr>
          <w:rFonts w:ascii="SimSun" w:eastAsia="SimSun" w:hAnsi="SimSun" w:cs="SimSun"/>
          <w:b/>
          <w:color w:val="1F1F1F"/>
          <w:sz w:val="20"/>
        </w:rPr>
      </w:pPr>
    </w:p>
    <w:p w14:paraId="4A62E0CD" w14:textId="2BAD816B" w:rsidR="006A4D66" w:rsidRDefault="00000000">
      <w:pPr>
        <w:spacing w:after="100" w:line="259" w:lineRule="auto"/>
      </w:pPr>
      <w:r>
        <w:rPr>
          <w:rFonts w:ascii="Aptos" w:hAnsi="Aptos"/>
          <w:b/>
          <w:color w:val="1F1F1F"/>
          <w:sz w:val="20"/>
        </w:rPr>
        <w:t>Research finding. Family offices operate across liquid securities, private funds, cash accounts, and multiple custodians or managers. Public-market data can be refreshed frequently, but private-market information arrives through capital-call notices, distribution notices, capital-account statements, and manager commentary. The resulting portfolio view is often assembled manually, with weak lineage between a source document and the numbers used in reporting.</w:t>
      </w:r>
    </w:p>
    <w:p w14:paraId="4E56F289" w14:textId="77777777" w:rsidR="006A4D66" w:rsidRDefault="00000000">
      <w:pPr>
        <w:spacing w:after="100" w:line="259" w:lineRule="auto"/>
      </w:pPr>
      <w:r>
        <w:rPr>
          <w:rFonts w:ascii="Aptos" w:hAnsi="Aptos"/>
          <w:b/>
          <w:color w:val="1F1F1F"/>
          <w:sz w:val="20"/>
        </w:rPr>
        <w:t>Project response. I designed and implemented a controlled proof of concept that connects six synthetic private-market PDFs to classification, structured extraction, schema validation, a review queue, approved-only portfolio updates, and a Streamlit dashboard. The design deliberately separates baseline portfolio state, projected events, approved overlays, and rejected or unresolved records.</w:t>
      </w:r>
    </w:p>
    <w:p w14:paraId="78A35858" w14:textId="77777777" w:rsidR="006A4D66" w:rsidRDefault="00000000">
      <w:pPr>
        <w:spacing w:after="100" w:line="259" w:lineRule="auto"/>
      </w:pPr>
      <w:r>
        <w:rPr>
          <w:rFonts w:ascii="Aptos" w:hAnsi="Aptos"/>
          <w:b/>
          <w:color w:val="1F1F1F"/>
          <w:sz w:val="20"/>
        </w:rPr>
        <w:t>Demonstrated result. The locked May 2026 batch produced six schema-conformant extraction outputs: three approved, two requiring review, and one rejected. Only the three approved records were applied. The approved distribution contributes a projected USD 3.1 million inflow; the approved Northstar capital-account statement updates the private-market position; the approved newsletter adds commentary without changing financial balances. Unresolved or rejected records remain visible but do not silently change the portfolio.</w:t>
      </w:r>
    </w:p>
    <w:p w14:paraId="2D811B5C" w14:textId="77777777" w:rsidR="006A4D66" w:rsidRDefault="00000000">
      <w:pPr>
        <w:spacing w:after="100" w:line="259" w:lineRule="auto"/>
      </w:pPr>
      <w:r>
        <w:rPr>
          <w:rFonts w:ascii="Aptos" w:hAnsi="Aptos"/>
          <w:b/>
          <w:color w:val="1F1F1F"/>
          <w:sz w:val="20"/>
        </w:rPr>
        <w:t>Decision value. The dashboard gives a CIO a consolidated view of allocation, liquidity, and risk; gives an investment analyst traceable fund-level and public-proxy analytics; and gives an operations or finance team an exception-driven work queue. The most valuable outcome is the integrated control path from source document to reviewed portfolio intelligence—not extraction accuracy or visualization in isolation.</w:t>
      </w:r>
    </w:p>
    <w:p w14:paraId="4D0367C5" w14:textId="77777777" w:rsidR="006A4D66" w:rsidRDefault="00000000">
      <w:pPr>
        <w:spacing w:after="100" w:line="259" w:lineRule="auto"/>
      </w:pPr>
      <w:r>
        <w:rPr>
          <w:rFonts w:ascii="Aptos" w:hAnsi="Aptos"/>
          <w:b/>
          <w:color w:val="1F1F1F"/>
          <w:sz w:val="20"/>
        </w:rPr>
        <w:t>Evidence of delivery readiness. At the final locked demo state, data QA recorded 26 passes with no failures or warnings, demo readiness recorded 20 passes with no failures, and the automated test suite recorded 129 passes with two expected warnings. These results support proof-of-concept reliability; they do not constitute production assurance or measured commercial ROI.</w:t>
      </w:r>
    </w:p>
    <w:p w14:paraId="16B0D81F" w14:textId="77777777" w:rsidR="006A4D66" w:rsidRDefault="00000000">
      <w:r>
        <w:br w:type="page"/>
      </w:r>
    </w:p>
    <w:p w14:paraId="195FD1CA" w14:textId="77777777" w:rsidR="00730BCB" w:rsidRDefault="00000000">
      <w:pPr>
        <w:pStyle w:val="Heading1"/>
      </w:pPr>
      <w:r>
        <w:rPr>
          <w:rFonts w:ascii="Arial" w:eastAsia="SimSun" w:hAnsi="Arial" w:cs="Arial"/>
        </w:rPr>
        <w:lastRenderedPageBreak/>
        <w:t>1. Defining the Research Question and Project Scope</w:t>
      </w:r>
    </w:p>
    <w:p w14:paraId="0BFFF286" w14:textId="77777777" w:rsidR="00730BCB" w:rsidRDefault="00000000">
      <w:pPr>
        <w:pStyle w:val="Heading2"/>
      </w:pPr>
      <w:r>
        <w:rPr>
          <w:rFonts w:ascii="Arial" w:eastAsia="SimSun" w:hAnsi="Arial" w:cs="Arial"/>
        </w:rPr>
        <w:t>1.1 Objective</w:t>
      </w:r>
    </w:p>
    <w:p w14:paraId="7507C4BC" w14:textId="77777777" w:rsidR="00730BCB" w:rsidRPr="00931D43" w:rsidRDefault="00000000" w:rsidP="00931D43">
      <w:pPr>
        <w:rPr>
          <w:rFonts w:asciiTheme="minorHAnsi" w:hAnsiTheme="minorHAnsi"/>
        </w:rPr>
      </w:pPr>
      <w:r w:rsidRPr="00931D43">
        <w:rPr>
          <w:rFonts w:asciiTheme="minorHAnsi" w:hAnsiTheme="minorHAnsi"/>
        </w:rPr>
        <w:t>This project defines a proof-of-concept for using AI and data infrastructure to improve the reporting workflow of a family office. The objective is to clarify the research question, establish the project boundary, and define practical criteria for evaluating whether the prototype creates value.</w:t>
      </w:r>
    </w:p>
    <w:p w14:paraId="46135A21" w14:textId="77777777" w:rsidR="00730BCB" w:rsidRDefault="00000000">
      <w:pPr>
        <w:pStyle w:val="Heading2"/>
      </w:pPr>
      <w:r>
        <w:rPr>
          <w:rFonts w:ascii="Arial" w:eastAsia="SimSun" w:hAnsi="Arial" w:cs="Arial"/>
        </w:rPr>
        <w:t>1.2 Research Question</w:t>
      </w:r>
    </w:p>
    <w:p w14:paraId="6F758B29" w14:textId="77777777" w:rsidR="00730BCB" w:rsidRPr="00931D43" w:rsidRDefault="00000000" w:rsidP="00931D43">
      <w:r>
        <w:t xml:space="preserve">The core research question is: </w:t>
      </w:r>
      <w:r w:rsidRPr="00931D43">
        <w:t>How can AI and data infrastructure help a family office transform fragmented documents and market data into actionable portfolio intelligence?</w:t>
      </w:r>
    </w:p>
    <w:p w14:paraId="0B68A8AC" w14:textId="77777777" w:rsidR="00730BCB" w:rsidRPr="00931D43" w:rsidRDefault="00000000" w:rsidP="00931D43">
      <w:r w:rsidRPr="00931D43">
        <w:t>For this project, the question is refined as: How can an AI-enabled workflow extract information from private market documents and connect it with portfolio and market data to support reporting, liquidity planning, and risk monitoring?</w:t>
      </w:r>
    </w:p>
    <w:p w14:paraId="491B7CDD" w14:textId="77777777" w:rsidR="00730BCB" w:rsidRDefault="00000000">
      <w:pPr>
        <w:pStyle w:val="Heading2"/>
      </w:pPr>
      <w:r>
        <w:rPr>
          <w:rFonts w:ascii="Arial" w:eastAsia="SimSun" w:hAnsi="Arial" w:cs="Arial"/>
        </w:rPr>
        <w:t>1.3 Project Scope</w:t>
      </w:r>
    </w:p>
    <w:p w14:paraId="3E9214D5" w14:textId="77777777" w:rsidR="00730BCB" w:rsidRDefault="00000000">
      <w:r>
        <w:t>The project is deliberately scoped as a simplified prototype rather than a production implementation. It will use synthetic family office portfolio data, mock private market documents, AI-based information extraction, structured data output, a dashboard mockup, liquidity monitoring, and basic public market risk indicators.</w:t>
      </w:r>
    </w:p>
    <w:p w14:paraId="05361476" w14:textId="77777777" w:rsidR="00730BCB" w:rsidRDefault="00000000">
      <w:r>
        <w:t>The project will not use real family office data, connect to real email inboxes, build a full production system, provide investment recommendations, or automate investment decisions.</w:t>
      </w:r>
    </w:p>
    <w:p w14:paraId="06BBA79F" w14:textId="77777777" w:rsidR="00730BCB" w:rsidRDefault="00000000">
      <w:pPr>
        <w:pStyle w:val="Heading2"/>
      </w:pPr>
      <w:r>
        <w:rPr>
          <w:rFonts w:ascii="Arial" w:eastAsia="SimSun" w:hAnsi="Arial" w:cs="Arial"/>
        </w:rPr>
        <w:t>1.4 Success Criteria</w:t>
      </w:r>
    </w:p>
    <w:p w14:paraId="681A2D71" w14:textId="77777777" w:rsidR="00730BCB" w:rsidRDefault="00000000">
      <w:pPr>
        <w:pStyle w:val="ListBullet"/>
      </w:pPr>
      <w:r>
        <w:rPr>
          <w:sz w:val="24"/>
        </w:rPr>
        <w:t>The workflow can extract key information from a mock private market document and convert it into structured data.</w:t>
      </w:r>
    </w:p>
    <w:p w14:paraId="4F4E281C" w14:textId="77777777" w:rsidR="00730BCB" w:rsidRDefault="00000000">
      <w:pPr>
        <w:pStyle w:val="ListBullet"/>
      </w:pPr>
      <w:r>
        <w:rPr>
          <w:sz w:val="24"/>
        </w:rPr>
        <w:t>The structured data can update a portfolio dashboard and improve visibility over cash, capital calls, unfunded commitments, and liquidity needs.</w:t>
      </w:r>
    </w:p>
    <w:p w14:paraId="04658EC5" w14:textId="77777777" w:rsidR="00730BCB" w:rsidRDefault="00000000">
      <w:pPr>
        <w:pStyle w:val="ListBullet"/>
      </w:pPr>
      <w:r>
        <w:rPr>
          <w:sz w:val="24"/>
        </w:rPr>
        <w:t>The project can explain the value and limitations of the workflow, including the role of human review, data governance, privacy protection, and model-risk controls.</w:t>
      </w:r>
    </w:p>
    <w:p w14:paraId="4722D1D0" w14:textId="77777777" w:rsidR="00730BCB" w:rsidRDefault="00000000">
      <w:pPr>
        <w:pStyle w:val="Heading2"/>
      </w:pPr>
      <w:r>
        <w:rPr>
          <w:rFonts w:ascii="Arial" w:eastAsia="SimSun" w:hAnsi="Arial" w:cs="Arial"/>
        </w:rPr>
        <w:t>1.5 Initial Conclusion</w:t>
      </w:r>
    </w:p>
    <w:p w14:paraId="1DD805E3" w14:textId="77777777" w:rsidR="00730BCB" w:rsidRDefault="00000000">
      <w:r>
        <w:t>The project should be positioned as a focused proof-of-concept. Its purpose is to test whether an AI-enabled document-to-dashboard workflow can reduce reporting friction and improve portfolio visibility, liquidity planning, and risk monitoring for a family office without implying that investment judgment or approval controls can be fully automated.</w:t>
      </w:r>
    </w:p>
    <w:p w14:paraId="03668978" w14:textId="77777777" w:rsidR="00730BCB" w:rsidRDefault="00000000">
      <w:pPr>
        <w:pStyle w:val="Heading1"/>
      </w:pPr>
      <w:r>
        <w:rPr>
          <w:rFonts w:ascii="Arial" w:eastAsia="SimSun" w:hAnsi="Arial" w:cs="Arial"/>
        </w:rPr>
        <w:t>2. Research: Family Office Pain Points and AI Use Cases</w:t>
      </w:r>
    </w:p>
    <w:p w14:paraId="0FB47652" w14:textId="77777777" w:rsidR="00730BCB" w:rsidRDefault="00000000">
      <w:r>
        <w:t>Family offices increasingly manage portfolios that combine public securities, private funds, direct investments, real assets, multi-currency cash accounts, trusts, operating entities, and personal assets. The reporting problem is therefore not limited to producing a periodic investment report. The harder challenge is building a reliable data layer that reconciles fragmented documents and market data into a controlled view of exposure, liquidity, commitments, risk, and performance.</w:t>
      </w:r>
    </w:p>
    <w:p w14:paraId="192BE455" w14:textId="77777777" w:rsidR="00730BCB" w:rsidRDefault="00000000">
      <w:r>
        <w:t>This section translates the research notes into a report-style analysis. It identifies the operating pain points that motivate the proof-of-concept, explains why private market reporting is more complex than public market reporting, and defines where AI and automation can create practical value without removing the need for governance and human review.</w:t>
      </w:r>
    </w:p>
    <w:p w14:paraId="43E361BA" w14:textId="77777777" w:rsidR="00730BCB" w:rsidRDefault="00000000">
      <w:pPr>
        <w:pStyle w:val="Heading2"/>
      </w:pPr>
      <w:r>
        <w:rPr>
          <w:rFonts w:ascii="Arial" w:eastAsia="SimSun" w:hAnsi="Arial" w:cs="Arial"/>
        </w:rPr>
        <w:t>2.1 Pain Points in Family Office Portfolio Reporting</w:t>
      </w:r>
    </w:p>
    <w:p w14:paraId="0528F60A" w14:textId="77777777" w:rsidR="00730BCB" w:rsidRDefault="00000000">
      <w:r>
        <w:t xml:space="preserve">Family office reporting is structurally difficult because the underlying portfolio is rarely held in one system. Assets may sit with multiple banks, custodians, fund administrators, GP portals, accounting ledgers, </w:t>
      </w:r>
      <w:r>
        <w:lastRenderedPageBreak/>
        <w:t>spreadsheets, and document repositories. The office must then consolidate information across legal entities, currencies, asset classes, ownership structures, and stakeholder views. A CIO may need exposure and performance reporting, a CFO may need cash and entity-level reporting, principals may need a concise family-level dashboard, and tax or legal advisers may require a different cut of the same information.</w:t>
      </w:r>
    </w:p>
    <w:p w14:paraId="0F738C77" w14:textId="77777777" w:rsidR="00730BCB" w:rsidRDefault="00000000">
      <w:r>
        <w:t>The practical consequence is that many reporting processes are still dependent on manual data aggregation and reconciliation. A single reporting pack may require staff to download statements, normalize classifications, check market values, update FX rates, map assets to entities, and reconcile cash flows. The result is a persistent tension between timeliness and reliability: faster reporting can increase the risk of unreconciled numbers, while highly controlled reporting can become too slow for decision-making.</w:t>
      </w:r>
    </w:p>
    <w:p w14:paraId="5EE078DC" w14:textId="77777777" w:rsidR="00730BCB" w:rsidRDefault="00000000">
      <w:r>
        <w:t>For the proof-of-concept, this pain point supports the need for a structured portfolio data model. The dashboard should not be designed merely as a visualization layer; it should represent a controlled data workflow in which source documents, extracted fields, portfolio records, and reporting outputs are linked through a consistent schema.</w:t>
      </w:r>
    </w:p>
    <w:p w14:paraId="648982A3" w14:textId="77777777" w:rsidR="00730BCB" w:rsidRDefault="00000000">
      <w:pPr>
        <w:pStyle w:val="ResourceLead"/>
      </w:pPr>
      <w:r>
        <w:t>Selected resources:</w:t>
      </w:r>
    </w:p>
    <w:p w14:paraId="0A658494" w14:textId="77777777" w:rsidR="00730BCB" w:rsidRDefault="00730BCB">
      <w:pPr>
        <w:pStyle w:val="ResourceBullet"/>
      </w:pPr>
      <w:hyperlink r:id="rId8">
        <w:r>
          <w:rPr>
            <w:color w:val="0563C1"/>
            <w:u w:val="single"/>
          </w:rPr>
          <w:t>Citi Private Bank - Consolidated Reporting in Family Offices</w:t>
        </w:r>
      </w:hyperlink>
      <w:r>
        <w:t xml:space="preserve"> - frames consolidated reporting as a core operating challenge for complex family office portfolios.</w:t>
      </w:r>
    </w:p>
    <w:p w14:paraId="739BE1AD" w14:textId="77777777" w:rsidR="00730BCB" w:rsidRDefault="00730BCB">
      <w:pPr>
        <w:pStyle w:val="ResourceBullet"/>
      </w:pPr>
      <w:hyperlink r:id="rId9">
        <w:r>
          <w:rPr>
            <w:color w:val="0563C1"/>
            <w:u w:val="single"/>
          </w:rPr>
          <w:t>Citi Private Bank - 2025 Global Family Office Report</w:t>
        </w:r>
      </w:hyperlink>
      <w:r>
        <w:t xml:space="preserve"> - provides recent family office context on reporting software adoption and operating priorities.</w:t>
      </w:r>
    </w:p>
    <w:p w14:paraId="3E2DA7BA" w14:textId="77777777" w:rsidR="00730BCB" w:rsidRDefault="00730BCB">
      <w:pPr>
        <w:pStyle w:val="ResourceBullet"/>
      </w:pPr>
      <w:hyperlink r:id="rId10">
        <w:r>
          <w:rPr>
            <w:color w:val="0563C1"/>
            <w:u w:val="single"/>
          </w:rPr>
          <w:t>Campden Wealth - The Family Office Operational Excellence Report 2025</w:t>
        </w:r>
      </w:hyperlink>
      <w:r>
        <w:t xml:space="preserve"> - supports the operational-excellence angle, including governance, cost, technology, and operating-model pressure.</w:t>
      </w:r>
    </w:p>
    <w:p w14:paraId="78886A67" w14:textId="77777777" w:rsidR="00730BCB" w:rsidRDefault="00730BCB">
      <w:pPr>
        <w:pStyle w:val="ResourceBullet"/>
      </w:pPr>
      <w:hyperlink r:id="rId11">
        <w:r>
          <w:rPr>
            <w:color w:val="0563C1"/>
            <w:u w:val="single"/>
          </w:rPr>
          <w:t>HSBC Global Private Banking - The European Family Office Report 2024</w:t>
        </w:r>
      </w:hyperlink>
      <w:r>
        <w:t xml:space="preserve"> - provides background on family office portfolio complexity and investment allocation trends.</w:t>
      </w:r>
    </w:p>
    <w:p w14:paraId="2466D779" w14:textId="77777777" w:rsidR="00730BCB" w:rsidRDefault="00730BCB">
      <w:pPr>
        <w:pStyle w:val="ResourceBullet"/>
      </w:pPr>
      <w:hyperlink r:id="rId12">
        <w:r>
          <w:rPr>
            <w:color w:val="0563C1"/>
            <w:u w:val="single"/>
          </w:rPr>
          <w:t>Landytech - Family Offices in the Digital Age: Data and the Reporting Challenge</w:t>
        </w:r>
      </w:hyperlink>
      <w:r>
        <w:t xml:space="preserve"> - describes data aggregation and reporting challenges across assets, custodians, and non-bankable holdings.</w:t>
      </w:r>
    </w:p>
    <w:p w14:paraId="1864FF92" w14:textId="77777777" w:rsidR="00730BCB" w:rsidRDefault="00000000">
      <w:pPr>
        <w:pStyle w:val="Heading2"/>
      </w:pPr>
      <w:r>
        <w:rPr>
          <w:rFonts w:ascii="Arial" w:eastAsia="SimSun" w:hAnsi="Arial" w:cs="Arial"/>
        </w:rPr>
        <w:t>2.2 Why Private Market Reporting Is More Complex Than Public Market Reporting</w:t>
      </w:r>
    </w:p>
    <w:p w14:paraId="75AD49DF" w14:textId="77777777" w:rsidR="00730BCB" w:rsidRDefault="00000000">
      <w:r>
        <w:t>Private market reporting is harder than public market reporting because the data is document-driven, less standardized, and less frequent. Public securities can usually be identified through standardized identifiers and valued using observable market prices or custodian feeds. Private funds and direct investments, by contrast, depend on GP-provided quarterly reports, capital account statements, audited financial statements, capital call notices, distribution notices, K-1s, side letters, and investor updates.</w:t>
      </w:r>
    </w:p>
    <w:p w14:paraId="13F7D4F1" w14:textId="77777777" w:rsidR="00730BCB" w:rsidRDefault="00000000">
      <w:r>
        <w:t>This creates three operational frictions. First, valuation data is often lagged and appraisal-based, which makes risk and performance measurement less comparable to daily-priced public assets. Second, the format and terminology of GP reports vary across managers, vintages, strategies, and fund administrators. Third, LPs often need to interpret financial statements and narrative disclosures to understand fees, expenses, carried interest, NAV movement, unfunded commitments, and portfolio-company exposure.</w:t>
      </w:r>
    </w:p>
    <w:p w14:paraId="25B0EECE" w14:textId="77777777" w:rsidR="00730BCB" w:rsidRDefault="00000000">
      <w:r>
        <w:t>Industry initiatives such as the ILPA Reporting Template and Quarterly Reporting Standards directly address these issues by promoting standardization, transparency, and comparability. However, standard templates do not eliminate the need for data extraction and validation because many family offices still receive a mix of PDF reports, Excel files, scanned documents, email attachments, and portal downloads. The proof-of-concept should therefore treat private market reporting as a document-to-data-to-reporting workflow.</w:t>
      </w:r>
    </w:p>
    <w:p w14:paraId="0FC612BB" w14:textId="77777777" w:rsidR="00730BCB" w:rsidRDefault="00000000">
      <w:pPr>
        <w:pStyle w:val="ResourceLead"/>
      </w:pPr>
      <w:r>
        <w:t>Selected resources:</w:t>
      </w:r>
    </w:p>
    <w:p w14:paraId="3CC944C2" w14:textId="77777777" w:rsidR="00730BCB" w:rsidRDefault="00730BCB">
      <w:pPr>
        <w:pStyle w:val="ResourceBullet"/>
      </w:pPr>
      <w:hyperlink r:id="rId13">
        <w:r>
          <w:rPr>
            <w:color w:val="0563C1"/>
            <w:u w:val="single"/>
          </w:rPr>
          <w:t>ILPA - Reporting Template</w:t>
        </w:r>
      </w:hyperlink>
      <w:r>
        <w:t xml:space="preserve"> - sets out reporting-template resources aimed at improving transparency and alignment between LPs and GPs.</w:t>
      </w:r>
    </w:p>
    <w:p w14:paraId="105FA27E" w14:textId="77777777" w:rsidR="00730BCB" w:rsidRDefault="00730BCB">
      <w:pPr>
        <w:pStyle w:val="ResourceBullet"/>
      </w:pPr>
      <w:hyperlink r:id="rId14">
        <w:r>
          <w:rPr>
            <w:color w:val="0563C1"/>
            <w:u w:val="single"/>
          </w:rPr>
          <w:t>ILPA - Reporting Template v. 2.0</w:t>
        </w:r>
      </w:hyperlink>
      <w:r>
        <w:t xml:space="preserve"> - documents the 2025 update to the reporting template and its focus on more uniform reporting practices.</w:t>
      </w:r>
    </w:p>
    <w:p w14:paraId="3FE97159" w14:textId="77777777" w:rsidR="00730BCB" w:rsidRDefault="00730BCB">
      <w:pPr>
        <w:pStyle w:val="ResourceBullet"/>
      </w:pPr>
      <w:hyperlink r:id="rId15">
        <w:r>
          <w:rPr>
            <w:color w:val="0563C1"/>
            <w:u w:val="single"/>
          </w:rPr>
          <w:t>ILPA - Quarterly Reporting Standards</w:t>
        </w:r>
      </w:hyperlink>
      <w:r>
        <w:t xml:space="preserve"> - explains the need to increase standardization, improve disclosure, and reduce monitoring and administration costs.</w:t>
      </w:r>
    </w:p>
    <w:p w14:paraId="79AE384C" w14:textId="77777777" w:rsidR="00730BCB" w:rsidRDefault="00730BCB">
      <w:pPr>
        <w:pStyle w:val="ResourceBullet"/>
      </w:pPr>
      <w:hyperlink r:id="rId16">
        <w:r>
          <w:rPr>
            <w:color w:val="0563C1"/>
            <w:u w:val="single"/>
          </w:rPr>
          <w:t>CFA Institute - Private Markets: Governance Issues</w:t>
        </w:r>
      </w:hyperlink>
      <w:r>
        <w:t xml:space="preserve"> - supports the discussion of transparency, conflicts of interest, fees, expenses, and valuation governance.</w:t>
      </w:r>
    </w:p>
    <w:p w14:paraId="2BB2BB10" w14:textId="77777777" w:rsidR="00730BCB" w:rsidRDefault="00730BCB">
      <w:pPr>
        <w:pStyle w:val="ResourceBullet"/>
      </w:pPr>
      <w:hyperlink r:id="rId17">
        <w:r>
          <w:rPr>
            <w:color w:val="0563C1"/>
            <w:u w:val="single"/>
          </w:rPr>
          <w:t>CAIA Association - Assessing Risk of Private Equity: What is the Proxy?</w:t>
        </w:r>
      </w:hyperlink>
      <w:r>
        <w:t xml:space="preserve"> - supports the discussion of illiquidity, quarterly NAVs, and private equity risk measurement limitations.</w:t>
      </w:r>
    </w:p>
    <w:p w14:paraId="02BF2D9B" w14:textId="77777777" w:rsidR="00730BCB" w:rsidRDefault="00000000">
      <w:pPr>
        <w:pStyle w:val="Heading2"/>
      </w:pPr>
      <w:r>
        <w:rPr>
          <w:rFonts w:ascii="Arial" w:eastAsia="SimSun" w:hAnsi="Arial" w:cs="Arial"/>
        </w:rPr>
        <w:lastRenderedPageBreak/>
        <w:t>2.3 Processing Capital Calls, Distribution Notices, and Fund Statements</w:t>
      </w:r>
    </w:p>
    <w:p w14:paraId="7B455026" w14:textId="77777777" w:rsidR="00730BCB" w:rsidRDefault="00000000">
      <w:r>
        <w:t>Capital call notices, distribution notices, and fund statements are high-impact documents because they connect reporting to cash management, accounting, partnership records, and portfolio monitoring. A capital call notice may trigger a payment deadline, update unfunded commitment, and affect near-term liquidity planning. A distribution notice may require classification between return of capital, income, gain, recallable distribution, and other components. A fund statement may update NAV, capital account balance, fees, expenses, ownership percentage, and performance metrics.</w:t>
      </w:r>
    </w:p>
    <w:p w14:paraId="2D20AE88" w14:textId="77777777" w:rsidR="00730BCB" w:rsidRDefault="00000000">
      <w:r>
        <w:t>Errors in these documents can have direct operational consequences. An incorrect due date can create late-payment risk; a wrong bank instruction can create payment-control risk; an incorrect call amount can distort cash forecasting; and a misclassified distribution can affect reporting, accounting, and tax workflows. The difficulty is not only OCR accuracy. The harder task is semantic extraction: identifying what each field means, mapping it to the family office data model, checking it against existing records, and routing exceptions for review.</w:t>
      </w:r>
    </w:p>
    <w:p w14:paraId="59D45106" w14:textId="77777777" w:rsidR="00730BCB" w:rsidRDefault="00000000">
      <w:r>
        <w:t>The prototype should therefore include a document-processing workflow with explicit validation points. A practical sequence is: receive document, classify document type, extract fields, validate against fund master data and commitment records, flag exceptions, route for human approval, update the dashboard, and archive the source document with an audit trail.</w:t>
      </w:r>
    </w:p>
    <w:p w14:paraId="4135472B" w14:textId="77777777" w:rsidR="00730BCB" w:rsidRDefault="00000000">
      <w:pPr>
        <w:pStyle w:val="ResourceLead"/>
      </w:pPr>
      <w:r>
        <w:t>Selected resources:</w:t>
      </w:r>
    </w:p>
    <w:p w14:paraId="33F81D5B" w14:textId="77777777" w:rsidR="00730BCB" w:rsidRDefault="00730BCB">
      <w:pPr>
        <w:pStyle w:val="ResourceBullet"/>
      </w:pPr>
      <w:hyperlink r:id="rId18">
        <w:r>
          <w:rPr>
            <w:color w:val="0563C1"/>
            <w:u w:val="single"/>
          </w:rPr>
          <w:t>ILPA - Capital Call &amp; Distribution Template</w:t>
        </w:r>
      </w:hyperlink>
      <w:r>
        <w:t xml:space="preserve"> - provides current capital call and distribution template resources and guidance.</w:t>
      </w:r>
    </w:p>
    <w:p w14:paraId="508AF2A4" w14:textId="77777777" w:rsidR="00730BCB" w:rsidRDefault="00730BCB">
      <w:pPr>
        <w:pStyle w:val="ResourceBullet"/>
      </w:pPr>
      <w:hyperlink r:id="rId19">
        <w:r>
          <w:rPr>
            <w:color w:val="0563C1"/>
            <w:u w:val="single"/>
          </w:rPr>
          <w:t>ILPA - Templates, Standards &amp; Model Documents</w:t>
        </w:r>
      </w:hyperlink>
      <w:r>
        <w:t xml:space="preserve"> - central hub for ILPA reporting, performance, capital call, distribution, and portfolio-company metrics templates.</w:t>
      </w:r>
    </w:p>
    <w:p w14:paraId="7D8B5B76" w14:textId="77777777" w:rsidR="00730BCB" w:rsidRDefault="00730BCB">
      <w:pPr>
        <w:pStyle w:val="ResourceBullet"/>
      </w:pPr>
      <w:hyperlink r:id="rId20">
        <w:r>
          <w:rPr>
            <w:color w:val="0563C1"/>
            <w:u w:val="single"/>
          </w:rPr>
          <w:t>Carta - What is a Capital Call in Private Equity and Venture Capital?</w:t>
        </w:r>
      </w:hyperlink>
      <w:r>
        <w:t xml:space="preserve"> - provides practitioner context on how capital calls draw down committed capital.</w:t>
      </w:r>
    </w:p>
    <w:p w14:paraId="6640AE8F" w14:textId="77777777" w:rsidR="00730BCB" w:rsidRDefault="00730BCB">
      <w:pPr>
        <w:pStyle w:val="ResourceBullet"/>
      </w:pPr>
      <w:hyperlink r:id="rId21">
        <w:r>
          <w:rPr>
            <w:color w:val="0563C1"/>
            <w:u w:val="single"/>
          </w:rPr>
          <w:t>Carta - Purpose-Built Data Extraction for Private Capital Call Schedules</w:t>
        </w:r>
      </w:hyperlink>
      <w:r>
        <w:t xml:space="preserve"> - supports the use case for AI-enabled extraction in private capital workflows.</w:t>
      </w:r>
    </w:p>
    <w:p w14:paraId="5A7584FB" w14:textId="77777777" w:rsidR="00730BCB" w:rsidRDefault="00000000">
      <w:pPr>
        <w:pStyle w:val="Heading2"/>
      </w:pPr>
      <w:r>
        <w:rPr>
          <w:rFonts w:ascii="Arial" w:eastAsia="SimSun" w:hAnsi="Arial" w:cs="Arial"/>
        </w:rPr>
        <w:t>2.4 AI and Automation Use Cases</w:t>
      </w:r>
    </w:p>
    <w:p w14:paraId="697B73A3" w14:textId="77777777" w:rsidR="00730BCB" w:rsidRDefault="00000000">
      <w:r>
        <w:t>AI and automation are best applied to repeatable, high-volume, and verifiable tasks rather than discretionary investment decisions. In this project, the most relevant use cases are document intake, classification, field extraction, data mapping, exception detection, reconciliation support, dashboard updates, liquidity calendar updates, and draft commentary generation.</w:t>
      </w:r>
    </w:p>
    <w:p w14:paraId="401027FB" w14:textId="77777777" w:rsidR="00730BCB" w:rsidRDefault="00000000">
      <w:r>
        <w:t>A realistic AI workflow would not simply read a PDF and update the dashboard automatically. It would produce a structured output with confidence scores, source-page references, validation checks, and exception flags. For example, the system might extract a capital call amount, due date, fund name, investor entity, unfunded commitment, and bank instruction, then compare those fields against the existing fund master record. If the due date is close, the amount exceeds a materiality threshold, the bank account differs from prior notices, or the extracted values conflict with the commitment schedule, the system should escalate the item for human review.</w:t>
      </w:r>
    </w:p>
    <w:p w14:paraId="46DA9403" w14:textId="77777777" w:rsidR="00730BCB" w:rsidRDefault="00000000">
      <w:r>
        <w:t>This framing positions AI as an operating-layer tool. It can reduce manual entry and improve monitoring coverage, but it does not remove the need for analyst judgment, controller review, payment approval, or investment oversight. The dashboard should therefore present both portfolio insights and process controls: extracted data, source-document traceability, validation status, and unresolved exceptions.</w:t>
      </w:r>
    </w:p>
    <w:p w14:paraId="4A6D0A09" w14:textId="77777777" w:rsidR="00730BCB" w:rsidRDefault="00000000">
      <w:pPr>
        <w:pStyle w:val="ResourceLead"/>
      </w:pPr>
      <w:r>
        <w:t>Selected resources:</w:t>
      </w:r>
    </w:p>
    <w:p w14:paraId="5426D808" w14:textId="77777777" w:rsidR="00730BCB" w:rsidRDefault="00730BCB">
      <w:pPr>
        <w:pStyle w:val="ResourceBullet"/>
      </w:pPr>
      <w:hyperlink r:id="rId22">
        <w:r>
          <w:rPr>
            <w:color w:val="0563C1"/>
            <w:u w:val="single"/>
          </w:rPr>
          <w:t>Citi Institute - AI in the Family Office</w:t>
        </w:r>
      </w:hyperlink>
      <w:r>
        <w:t xml:space="preserve"> - identifies reporting, account reconciliation, and investment intelligence as common family office AI use cases while emphasizing strict data privacy.</w:t>
      </w:r>
    </w:p>
    <w:p w14:paraId="713A7FCC" w14:textId="77777777" w:rsidR="00730BCB" w:rsidRDefault="00730BCB">
      <w:pPr>
        <w:pStyle w:val="ResourceBullet"/>
      </w:pPr>
      <w:hyperlink r:id="rId23">
        <w:r>
          <w:rPr>
            <w:color w:val="0563C1"/>
            <w:u w:val="single"/>
          </w:rPr>
          <w:t>Citi Private Bank - AI in the Family Office: Navigating Privacy, Efficiency and Institutional Rigor</w:t>
        </w:r>
      </w:hyperlink>
      <w:r>
        <w:t xml:space="preserve"> - summarizes the balance between efficiency, privacy, and institutional-grade discipline in family office AI adoption.</w:t>
      </w:r>
    </w:p>
    <w:p w14:paraId="6C45AD97" w14:textId="77777777" w:rsidR="00730BCB" w:rsidRDefault="00730BCB">
      <w:pPr>
        <w:pStyle w:val="ResourceBullet"/>
      </w:pPr>
      <w:hyperlink r:id="rId24">
        <w:r>
          <w:rPr>
            <w:color w:val="0563C1"/>
            <w:u w:val="single"/>
          </w:rPr>
          <w:t>Simple - AI for Family Offices: Strategy &amp; Governance</w:t>
        </w:r>
      </w:hyperlink>
      <w:r>
        <w:t xml:space="preserve"> - discusses adoption barriers such as security, privacy, lack of tailored solutions, internal expertise, and messy data.</w:t>
      </w:r>
    </w:p>
    <w:p w14:paraId="48217D0E" w14:textId="77777777" w:rsidR="00730BCB" w:rsidRDefault="00730BCB">
      <w:pPr>
        <w:pStyle w:val="ResourceBullet"/>
      </w:pPr>
      <w:hyperlink r:id="rId25">
        <w:r>
          <w:rPr>
            <w:color w:val="0563C1"/>
            <w:u w:val="single"/>
          </w:rPr>
          <w:t>Carta - The End-to-End Suite Connecting Private Capital</w:t>
        </w:r>
      </w:hyperlink>
      <w:r>
        <w:t xml:space="preserve"> - provides a practitioner example of AI-enabled data automation in private capital workflows.</w:t>
      </w:r>
    </w:p>
    <w:p w14:paraId="47C75E06" w14:textId="77777777" w:rsidR="00730BCB" w:rsidRDefault="00000000">
      <w:pPr>
        <w:pStyle w:val="Heading2"/>
      </w:pPr>
      <w:r>
        <w:rPr>
          <w:rFonts w:ascii="Arial" w:eastAsia="SimSun" w:hAnsi="Arial" w:cs="Arial"/>
        </w:rPr>
        <w:lastRenderedPageBreak/>
        <w:t>2.5 Governance, Privacy, and Human Review</w:t>
      </w:r>
    </w:p>
    <w:p w14:paraId="466EE126" w14:textId="77777777" w:rsidR="00730BCB" w:rsidRDefault="00000000">
      <w:r>
        <w:t>Governance is a precondition for using AI in a family office environment. Family office data is highly sensitive: it may include net worth, bank accounts, entity structures, beneficiary information, tax data, legal documents, private investment positions, capital flows, and personal family information. Private market documents may also contain payment instructions, confidential fund economics, portfolio-company details, and non-public valuations.</w:t>
      </w:r>
    </w:p>
    <w:p w14:paraId="26C047E5" w14:textId="77777777" w:rsidR="00730BCB" w:rsidRDefault="00000000">
      <w:r>
        <w:t>The key risk is that automation can scale errors. Without controls, a misread field can become an incorrect dashboard number, a flawed liquidity forecast, or a payment-processing issue. For this reason, the workflow should include four layers of control. First, data governance should define source systems, field definitions, data lineage, version control, and ownership. Second, privacy and security should define permissions, encryption, data retention, vendor due diligence, and restrictions on sensitive-data exposure to external models. Third, human review should include maker-checker controls, materiality thresholds, exception queues, and approval logs. Fourth, model governance should include accuracy testing, prompt/output logging, hallucination controls, fallback processes, and periodic performance review.</w:t>
      </w:r>
    </w:p>
    <w:p w14:paraId="3992F4E8" w14:textId="77777777" w:rsidR="00730BCB" w:rsidRDefault="00000000">
      <w:r>
        <w:t>The proof-of-concept should explicitly state that the dashboard is decision-support infrastructure rather than an autonomous decision-maker. AI should accelerate the movement from documents to structured data, but final responsibility for payment, reporting, and investment interpretation remains with the family office team.</w:t>
      </w:r>
    </w:p>
    <w:p w14:paraId="55CA4484" w14:textId="77777777" w:rsidR="00730BCB" w:rsidRDefault="00000000">
      <w:pPr>
        <w:pStyle w:val="ResourceLead"/>
      </w:pPr>
      <w:r>
        <w:t>Selected resources:</w:t>
      </w:r>
    </w:p>
    <w:p w14:paraId="4BB36CCB" w14:textId="77777777" w:rsidR="00730BCB" w:rsidRDefault="00730BCB">
      <w:pPr>
        <w:pStyle w:val="ResourceBullet"/>
      </w:pPr>
      <w:hyperlink r:id="rId26">
        <w:r>
          <w:rPr>
            <w:color w:val="0563C1"/>
            <w:u w:val="single"/>
          </w:rPr>
          <w:t>NIST - AI Risk Management Framework</w:t>
        </w:r>
      </w:hyperlink>
      <w:r>
        <w:t xml:space="preserve"> - provides a framework for managing AI risks to individuals, organizations, and society.</w:t>
      </w:r>
    </w:p>
    <w:p w14:paraId="3D6196B7" w14:textId="77777777" w:rsidR="00730BCB" w:rsidRDefault="00730BCB">
      <w:pPr>
        <w:pStyle w:val="ResourceBullet"/>
      </w:pPr>
      <w:hyperlink r:id="rId27">
        <w:r>
          <w:rPr>
            <w:color w:val="0563C1"/>
            <w:u w:val="single"/>
          </w:rPr>
          <w:t>NIST - Artificial Intelligence Risk Management Framework (AI RMF 1.0)</w:t>
        </w:r>
      </w:hyperlink>
      <w:r>
        <w:t xml:space="preserve"> - details the govern, map, measure, and manage functions used for AI risk management.</w:t>
      </w:r>
    </w:p>
    <w:p w14:paraId="63DFC4B1" w14:textId="77777777" w:rsidR="00730BCB" w:rsidRDefault="00730BCB">
      <w:pPr>
        <w:pStyle w:val="ResourceBullet"/>
      </w:pPr>
      <w:hyperlink r:id="rId28">
        <w:r>
          <w:rPr>
            <w:color w:val="0563C1"/>
            <w:u w:val="single"/>
          </w:rPr>
          <w:t>OECD - AI Principles</w:t>
        </w:r>
      </w:hyperlink>
      <w:r>
        <w:t xml:space="preserve"> - sets out principles for innovative and trustworthy AI that respects human rights and democratic values.</w:t>
      </w:r>
    </w:p>
    <w:p w14:paraId="1A89AED1" w14:textId="77777777" w:rsidR="00730BCB" w:rsidRDefault="00730BCB">
      <w:pPr>
        <w:pStyle w:val="ResourceBullet"/>
      </w:pPr>
      <w:hyperlink r:id="rId29">
        <w:r>
          <w:rPr>
            <w:color w:val="0563C1"/>
            <w:u w:val="single"/>
          </w:rPr>
          <w:t>J.P. Morgan Private Bank - How much does AI already know about you and your family office?</w:t>
        </w:r>
      </w:hyperlink>
      <w:r>
        <w:t xml:space="preserve"> - highlights privacy and security risks when AI tools collect, store, connect, and infer sensitive information.</w:t>
      </w:r>
    </w:p>
    <w:p w14:paraId="2F044CB6" w14:textId="77777777" w:rsidR="00730BCB" w:rsidRDefault="00730BCB">
      <w:pPr>
        <w:pStyle w:val="ResourceBullet"/>
      </w:pPr>
      <w:hyperlink r:id="rId30">
        <w:r>
          <w:rPr>
            <w:color w:val="0563C1"/>
            <w:u w:val="single"/>
          </w:rPr>
          <w:t>Citi Institute - AI in the Family Office</w:t>
        </w:r>
      </w:hyperlink>
      <w:r>
        <w:t xml:space="preserve"> - emphasizes data security and privacy as central barriers to broader family office AI adoption.</w:t>
      </w:r>
    </w:p>
    <w:p w14:paraId="52FFB237" w14:textId="77777777" w:rsidR="00730BCB" w:rsidRDefault="00000000">
      <w:pPr>
        <w:pStyle w:val="Heading2"/>
      </w:pPr>
      <w:r>
        <w:rPr>
          <w:rFonts w:ascii="Arial" w:eastAsia="SimSun" w:hAnsi="Arial" w:cs="Arial"/>
        </w:rPr>
        <w:t>2.6 Implications for the Proof-of-Concept</w:t>
      </w:r>
    </w:p>
    <w:p w14:paraId="3664C87D" w14:textId="77777777" w:rsidR="00730BCB" w:rsidRDefault="00000000">
      <w:r>
        <w:t>The research supports a prototype that focuses on workflow design rather than a generic dashboard. The strongest proof-of-concept would show how a family office can move from fragmented documents to structured data, then from structured data to reporting, liquidity planning, and risk monitoring. The system should also show how governance controls are embedded in the workflow rather than added after the dashboard is built.</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620" w:firstRow="1" w:lastRow="0" w:firstColumn="0" w:lastColumn="0" w:noHBand="1" w:noVBand="1"/>
        <w:tblCellSpacing w:w="0" w:type="dxa"/>
      </w:tblPr>
      <w:tblGrid>
        <w:gridCol w:w="3264"/>
        <w:gridCol w:w="3264"/>
        <w:gridCol w:w="3264"/>
      </w:tblGrid>
      <w:tr w:rsidR="00730BCB" w14:paraId="33BCE90F" w14:textId="77777777">
        <w:trPr>
          <w:tblHeader/>
          <w:jc w:val="center"/>
        </w:trPr>
        <w:tc>
          <w:tcPr>
            <w:tcW w:w="3264" w:type="dxa"/>
            <w:shd w:val="clear" w:color="auto" w:fill="D9EAF7"/>
            <w:tcMar>
              <w:top w:w="100" w:type="dxa"/>
              <w:left w:w="105" w:type="dxa"/>
              <w:bottom w:w="100" w:type="dxa"/>
              <w:right w:w="105" w:type="dxa"/>
            </w:tcMar>
            <w:vAlign w:val="center"/>
          </w:tcPr>
          <w:p w14:paraId="536C3B73" w14:textId="77777777" w:rsidR="00730BCB" w:rsidRDefault="00000000">
            <w:pPr>
              <w:jc w:val="center"/>
            </w:pPr>
            <w:r>
              <w:rPr>
                <w:b/>
                <w:color w:val="000000"/>
                <w:sz w:val="19"/>
              </w:rPr>
              <w:t>Design implication</w:t>
            </w:r>
          </w:p>
        </w:tc>
        <w:tc>
          <w:tcPr>
            <w:tcW w:w="3264" w:type="dxa"/>
            <w:shd w:val="clear" w:color="auto" w:fill="D9EAF7"/>
            <w:tcMar>
              <w:top w:w="100" w:type="dxa"/>
              <w:left w:w="105" w:type="dxa"/>
              <w:bottom w:w="100" w:type="dxa"/>
              <w:right w:w="105" w:type="dxa"/>
            </w:tcMar>
            <w:vAlign w:val="center"/>
          </w:tcPr>
          <w:p w14:paraId="7A319506" w14:textId="77777777" w:rsidR="00730BCB" w:rsidRDefault="00000000">
            <w:pPr>
              <w:jc w:val="center"/>
            </w:pPr>
            <w:r>
              <w:rPr>
                <w:b/>
                <w:color w:val="000000"/>
                <w:sz w:val="19"/>
              </w:rPr>
              <w:t>Prototype feature</w:t>
            </w:r>
          </w:p>
        </w:tc>
        <w:tc>
          <w:tcPr>
            <w:tcW w:w="3264" w:type="dxa"/>
            <w:shd w:val="clear" w:color="auto" w:fill="D9EAF7"/>
            <w:tcMar>
              <w:top w:w="100" w:type="dxa"/>
              <w:left w:w="105" w:type="dxa"/>
              <w:bottom w:w="100" w:type="dxa"/>
              <w:right w:w="105" w:type="dxa"/>
            </w:tcMar>
            <w:vAlign w:val="center"/>
          </w:tcPr>
          <w:p w14:paraId="5B2EF6BF" w14:textId="77777777" w:rsidR="00730BCB" w:rsidRDefault="00000000">
            <w:pPr>
              <w:jc w:val="center"/>
            </w:pPr>
            <w:r>
              <w:rPr>
                <w:b/>
                <w:color w:val="000000"/>
                <w:sz w:val="19"/>
              </w:rPr>
              <w:t>Reasoning from research</w:t>
            </w:r>
          </w:p>
        </w:tc>
      </w:tr>
      <w:tr w:rsidR="00730BCB" w14:paraId="75E374BD" w14:textId="77777777">
        <w:trPr>
          <w:jc w:val="center"/>
        </w:trPr>
        <w:tc>
          <w:tcPr>
            <w:tcW w:w="3264" w:type="dxa"/>
            <w:shd w:val="clear" w:color="auto" w:fill="FFFFFF"/>
            <w:tcMar>
              <w:top w:w="100" w:type="dxa"/>
              <w:left w:w="105" w:type="dxa"/>
              <w:bottom w:w="100" w:type="dxa"/>
              <w:right w:w="105" w:type="dxa"/>
            </w:tcMar>
            <w:vAlign w:val="center"/>
          </w:tcPr>
          <w:p w14:paraId="7145BEF6" w14:textId="77777777" w:rsidR="00730BCB" w:rsidRDefault="00000000">
            <w:r>
              <w:rPr>
                <w:color w:val="000000"/>
                <w:sz w:val="19"/>
              </w:rPr>
              <w:t>Document-to-data workflow</w:t>
            </w:r>
          </w:p>
        </w:tc>
        <w:tc>
          <w:tcPr>
            <w:tcW w:w="3264" w:type="dxa"/>
            <w:shd w:val="clear" w:color="auto" w:fill="FFFFFF"/>
            <w:tcMar>
              <w:top w:w="100" w:type="dxa"/>
              <w:left w:w="105" w:type="dxa"/>
              <w:bottom w:w="100" w:type="dxa"/>
              <w:right w:w="105" w:type="dxa"/>
            </w:tcMar>
            <w:vAlign w:val="center"/>
          </w:tcPr>
          <w:p w14:paraId="1BBBCD65" w14:textId="77777777" w:rsidR="00730BCB" w:rsidRDefault="00000000">
            <w:r>
              <w:rPr>
                <w:color w:val="000000"/>
                <w:sz w:val="19"/>
              </w:rPr>
              <w:t>AI extraction from mock capital call / fund statement</w:t>
            </w:r>
          </w:p>
        </w:tc>
        <w:tc>
          <w:tcPr>
            <w:tcW w:w="3264" w:type="dxa"/>
            <w:shd w:val="clear" w:color="auto" w:fill="FFFFFF"/>
            <w:tcMar>
              <w:top w:w="100" w:type="dxa"/>
              <w:left w:w="105" w:type="dxa"/>
              <w:bottom w:w="100" w:type="dxa"/>
              <w:right w:w="105" w:type="dxa"/>
            </w:tcMar>
            <w:vAlign w:val="center"/>
          </w:tcPr>
          <w:p w14:paraId="0EC35012" w14:textId="77777777" w:rsidR="00730BCB" w:rsidRDefault="00000000">
            <w:r>
              <w:rPr>
                <w:color w:val="000000"/>
                <w:sz w:val="19"/>
              </w:rPr>
              <w:t>Private market reporting is document-driven and weakly standardized.</w:t>
            </w:r>
          </w:p>
        </w:tc>
      </w:tr>
      <w:tr w:rsidR="00730BCB" w14:paraId="039B6096" w14:textId="77777777">
        <w:trPr>
          <w:jc w:val="center"/>
        </w:trPr>
        <w:tc>
          <w:tcPr>
            <w:tcW w:w="3264" w:type="dxa"/>
            <w:shd w:val="clear" w:color="auto" w:fill="FFFFFF"/>
            <w:tcMar>
              <w:top w:w="100" w:type="dxa"/>
              <w:left w:w="105" w:type="dxa"/>
              <w:bottom w:w="100" w:type="dxa"/>
              <w:right w:w="105" w:type="dxa"/>
            </w:tcMar>
            <w:vAlign w:val="center"/>
          </w:tcPr>
          <w:p w14:paraId="32026B53" w14:textId="77777777" w:rsidR="00730BCB" w:rsidRDefault="00000000">
            <w:r>
              <w:rPr>
                <w:color w:val="000000"/>
                <w:sz w:val="19"/>
              </w:rPr>
              <w:t>Controlled data model</w:t>
            </w:r>
          </w:p>
        </w:tc>
        <w:tc>
          <w:tcPr>
            <w:tcW w:w="3264" w:type="dxa"/>
            <w:shd w:val="clear" w:color="auto" w:fill="FFFFFF"/>
            <w:tcMar>
              <w:top w:w="100" w:type="dxa"/>
              <w:left w:w="105" w:type="dxa"/>
              <w:bottom w:w="100" w:type="dxa"/>
              <w:right w:w="105" w:type="dxa"/>
            </w:tcMar>
            <w:vAlign w:val="center"/>
          </w:tcPr>
          <w:p w14:paraId="21DC21F3" w14:textId="77777777" w:rsidR="00730BCB" w:rsidRDefault="00000000">
            <w:r>
              <w:rPr>
                <w:color w:val="000000"/>
                <w:sz w:val="19"/>
              </w:rPr>
              <w:t>Structured portfolio, fund, cash flow, and commitment tables</w:t>
            </w:r>
          </w:p>
        </w:tc>
        <w:tc>
          <w:tcPr>
            <w:tcW w:w="3264" w:type="dxa"/>
            <w:shd w:val="clear" w:color="auto" w:fill="FFFFFF"/>
            <w:tcMar>
              <w:top w:w="100" w:type="dxa"/>
              <w:left w:w="105" w:type="dxa"/>
              <w:bottom w:w="100" w:type="dxa"/>
              <w:right w:w="105" w:type="dxa"/>
            </w:tcMar>
            <w:vAlign w:val="center"/>
          </w:tcPr>
          <w:p w14:paraId="150F361B" w14:textId="77777777" w:rsidR="00730BCB" w:rsidRDefault="00000000">
            <w:r>
              <w:rPr>
                <w:color w:val="000000"/>
                <w:sz w:val="19"/>
              </w:rPr>
              <w:t>Family office reporting requires reconciled, multi-entity, multi-asset data.</w:t>
            </w:r>
          </w:p>
        </w:tc>
      </w:tr>
      <w:tr w:rsidR="00730BCB" w14:paraId="5DFBBA67" w14:textId="77777777">
        <w:trPr>
          <w:jc w:val="center"/>
        </w:trPr>
        <w:tc>
          <w:tcPr>
            <w:tcW w:w="3264" w:type="dxa"/>
            <w:shd w:val="clear" w:color="auto" w:fill="FFFFFF"/>
            <w:tcMar>
              <w:top w:w="100" w:type="dxa"/>
              <w:left w:w="105" w:type="dxa"/>
              <w:bottom w:w="100" w:type="dxa"/>
              <w:right w:w="105" w:type="dxa"/>
            </w:tcMar>
            <w:vAlign w:val="center"/>
          </w:tcPr>
          <w:p w14:paraId="7AD5057F" w14:textId="77777777" w:rsidR="00730BCB" w:rsidRDefault="00000000">
            <w:r>
              <w:rPr>
                <w:color w:val="000000"/>
                <w:sz w:val="19"/>
              </w:rPr>
              <w:t>Liquidity visibility</w:t>
            </w:r>
          </w:p>
        </w:tc>
        <w:tc>
          <w:tcPr>
            <w:tcW w:w="3264" w:type="dxa"/>
            <w:shd w:val="clear" w:color="auto" w:fill="FFFFFF"/>
            <w:tcMar>
              <w:top w:w="100" w:type="dxa"/>
              <w:left w:w="105" w:type="dxa"/>
              <w:bottom w:w="100" w:type="dxa"/>
              <w:right w:w="105" w:type="dxa"/>
            </w:tcMar>
            <w:vAlign w:val="center"/>
          </w:tcPr>
          <w:p w14:paraId="5940E361" w14:textId="77777777" w:rsidR="00730BCB" w:rsidRDefault="00000000">
            <w:r>
              <w:rPr>
                <w:color w:val="000000"/>
                <w:sz w:val="19"/>
              </w:rPr>
              <w:t>Capital call calendar, unfunded commitment view, cash runway indicators</w:t>
            </w:r>
          </w:p>
        </w:tc>
        <w:tc>
          <w:tcPr>
            <w:tcW w:w="3264" w:type="dxa"/>
            <w:shd w:val="clear" w:color="auto" w:fill="FFFFFF"/>
            <w:tcMar>
              <w:top w:w="100" w:type="dxa"/>
              <w:left w:w="105" w:type="dxa"/>
              <w:bottom w:w="100" w:type="dxa"/>
              <w:right w:w="105" w:type="dxa"/>
            </w:tcMar>
            <w:vAlign w:val="center"/>
          </w:tcPr>
          <w:p w14:paraId="295FDF06" w14:textId="77777777" w:rsidR="00730BCB" w:rsidRDefault="00000000">
            <w:r>
              <w:rPr>
                <w:color w:val="000000"/>
                <w:sz w:val="19"/>
              </w:rPr>
              <w:t>Capital calls and distributions directly affect cash planning.</w:t>
            </w:r>
          </w:p>
        </w:tc>
      </w:tr>
      <w:tr w:rsidR="00730BCB" w14:paraId="0734C959" w14:textId="77777777">
        <w:trPr>
          <w:jc w:val="center"/>
        </w:trPr>
        <w:tc>
          <w:tcPr>
            <w:tcW w:w="3264" w:type="dxa"/>
            <w:shd w:val="clear" w:color="auto" w:fill="FFFFFF"/>
            <w:tcMar>
              <w:top w:w="100" w:type="dxa"/>
              <w:left w:w="105" w:type="dxa"/>
              <w:bottom w:w="100" w:type="dxa"/>
              <w:right w:w="105" w:type="dxa"/>
            </w:tcMar>
            <w:vAlign w:val="center"/>
          </w:tcPr>
          <w:p w14:paraId="1D2AD75D" w14:textId="77777777" w:rsidR="00730BCB" w:rsidRDefault="00000000">
            <w:r>
              <w:rPr>
                <w:color w:val="000000"/>
                <w:sz w:val="19"/>
              </w:rPr>
              <w:t>Risk monitoring</w:t>
            </w:r>
          </w:p>
        </w:tc>
        <w:tc>
          <w:tcPr>
            <w:tcW w:w="3264" w:type="dxa"/>
            <w:shd w:val="clear" w:color="auto" w:fill="FFFFFF"/>
            <w:tcMar>
              <w:top w:w="100" w:type="dxa"/>
              <w:left w:w="105" w:type="dxa"/>
              <w:bottom w:w="100" w:type="dxa"/>
              <w:right w:w="105" w:type="dxa"/>
            </w:tcMar>
            <w:vAlign w:val="center"/>
          </w:tcPr>
          <w:p w14:paraId="0F94CB60" w14:textId="77777777" w:rsidR="00730BCB" w:rsidRDefault="00000000">
            <w:r>
              <w:rPr>
                <w:color w:val="000000"/>
                <w:sz w:val="19"/>
              </w:rPr>
              <w:t>Public market indicators and private market exposure dashboard</w:t>
            </w:r>
          </w:p>
        </w:tc>
        <w:tc>
          <w:tcPr>
            <w:tcW w:w="3264" w:type="dxa"/>
            <w:shd w:val="clear" w:color="auto" w:fill="FFFFFF"/>
            <w:tcMar>
              <w:top w:w="100" w:type="dxa"/>
              <w:left w:w="105" w:type="dxa"/>
              <w:bottom w:w="100" w:type="dxa"/>
              <w:right w:w="105" w:type="dxa"/>
            </w:tcMar>
            <w:vAlign w:val="center"/>
          </w:tcPr>
          <w:p w14:paraId="5A4AEB61" w14:textId="77777777" w:rsidR="00730BCB" w:rsidRDefault="00000000">
            <w:r>
              <w:rPr>
                <w:color w:val="000000"/>
                <w:sz w:val="19"/>
              </w:rPr>
              <w:t>Private market NAVs are lagged and need supplementary monitoring context.</w:t>
            </w:r>
          </w:p>
        </w:tc>
      </w:tr>
      <w:tr w:rsidR="00730BCB" w14:paraId="6BEE67E4" w14:textId="77777777">
        <w:trPr>
          <w:jc w:val="center"/>
        </w:trPr>
        <w:tc>
          <w:tcPr>
            <w:tcW w:w="3264" w:type="dxa"/>
            <w:shd w:val="clear" w:color="auto" w:fill="FFFFFF"/>
            <w:tcMar>
              <w:top w:w="100" w:type="dxa"/>
              <w:left w:w="105" w:type="dxa"/>
              <w:bottom w:w="100" w:type="dxa"/>
              <w:right w:w="105" w:type="dxa"/>
            </w:tcMar>
            <w:vAlign w:val="center"/>
          </w:tcPr>
          <w:p w14:paraId="0F1D1E65" w14:textId="77777777" w:rsidR="00730BCB" w:rsidRDefault="00000000">
            <w:r>
              <w:rPr>
                <w:color w:val="000000"/>
                <w:sz w:val="19"/>
              </w:rPr>
              <w:t>Human-in-the-loop controls</w:t>
            </w:r>
          </w:p>
        </w:tc>
        <w:tc>
          <w:tcPr>
            <w:tcW w:w="3264" w:type="dxa"/>
            <w:shd w:val="clear" w:color="auto" w:fill="FFFFFF"/>
            <w:tcMar>
              <w:top w:w="100" w:type="dxa"/>
              <w:left w:w="105" w:type="dxa"/>
              <w:bottom w:w="100" w:type="dxa"/>
              <w:right w:w="105" w:type="dxa"/>
            </w:tcMar>
            <w:vAlign w:val="center"/>
          </w:tcPr>
          <w:p w14:paraId="6B23D1F8" w14:textId="77777777" w:rsidR="00730BCB" w:rsidRDefault="00000000">
            <w:r>
              <w:rPr>
                <w:color w:val="000000"/>
                <w:sz w:val="19"/>
              </w:rPr>
              <w:t>Exception queue, confidence score, source-document link, approval status</w:t>
            </w:r>
          </w:p>
        </w:tc>
        <w:tc>
          <w:tcPr>
            <w:tcW w:w="3264" w:type="dxa"/>
            <w:shd w:val="clear" w:color="auto" w:fill="FFFFFF"/>
            <w:tcMar>
              <w:top w:w="100" w:type="dxa"/>
              <w:left w:w="105" w:type="dxa"/>
              <w:bottom w:w="100" w:type="dxa"/>
              <w:right w:w="105" w:type="dxa"/>
            </w:tcMar>
            <w:vAlign w:val="center"/>
          </w:tcPr>
          <w:p w14:paraId="583B09A8" w14:textId="77777777" w:rsidR="00730BCB" w:rsidRDefault="00000000">
            <w:r>
              <w:rPr>
                <w:color w:val="000000"/>
                <w:sz w:val="19"/>
              </w:rPr>
              <w:t>AI reduces manual work but cannot safely replace review and approval.</w:t>
            </w:r>
          </w:p>
        </w:tc>
      </w:tr>
    </w:tbl>
    <w:p w14:paraId="34148B51" w14:textId="77777777" w:rsidR="00730BCB" w:rsidRDefault="00000000">
      <w:pPr>
        <w:pStyle w:val="Heading2"/>
      </w:pPr>
      <w:r>
        <w:rPr>
          <w:rFonts w:ascii="Arial" w:eastAsia="SimSun" w:hAnsi="Arial" w:cs="Arial"/>
        </w:rPr>
        <w:lastRenderedPageBreak/>
        <w:t>2.7 Research Conclusion</w:t>
      </w:r>
    </w:p>
    <w:p w14:paraId="13317513" w14:textId="77777777" w:rsidR="0005241A" w:rsidRDefault="00000000">
      <w:r>
        <w:t>The central problem in family office and private market reporting is not the absence of charts; it is the fragmentation of source documents, portfolio data, cash-flow records, entity structures, and reporting definitions. Capital calls, distribution notices, and fund statements are difficult because they combine non-standard documents with cash management, accounting, valuation, performance, and compliance workflows. AI can create value by extracting and organizing information more efficiently, but the workflow is only credible if it includes data governance, privacy controls, source traceability, and human review.</w:t>
      </w:r>
    </w:p>
    <w:p w14:paraId="6B651ACA" w14:textId="77777777" w:rsidR="0005241A" w:rsidRDefault="0005241A">
      <w:pPr>
        <w:spacing w:after="200"/>
      </w:pPr>
      <w:r>
        <w:br w:type="page"/>
      </w:r>
    </w:p>
    <w:p w14:paraId="20C19CC3" w14:textId="77777777" w:rsidR="00730BCB" w:rsidRDefault="00730BCB"/>
    <w:p w14:paraId="3EA7B58A" w14:textId="77777777" w:rsidR="006A4D66" w:rsidRDefault="00000000">
      <w:pPr>
        <w:pStyle w:val="Heading2"/>
      </w:pPr>
      <w:r>
        <w:t>2.8 Research Findings Translated into Project Design</w:t>
      </w:r>
    </w:p>
    <w:p w14:paraId="42EC3AA9" w14:textId="77777777" w:rsidR="006A4D66" w:rsidRDefault="00000000">
      <w:pPr>
        <w:spacing w:after="100" w:line="259" w:lineRule="auto"/>
      </w:pPr>
      <w:r>
        <w:rPr>
          <w:rFonts w:ascii="Aptos" w:hAnsi="Aptos"/>
          <w:color w:val="1F1F1F"/>
          <w:sz w:val="20"/>
        </w:rPr>
        <w:t>The research did not remain a background exercise. Each recurring reporting problem was converted into a specific design decision and a testable control in the proof of concept.</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3024"/>
        <w:gridCol w:w="3528"/>
        <w:gridCol w:w="3600"/>
        <w:gridCol w:w="15"/>
      </w:tblGrid>
      <w:tr w:rsidR="006A4D66" w14:paraId="56376181" w14:textId="77777777">
        <w:trPr>
          <w:tblHeader/>
          <w:jc w:val="center"/>
        </w:trPr>
        <w:tc>
          <w:tcPr>
            <w:tcW w:w="3024" w:type="dxa"/>
            <w:shd w:val="clear" w:color="auto" w:fill="D9EAF7"/>
            <w:tcMar>
              <w:top w:w="100" w:type="dxa"/>
              <w:left w:w="105" w:type="dxa"/>
              <w:bottom w:w="100" w:type="dxa"/>
              <w:right w:w="105" w:type="dxa"/>
            </w:tcMar>
            <w:vAlign w:val="center"/>
          </w:tcPr>
          <w:p w14:paraId="7B9342D4" w14:textId="77777777" w:rsidR="006A4D66" w:rsidRDefault="00000000">
            <w:pPr>
              <w:jc w:val="center"/>
            </w:pPr>
            <w:r>
              <w:rPr>
                <w:b/>
                <w:color w:val="000000"/>
                <w:sz w:val="19"/>
              </w:rPr>
              <w:t>Research finding</w:t>
            </w:r>
          </w:p>
        </w:tc>
        <w:tc>
          <w:tcPr>
            <w:tcW w:w="3528" w:type="dxa"/>
            <w:shd w:val="clear" w:color="auto" w:fill="D9EAF7"/>
            <w:tcMar>
              <w:top w:w="100" w:type="dxa"/>
              <w:left w:w="105" w:type="dxa"/>
              <w:bottom w:w="100" w:type="dxa"/>
              <w:right w:w="105" w:type="dxa"/>
            </w:tcMar>
            <w:vAlign w:val="center"/>
          </w:tcPr>
          <w:p w14:paraId="5B77AC42" w14:textId="77777777" w:rsidR="006A4D66" w:rsidRDefault="00000000">
            <w:pPr>
              <w:jc w:val="center"/>
            </w:pPr>
            <w:r>
              <w:rPr>
                <w:b/>
                <w:color w:val="000000"/>
                <w:sz w:val="19"/>
              </w:rPr>
              <w:t>Design response</w:t>
            </w:r>
          </w:p>
        </w:tc>
        <w:tc>
          <w:tcPr>
            <w:tcW w:w="3600" w:type="dxa"/>
            <w:gridSpan w:val="2"/>
            <w:shd w:val="clear" w:color="auto" w:fill="D9EAF7"/>
            <w:tcMar>
              <w:top w:w="100" w:type="dxa"/>
              <w:left w:w="105" w:type="dxa"/>
              <w:bottom w:w="100" w:type="dxa"/>
              <w:right w:w="105" w:type="dxa"/>
            </w:tcMar>
            <w:vAlign w:val="center"/>
          </w:tcPr>
          <w:p w14:paraId="191859BD" w14:textId="77777777" w:rsidR="006A4D66" w:rsidRDefault="00000000">
            <w:pPr>
              <w:jc w:val="center"/>
            </w:pPr>
            <w:r>
              <w:rPr>
                <w:b/>
                <w:color w:val="000000"/>
                <w:sz w:val="19"/>
              </w:rPr>
              <w:t>Demonstrated evidence</w:t>
            </w:r>
          </w:p>
        </w:tc>
      </w:tr>
      <w:tr w:rsidR="006A4D66" w14:paraId="3A784DA3" w14:textId="77777777">
        <w:trPr>
          <w:jc w:val="center"/>
        </w:trPr>
        <w:tc>
          <w:tcPr>
            <w:tcW w:w="3024" w:type="dxa"/>
            <w:shd w:val="clear" w:color="auto" w:fill="FFFFFF"/>
            <w:tcMar>
              <w:top w:w="100" w:type="dxa"/>
              <w:left w:w="105" w:type="dxa"/>
              <w:bottom w:w="100" w:type="dxa"/>
              <w:right w:w="105" w:type="dxa"/>
            </w:tcMar>
            <w:vAlign w:val="center"/>
          </w:tcPr>
          <w:p w14:paraId="25A47465" w14:textId="77777777" w:rsidR="006A4D66" w:rsidRDefault="00000000">
            <w:r>
              <w:rPr>
                <w:color w:val="000000"/>
                <w:sz w:val="19"/>
              </w:rPr>
              <w:t>Private-market information arrives in unstructured, manager-specific documents.</w:t>
            </w:r>
          </w:p>
        </w:tc>
        <w:tc>
          <w:tcPr>
            <w:tcW w:w="3528" w:type="dxa"/>
            <w:shd w:val="clear" w:color="auto" w:fill="FFFFFF"/>
            <w:tcMar>
              <w:top w:w="100" w:type="dxa"/>
              <w:left w:w="105" w:type="dxa"/>
              <w:bottom w:w="100" w:type="dxa"/>
              <w:right w:w="105" w:type="dxa"/>
            </w:tcMar>
            <w:vAlign w:val="center"/>
          </w:tcPr>
          <w:p w14:paraId="31121B10" w14:textId="77777777" w:rsidR="006A4D66" w:rsidRDefault="00000000">
            <w:r>
              <w:rPr>
                <w:color w:val="000000"/>
                <w:sz w:val="19"/>
              </w:rPr>
              <w:t>Document classification plus document-type schemas for capital calls, distributions, capital-account statements, and newsletters.</w:t>
            </w:r>
          </w:p>
        </w:tc>
        <w:tc>
          <w:tcPr>
            <w:tcW w:w="3600" w:type="dxa"/>
            <w:gridSpan w:val="2"/>
            <w:shd w:val="clear" w:color="auto" w:fill="FFFFFF"/>
            <w:tcMar>
              <w:top w:w="100" w:type="dxa"/>
              <w:left w:w="105" w:type="dxa"/>
              <w:bottom w:w="100" w:type="dxa"/>
              <w:right w:w="105" w:type="dxa"/>
            </w:tcMar>
            <w:vAlign w:val="center"/>
          </w:tcPr>
          <w:p w14:paraId="1EA4FC85" w14:textId="77777777" w:rsidR="006A4D66" w:rsidRDefault="00000000">
            <w:r>
              <w:rPr>
                <w:color w:val="000000"/>
                <w:sz w:val="19"/>
              </w:rPr>
              <w:t>Six heterogeneous mock PDFs are routed into structured JSON outputs.</w:t>
            </w:r>
          </w:p>
        </w:tc>
      </w:tr>
      <w:tr w:rsidR="006A4D66" w14:paraId="5EC3EA40" w14:textId="77777777">
        <w:trPr>
          <w:jc w:val="center"/>
        </w:trPr>
        <w:tc>
          <w:tcPr>
            <w:tcW w:w="3024" w:type="dxa"/>
            <w:shd w:val="clear" w:color="auto" w:fill="FFFFFF"/>
            <w:tcMar>
              <w:top w:w="100" w:type="dxa"/>
              <w:left w:w="105" w:type="dxa"/>
              <w:bottom w:w="100" w:type="dxa"/>
              <w:right w:w="105" w:type="dxa"/>
            </w:tcMar>
            <w:vAlign w:val="center"/>
          </w:tcPr>
          <w:p w14:paraId="34473F75" w14:textId="77777777" w:rsidR="006A4D66" w:rsidRDefault="00000000">
            <w:r>
              <w:rPr>
                <w:color w:val="000000"/>
                <w:sz w:val="19"/>
              </w:rPr>
              <w:t>Manual keying creates transcription risk and weak source-to-report lineage.</w:t>
            </w:r>
          </w:p>
        </w:tc>
        <w:tc>
          <w:tcPr>
            <w:tcW w:w="3528" w:type="dxa"/>
            <w:shd w:val="clear" w:color="auto" w:fill="FFFFFF"/>
            <w:tcMar>
              <w:top w:w="100" w:type="dxa"/>
              <w:left w:w="105" w:type="dxa"/>
              <w:bottom w:w="100" w:type="dxa"/>
              <w:right w:w="105" w:type="dxa"/>
            </w:tcMar>
            <w:vAlign w:val="center"/>
          </w:tcPr>
          <w:p w14:paraId="2C5A2BCB" w14:textId="77777777" w:rsidR="006A4D66" w:rsidRDefault="00000000">
            <w:r>
              <w:rPr>
                <w:color w:val="000000"/>
                <w:sz w:val="19"/>
              </w:rPr>
              <w:t>Persisted extraction records, validation results, review status, and document identifiers.</w:t>
            </w:r>
          </w:p>
        </w:tc>
        <w:tc>
          <w:tcPr>
            <w:tcW w:w="3600" w:type="dxa"/>
            <w:gridSpan w:val="2"/>
            <w:shd w:val="clear" w:color="auto" w:fill="FFFFFF"/>
            <w:tcMar>
              <w:top w:w="100" w:type="dxa"/>
              <w:left w:w="105" w:type="dxa"/>
              <w:bottom w:w="100" w:type="dxa"/>
              <w:right w:w="105" w:type="dxa"/>
            </w:tcMar>
            <w:vAlign w:val="center"/>
          </w:tcPr>
          <w:p w14:paraId="1A4EDEBE" w14:textId="77777777" w:rsidR="006A4D66" w:rsidRDefault="00000000">
            <w:r>
              <w:rPr>
                <w:color w:val="000000"/>
                <w:sz w:val="19"/>
              </w:rPr>
              <w:t>Each document remains traceable through extraction, review, and application status.</w:t>
            </w:r>
          </w:p>
        </w:tc>
      </w:tr>
      <w:tr w:rsidR="006A4D66" w14:paraId="0D0F592C" w14:textId="77777777">
        <w:trPr>
          <w:jc w:val="center"/>
        </w:trPr>
        <w:tc>
          <w:tcPr>
            <w:tcW w:w="3024" w:type="dxa"/>
            <w:shd w:val="clear" w:color="auto" w:fill="FFFFFF"/>
            <w:tcMar>
              <w:top w:w="100" w:type="dxa"/>
              <w:left w:w="105" w:type="dxa"/>
              <w:bottom w:w="100" w:type="dxa"/>
              <w:right w:w="105" w:type="dxa"/>
            </w:tcMar>
            <w:vAlign w:val="center"/>
          </w:tcPr>
          <w:p w14:paraId="1CFE812E" w14:textId="77777777" w:rsidR="006A4D66" w:rsidRDefault="00000000">
            <w:r>
              <w:rPr>
                <w:color w:val="000000"/>
                <w:sz w:val="19"/>
              </w:rPr>
              <w:t>A single ambiguous field can make an otherwise readable document unsafe to post.</w:t>
            </w:r>
          </w:p>
        </w:tc>
        <w:tc>
          <w:tcPr>
            <w:tcW w:w="3528" w:type="dxa"/>
            <w:shd w:val="clear" w:color="auto" w:fill="FFFFFF"/>
            <w:tcMar>
              <w:top w:w="100" w:type="dxa"/>
              <w:left w:w="105" w:type="dxa"/>
              <w:bottom w:w="100" w:type="dxa"/>
              <w:right w:w="105" w:type="dxa"/>
            </w:tcMar>
            <w:vAlign w:val="center"/>
          </w:tcPr>
          <w:p w14:paraId="6AAE72B6" w14:textId="77777777" w:rsidR="006A4D66" w:rsidRDefault="00000000">
            <w:r>
              <w:rPr>
                <w:color w:val="000000"/>
                <w:sz w:val="19"/>
              </w:rPr>
              <w:t>Field-level rules, cross-field checks, and status roll-up to approved, needs review, or rejected.</w:t>
            </w:r>
          </w:p>
        </w:tc>
        <w:tc>
          <w:tcPr>
            <w:tcW w:w="3600" w:type="dxa"/>
            <w:gridSpan w:val="2"/>
            <w:shd w:val="clear" w:color="auto" w:fill="FFFFFF"/>
            <w:tcMar>
              <w:top w:w="100" w:type="dxa"/>
              <w:left w:w="105" w:type="dxa"/>
              <w:bottom w:w="100" w:type="dxa"/>
              <w:right w:w="105" w:type="dxa"/>
            </w:tcMar>
            <w:vAlign w:val="center"/>
          </w:tcPr>
          <w:p w14:paraId="4173A861" w14:textId="77777777" w:rsidR="006A4D66" w:rsidRDefault="00000000">
            <w:r>
              <w:rPr>
                <w:color w:val="000000"/>
                <w:sz w:val="19"/>
              </w:rPr>
              <w:t>Two documents remain in review and one is rejected rather than being forced into the portfolio.</w:t>
            </w:r>
          </w:p>
        </w:tc>
      </w:tr>
      <w:tr w:rsidR="006A4D66" w14:paraId="1A56B4D7" w14:textId="77777777">
        <w:trPr>
          <w:jc w:val="center"/>
        </w:trPr>
        <w:tc>
          <w:tcPr>
            <w:tcW w:w="3024" w:type="dxa"/>
            <w:shd w:val="clear" w:color="auto" w:fill="FFFFFF"/>
            <w:tcMar>
              <w:top w:w="100" w:type="dxa"/>
              <w:left w:w="105" w:type="dxa"/>
              <w:bottom w:w="100" w:type="dxa"/>
              <w:right w:w="105" w:type="dxa"/>
            </w:tcMar>
            <w:vAlign w:val="center"/>
          </w:tcPr>
          <w:p w14:paraId="20DCAED9" w14:textId="77777777" w:rsidR="006A4D66" w:rsidRDefault="00000000">
            <w:r>
              <w:rPr>
                <w:color w:val="000000"/>
                <w:sz w:val="19"/>
              </w:rPr>
              <w:t>Cash planning must distinguish booked balances from expected calls and distributions.</w:t>
            </w:r>
          </w:p>
        </w:tc>
        <w:tc>
          <w:tcPr>
            <w:tcW w:w="3528" w:type="dxa"/>
            <w:shd w:val="clear" w:color="auto" w:fill="FFFFFF"/>
            <w:tcMar>
              <w:top w:w="100" w:type="dxa"/>
              <w:left w:w="105" w:type="dxa"/>
              <w:bottom w:w="100" w:type="dxa"/>
              <w:right w:w="105" w:type="dxa"/>
            </w:tcMar>
            <w:vAlign w:val="center"/>
          </w:tcPr>
          <w:p w14:paraId="4D2C87B5" w14:textId="77777777" w:rsidR="006A4D66" w:rsidRDefault="00000000">
            <w:r>
              <w:rPr>
                <w:color w:val="000000"/>
                <w:sz w:val="19"/>
              </w:rPr>
              <w:t>Separate official baseline cash, projected approved flows, and updated overlay views.</w:t>
            </w:r>
          </w:p>
        </w:tc>
        <w:tc>
          <w:tcPr>
            <w:tcW w:w="3600" w:type="dxa"/>
            <w:gridSpan w:val="2"/>
            <w:shd w:val="clear" w:color="auto" w:fill="FFFFFF"/>
            <w:tcMar>
              <w:top w:w="100" w:type="dxa"/>
              <w:left w:w="105" w:type="dxa"/>
              <w:bottom w:w="100" w:type="dxa"/>
              <w:right w:w="105" w:type="dxa"/>
            </w:tcMar>
            <w:vAlign w:val="center"/>
          </w:tcPr>
          <w:p w14:paraId="405F1288" w14:textId="77777777" w:rsidR="006A4D66" w:rsidRDefault="00000000">
            <w:r>
              <w:rPr>
                <w:color w:val="000000"/>
                <w:sz w:val="19"/>
              </w:rPr>
              <w:t>The approved Harbor Peak distribution appears as a projected USD 3.1 million inflow without rewriting April booked cash.</w:t>
            </w:r>
          </w:p>
        </w:tc>
      </w:tr>
      <w:tr w:rsidR="006A4D66" w14:paraId="0E4F7253" w14:textId="77777777">
        <w:trPr>
          <w:jc w:val="center"/>
        </w:trPr>
        <w:tc>
          <w:tcPr>
            <w:tcW w:w="3024" w:type="dxa"/>
            <w:shd w:val="clear" w:color="auto" w:fill="FFFFFF"/>
            <w:tcMar>
              <w:top w:w="100" w:type="dxa"/>
              <w:left w:w="105" w:type="dxa"/>
              <w:bottom w:w="100" w:type="dxa"/>
              <w:right w:w="105" w:type="dxa"/>
            </w:tcMar>
            <w:vAlign w:val="center"/>
          </w:tcPr>
          <w:p w14:paraId="0B644FE2" w14:textId="77777777" w:rsidR="006A4D66" w:rsidRDefault="00000000">
            <w:r>
              <w:rPr>
                <w:color w:val="000000"/>
                <w:sz w:val="19"/>
              </w:rPr>
              <w:t>Decision makers need portfolio context, while operators need process control.</w:t>
            </w:r>
          </w:p>
        </w:tc>
        <w:tc>
          <w:tcPr>
            <w:tcW w:w="3528" w:type="dxa"/>
            <w:shd w:val="clear" w:color="auto" w:fill="FFFFFF"/>
            <w:tcMar>
              <w:top w:w="100" w:type="dxa"/>
              <w:left w:w="105" w:type="dxa"/>
              <w:bottom w:w="100" w:type="dxa"/>
              <w:right w:w="105" w:type="dxa"/>
            </w:tcMar>
            <w:vAlign w:val="center"/>
          </w:tcPr>
          <w:p w14:paraId="22595849" w14:textId="77777777" w:rsidR="006A4D66" w:rsidRDefault="00000000">
            <w:r>
              <w:rPr>
                <w:color w:val="000000"/>
                <w:sz w:val="19"/>
              </w:rPr>
              <w:t>Portfolio-first dashboard pages plus a dedicated Workflow &amp; Controls page.</w:t>
            </w:r>
          </w:p>
        </w:tc>
        <w:tc>
          <w:tcPr>
            <w:tcW w:w="3600" w:type="dxa"/>
            <w:gridSpan w:val="2"/>
            <w:shd w:val="clear" w:color="auto" w:fill="FFFFFF"/>
            <w:tcMar>
              <w:top w:w="100" w:type="dxa"/>
              <w:left w:w="105" w:type="dxa"/>
              <w:bottom w:w="100" w:type="dxa"/>
              <w:right w:w="105" w:type="dxa"/>
            </w:tcMar>
            <w:vAlign w:val="center"/>
          </w:tcPr>
          <w:p w14:paraId="589CB16C" w14:textId="77777777" w:rsidR="006A4D66" w:rsidRDefault="00000000">
            <w:r>
              <w:rPr>
                <w:color w:val="000000"/>
                <w:sz w:val="19"/>
              </w:rPr>
              <w:t>CIO, analyst, and operations views are supported without mixing unresolved events into official holdings.</w:t>
            </w:r>
          </w:p>
        </w:tc>
      </w:tr>
      <w:tr w:rsidR="006A4D66" w14:paraId="11786353" w14:textId="77777777">
        <w:trPr>
          <w:jc w:val="center"/>
        </w:trPr>
        <w:tc>
          <w:tcPr>
            <w:tcW w:w="3024" w:type="dxa"/>
            <w:shd w:val="clear" w:color="auto" w:fill="FFFFFF"/>
            <w:tcMar>
              <w:top w:w="100" w:type="dxa"/>
              <w:left w:w="105" w:type="dxa"/>
              <w:bottom w:w="100" w:type="dxa"/>
              <w:right w:w="105" w:type="dxa"/>
            </w:tcMar>
            <w:vAlign w:val="center"/>
          </w:tcPr>
          <w:p w14:paraId="18E197D2" w14:textId="77777777" w:rsidR="006A4D66" w:rsidRDefault="00000000">
            <w:r>
              <w:rPr>
                <w:color w:val="000000"/>
                <w:sz w:val="19"/>
              </w:rPr>
              <w:t>AI adoption in a family office requires human oversight and privacy controls.</w:t>
            </w:r>
          </w:p>
        </w:tc>
        <w:tc>
          <w:tcPr>
            <w:tcW w:w="3528" w:type="dxa"/>
            <w:shd w:val="clear" w:color="auto" w:fill="FFFFFF"/>
            <w:tcMar>
              <w:top w:w="100" w:type="dxa"/>
              <w:left w:w="105" w:type="dxa"/>
              <w:bottom w:w="100" w:type="dxa"/>
              <w:right w:w="105" w:type="dxa"/>
            </w:tcMar>
            <w:vAlign w:val="center"/>
          </w:tcPr>
          <w:p w14:paraId="218A1993" w14:textId="77777777" w:rsidR="006A4D66" w:rsidRDefault="00000000">
            <w:r>
              <w:rPr>
                <w:color w:val="000000"/>
                <w:sz w:val="19"/>
              </w:rPr>
              <w:t>Deterministic baseline for the standard demo, optional LLM mode, human review gates, and synthetic-only data.</w:t>
            </w:r>
          </w:p>
        </w:tc>
        <w:tc>
          <w:tcPr>
            <w:tcW w:w="3600" w:type="dxa"/>
            <w:gridSpan w:val="2"/>
            <w:shd w:val="clear" w:color="auto" w:fill="FFFFFF"/>
            <w:tcMar>
              <w:top w:w="100" w:type="dxa"/>
              <w:left w:w="105" w:type="dxa"/>
              <w:bottom w:w="100" w:type="dxa"/>
              <w:right w:w="105" w:type="dxa"/>
            </w:tcMar>
            <w:vAlign w:val="center"/>
          </w:tcPr>
          <w:p w14:paraId="4A03DE6A" w14:textId="77777777" w:rsidR="006A4D66" w:rsidRDefault="00000000">
            <w:r>
              <w:rPr>
                <w:color w:val="000000"/>
                <w:sz w:val="19"/>
              </w:rPr>
              <w:t>The demo does not require an API key and no real family-office data is stored in the repository.</w:t>
            </w:r>
          </w:p>
        </w:tc>
      </w:tr>
      <w:tr w:rsidR="006A4D66" w14:paraId="24EFDA55" w14:textId="77777777">
        <w:trPr>
          <w:gridAfter w:val="1"/>
          <w:wAfter w:w="15" w:type="dxa"/>
          <w:jc w:val="center"/>
        </w:trPr>
        <w:tc>
          <w:tcPr>
            <w:tcW w:w="10152" w:type="dxa"/>
            <w:gridSpan w:val="3"/>
            <w:shd w:val="clear" w:color="auto" w:fill="D9EAF7"/>
            <w:tcMar>
              <w:top w:w="105" w:type="dxa"/>
              <w:left w:w="120" w:type="dxa"/>
              <w:bottom w:w="105" w:type="dxa"/>
              <w:right w:w="120" w:type="dxa"/>
            </w:tcMar>
            <w:vAlign w:val="center"/>
          </w:tcPr>
          <w:p w14:paraId="52872052" w14:textId="77777777" w:rsidR="006A4D66" w:rsidRDefault="00000000">
            <w:r>
              <w:rPr>
                <w:b/>
                <w:color w:val="000000"/>
                <w:sz w:val="19"/>
              </w:rPr>
              <w:t xml:space="preserve">Research conclusion: </w:t>
            </w:r>
            <w:r>
              <w:rPr>
                <w:color w:val="000000"/>
                <w:sz w:val="19"/>
              </w:rPr>
              <w:t>The defensible use of AI in this context is a controlled decision-support workflow: automate repetitive interpretation and structuring, preserve evidence, escalate ambiguity, and update portfolio state only after approval.</w:t>
            </w:r>
          </w:p>
        </w:tc>
      </w:tr>
    </w:tbl>
    <w:p w14:paraId="2097C1FA" w14:textId="77777777" w:rsidR="0005241A" w:rsidRPr="0005241A" w:rsidRDefault="00000000" w:rsidP="0005241A">
      <w:pPr>
        <w:pStyle w:val="Heading1"/>
        <w:rPr>
          <w:rFonts w:ascii="Arial" w:eastAsia="SimSun" w:hAnsi="Arial" w:cs="Arial"/>
        </w:rPr>
      </w:pPr>
      <w:r>
        <w:rPr>
          <w:rFonts w:ascii="Arial" w:eastAsia="SimSun" w:hAnsi="Arial" w:cs="Arial"/>
        </w:rPr>
        <w:t xml:space="preserve">3. Design </w:t>
      </w:r>
      <w:r w:rsidR="00C817C0">
        <w:rPr>
          <w:rFonts w:ascii="Arial" w:eastAsia="SimSun" w:hAnsi="Arial" w:cs="Arial" w:hint="eastAsia"/>
        </w:rPr>
        <w:t xml:space="preserve">of the </w:t>
      </w:r>
      <w:r>
        <w:rPr>
          <w:rFonts w:ascii="Arial" w:eastAsia="SimSun" w:hAnsi="Arial" w:cs="Arial"/>
        </w:rPr>
        <w:t xml:space="preserve">Synthetic Portfolio </w:t>
      </w:r>
    </w:p>
    <w:p w14:paraId="78F95827" w14:textId="77777777" w:rsidR="0005241A" w:rsidRPr="0005241A" w:rsidRDefault="0005241A" w:rsidP="0005241A">
      <w:pPr>
        <w:spacing w:beforeAutospacing="1" w:afterAutospacing="1"/>
      </w:pPr>
      <w:r w:rsidRPr="0005241A">
        <w:t>This section introduces the synthetic portfolio used in the proof-of-concept. The portfolio is designed to represent a Singapore-based family office with USD 750 million in assets under management and a globally diversified, alternatives-heavy investment structure. It combines liquid public market holdings, fixed income and credit exposure, private equity, venture capital, private credit, real estate, infrastructure, hedge funds, and a dedicated cash and liquidity sleeve.</w:t>
      </w:r>
    </w:p>
    <w:p w14:paraId="10B7C330" w14:textId="77777777" w:rsidR="0005241A" w:rsidRPr="0005241A" w:rsidRDefault="0005241A" w:rsidP="0005241A">
      <w:pPr>
        <w:spacing w:beforeAutospacing="1" w:afterAutospacing="1"/>
      </w:pPr>
      <w:r w:rsidRPr="0005241A">
        <w:t>The purpose of this portfolio design is not to propose an optimal investment allocation, but to create a realistic testing environment for an AI-enabled reporting workflow. Public market assets provide observable data for risk monitoring, while private market funds create document-heavy reporting needs such as capital calls, distributions, quarterly statements, unfunded commitment tracking, and liquidity planning. This structure allows the project to demonstrate how fragmented portfolio information can be converted into structured data and displayed through a portfolio dashboard.</w:t>
      </w:r>
    </w:p>
    <w:p w14:paraId="74C7B504" w14:textId="77777777" w:rsidR="0005241A" w:rsidRDefault="00C817C0" w:rsidP="0005241A">
      <w:pPr>
        <w:spacing w:before="120" w:beforeAutospacing="1" w:after="120" w:afterAutospacing="1"/>
        <w:jc w:val="center"/>
        <w:outlineLvl w:val="2"/>
        <w:rPr>
          <w:b/>
          <w:bCs/>
          <w:szCs w:val="27"/>
        </w:rPr>
      </w:pPr>
      <w:r w:rsidRPr="00C817C0">
        <w:rPr>
          <w:rFonts w:asciiTheme="majorHAnsi" w:eastAsiaTheme="majorEastAsia" w:hAnsiTheme="majorHAnsi" w:cstheme="majorBidi"/>
          <w:b/>
          <w:bCs/>
          <w:noProof/>
          <w:color w:val="1F4E79"/>
          <w:szCs w:val="28"/>
        </w:rPr>
        <w:lastRenderedPageBreak/>
        <w:drawing>
          <wp:inline distT="0" distB="0" distL="0" distR="0" wp14:anchorId="4D7A3186" wp14:editId="63CAC7BB">
            <wp:extent cx="5806440" cy="3822637"/>
            <wp:effectExtent l="0" t="0" r="5080" b="0"/>
            <wp:docPr id="1963874534" name="Picture 1" descr="A diagram of a company's portfol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4534" name="Picture 1" descr="A diagram of a company's portfolio&#10;&#10;AI-generated content may be incorrect."/>
                    <pic:cNvPicPr/>
                  </pic:nvPicPr>
                  <pic:blipFill>
                    <a:blip r:embed="rId31"/>
                    <a:stretch>
                      <a:fillRect/>
                    </a:stretch>
                  </pic:blipFill>
                  <pic:spPr>
                    <a:xfrm>
                      <a:off x="0" y="0"/>
                      <a:ext cx="5806440" cy="3822637"/>
                    </a:xfrm>
                    <a:prstGeom prst="rect">
                      <a:avLst/>
                    </a:prstGeom>
                  </pic:spPr>
                </pic:pic>
              </a:graphicData>
            </a:graphic>
          </wp:inline>
        </w:drawing>
      </w:r>
    </w:p>
    <w:p w14:paraId="2C785D94" w14:textId="77777777" w:rsidR="00931D43" w:rsidRPr="00931D43" w:rsidRDefault="0005241A" w:rsidP="00931D43">
      <w:pPr>
        <w:pStyle w:val="Heading2"/>
        <w:spacing w:before="100" w:beforeAutospacing="1" w:after="100" w:afterAutospacing="1"/>
        <w:rPr>
          <w:sz w:val="27"/>
          <w:szCs w:val="27"/>
        </w:rPr>
      </w:pPr>
      <w:r>
        <w:rPr>
          <w:rFonts w:ascii="Arial" w:hAnsi="Arial" w:hint="eastAsia"/>
          <w:szCs w:val="27"/>
        </w:rPr>
        <w:t xml:space="preserve">3.1 </w:t>
      </w:r>
      <w:r w:rsidR="00931D43" w:rsidRPr="00931D43">
        <w:rPr>
          <w:rFonts w:ascii="Arial" w:hAnsi="Arial"/>
          <w:szCs w:val="27"/>
        </w:rPr>
        <w:t>Purpose of the Synthetic Portfolio</w:t>
      </w:r>
    </w:p>
    <w:p w14:paraId="20AACBA9" w14:textId="77777777" w:rsidR="00931D43" w:rsidRPr="00931D43" w:rsidRDefault="00931D43" w:rsidP="00931D43">
      <w:pPr>
        <w:spacing w:beforeAutospacing="1" w:afterAutospacing="1"/>
      </w:pPr>
      <w:r w:rsidRPr="00931D43">
        <w:t>The project uses a synthetic family office portfolio to create a realistic but controlled testing environment for the proof-of-concept. The portfolio is not intended to represent an investment recommendation. Instead, it is designed to support the validation of an AI-enabled document-to-dashboard workflow.</w:t>
      </w:r>
    </w:p>
    <w:p w14:paraId="5353E484" w14:textId="77777777" w:rsidR="00931D43" w:rsidRPr="00931D43" w:rsidRDefault="00931D43" w:rsidP="00931D43">
      <w:pPr>
        <w:spacing w:beforeAutospacing="1" w:afterAutospacing="1"/>
      </w:pPr>
      <w:r w:rsidRPr="00931D43">
        <w:t>The synthetic portfolio allows the prototype to test four core functions: private market document extraction, structured data conversion, liquidity monitoring, and portfolio risk reporting. It includes liquid public market assets with observable prices, private market funds that generate capital call and distribution documents, and multi-currency liquidity that reflects the operating context of a Singapore-based family office.</w:t>
      </w:r>
    </w:p>
    <w:p w14:paraId="547278CA"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3.2 Portfolio Assumptions</w:t>
      </w:r>
    </w:p>
    <w:p w14:paraId="4690B93F" w14:textId="77777777" w:rsidR="00931D43" w:rsidRPr="00931D43" w:rsidRDefault="00931D43" w:rsidP="00931D43">
      <w:pPr>
        <w:spacing w:beforeAutospacing="1" w:afterAutospacing="1"/>
      </w:pPr>
      <w:r w:rsidRPr="00931D43">
        <w:t>The mock portfolio represents a Singapore-based family office with a global investment mandate. Although the family office is based in Singapore, the portfolio is reported in USD and invests across multiple regions, including the United States, Hong Kong, China ADRs, China A-shares, Japan, India, Southeast Asia, Europe, and global private markets.</w:t>
      </w:r>
    </w:p>
    <w:tbl>
      <w:tblPr>
        <w:tblStyle w:val="TableGrid"/>
        <w:tblW w:w="0" w:type="auto"/>
        <w:jc w:val="center"/>
        <w:tblCellSpacing w:w="0" w:type="dxa"/>
        <w:tblCellMar>
          <w:top w:w="15" w:type="dxa"/>
          <w:left w:w="15" w:type="dxa"/>
          <w:bottom w:w="15" w:type="dxa"/>
          <w:right w:w="15" w:type="dxa"/>
        </w:tblCellMar>
        <w:tblLook w:val="0620" w:firstRow="1" w:lastRow="0" w:firstColumn="0" w:lastColumn="0" w:noHBand="1" w:noVBand="1"/>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Pr>
      <w:tblGrid>
        <w:gridCol w:w="1848"/>
        <w:gridCol w:w="6998"/>
      </w:tblGrid>
      <w:tr w:rsidR="00931D43" w:rsidRPr="00931D43" w14:paraId="4F2CCD30" w14:textId="77777777" w:rsidTr="002B020F">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391F73E3" w14:textId="77777777" w:rsidR="00931D43" w:rsidRPr="00931D43" w:rsidRDefault="00931D43" w:rsidP="00931D43">
            <w:pPr>
              <w:jc w:val="center"/>
              <w:rPr>
                <w:b/>
                <w:bCs/>
              </w:rPr>
            </w:pPr>
            <w:r w:rsidRPr="00931D43">
              <w:rPr>
                <w:b/>
                <w:bCs/>
                <w:color w:val="000000"/>
                <w:sz w:val="19"/>
              </w:rPr>
              <w:t>Item</w:t>
            </w:r>
          </w:p>
        </w:tc>
        <w:tc>
          <w:tcPr>
            <w:tcW w:w="0" w:type="auto"/>
            <w:shd w:val="clear" w:color="auto" w:fill="D9EAF7"/>
            <w:tcMar>
              <w:top w:w="100" w:type="dxa"/>
              <w:left w:w="105" w:type="dxa"/>
              <w:bottom w:w="100" w:type="dxa"/>
              <w:right w:w="105" w:type="dxa"/>
            </w:tcMar>
            <w:vAlign w:val="center"/>
            <w:hideMark/>
          </w:tcPr>
          <w:p w14:paraId="06ADA8AE" w14:textId="77777777" w:rsidR="00931D43" w:rsidRPr="00931D43" w:rsidRDefault="00931D43" w:rsidP="00931D43">
            <w:pPr>
              <w:jc w:val="center"/>
              <w:rPr>
                <w:b/>
                <w:bCs/>
              </w:rPr>
            </w:pPr>
            <w:r w:rsidRPr="00931D43">
              <w:rPr>
                <w:b/>
                <w:bCs/>
                <w:color w:val="000000"/>
                <w:sz w:val="19"/>
              </w:rPr>
              <w:t>Setting</w:t>
            </w:r>
          </w:p>
        </w:tc>
      </w:tr>
      <w:tr w:rsidR="00931D43" w:rsidRPr="00931D43" w14:paraId="3CA080FC"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04C88A33" w14:textId="77777777" w:rsidR="00931D43" w:rsidRPr="00931D43" w:rsidRDefault="00931D43" w:rsidP="00931D43">
            <w:r w:rsidRPr="00931D43">
              <w:rPr>
                <w:color w:val="000000"/>
                <w:sz w:val="19"/>
              </w:rPr>
              <w:t>Family Office Name</w:t>
            </w:r>
          </w:p>
        </w:tc>
        <w:tc>
          <w:tcPr>
            <w:tcW w:w="0" w:type="auto"/>
            <w:shd w:val="clear" w:color="auto" w:fill="FFFFFF"/>
            <w:tcMar>
              <w:top w:w="100" w:type="dxa"/>
              <w:left w:w="105" w:type="dxa"/>
              <w:bottom w:w="100" w:type="dxa"/>
              <w:right w:w="105" w:type="dxa"/>
            </w:tcMar>
            <w:vAlign w:val="center"/>
            <w:hideMark/>
          </w:tcPr>
          <w:p w14:paraId="1C6A7F40" w14:textId="77777777" w:rsidR="00931D43" w:rsidRPr="00931D43" w:rsidRDefault="00931D43" w:rsidP="00931D43">
            <w:r w:rsidRPr="00931D43">
              <w:rPr>
                <w:color w:val="000000"/>
                <w:sz w:val="19"/>
              </w:rPr>
              <w:t>Atlas Family Office</w:t>
            </w:r>
          </w:p>
        </w:tc>
      </w:tr>
      <w:tr w:rsidR="00931D43" w:rsidRPr="00931D43" w14:paraId="52F33458"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4810901" w14:textId="77777777" w:rsidR="00931D43" w:rsidRPr="00931D43" w:rsidRDefault="00931D43" w:rsidP="00931D43">
            <w:r w:rsidRPr="00931D43">
              <w:rPr>
                <w:color w:val="000000"/>
                <w:sz w:val="19"/>
              </w:rPr>
              <w:t>Base Location</w:t>
            </w:r>
          </w:p>
        </w:tc>
        <w:tc>
          <w:tcPr>
            <w:tcW w:w="0" w:type="auto"/>
            <w:shd w:val="clear" w:color="auto" w:fill="FFFFFF"/>
            <w:tcMar>
              <w:top w:w="100" w:type="dxa"/>
              <w:left w:w="105" w:type="dxa"/>
              <w:bottom w:w="100" w:type="dxa"/>
              <w:right w:w="105" w:type="dxa"/>
            </w:tcMar>
            <w:vAlign w:val="center"/>
            <w:hideMark/>
          </w:tcPr>
          <w:p w14:paraId="154353D1" w14:textId="77777777" w:rsidR="00931D43" w:rsidRPr="00931D43" w:rsidRDefault="00931D43" w:rsidP="00931D43">
            <w:r w:rsidRPr="00931D43">
              <w:rPr>
                <w:color w:val="000000"/>
                <w:sz w:val="19"/>
              </w:rPr>
              <w:t>Singapore</w:t>
            </w:r>
          </w:p>
        </w:tc>
      </w:tr>
      <w:tr w:rsidR="00931D43" w:rsidRPr="00931D43" w14:paraId="3A1BC71B"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72BEF61" w14:textId="77777777" w:rsidR="00931D43" w:rsidRPr="00931D43" w:rsidRDefault="00931D43" w:rsidP="00931D43">
            <w:r w:rsidRPr="00931D43">
              <w:rPr>
                <w:color w:val="000000"/>
                <w:sz w:val="19"/>
              </w:rPr>
              <w:t>Reporting Currency</w:t>
            </w:r>
          </w:p>
        </w:tc>
        <w:tc>
          <w:tcPr>
            <w:tcW w:w="0" w:type="auto"/>
            <w:shd w:val="clear" w:color="auto" w:fill="FFFFFF"/>
            <w:tcMar>
              <w:top w:w="100" w:type="dxa"/>
              <w:left w:w="105" w:type="dxa"/>
              <w:bottom w:w="100" w:type="dxa"/>
              <w:right w:w="105" w:type="dxa"/>
            </w:tcMar>
            <w:vAlign w:val="center"/>
            <w:hideMark/>
          </w:tcPr>
          <w:p w14:paraId="4B8B4D28" w14:textId="77777777" w:rsidR="00931D43" w:rsidRPr="00931D43" w:rsidRDefault="00931D43" w:rsidP="00931D43">
            <w:r w:rsidRPr="00931D43">
              <w:rPr>
                <w:color w:val="000000"/>
                <w:sz w:val="19"/>
              </w:rPr>
              <w:t>USD</w:t>
            </w:r>
          </w:p>
        </w:tc>
      </w:tr>
      <w:tr w:rsidR="00931D43" w:rsidRPr="00931D43" w14:paraId="75C09EAC"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6B22CE6" w14:textId="77777777" w:rsidR="00931D43" w:rsidRPr="00931D43" w:rsidRDefault="00931D43" w:rsidP="00931D43">
            <w:r w:rsidRPr="00931D43">
              <w:rPr>
                <w:color w:val="000000"/>
                <w:sz w:val="19"/>
              </w:rPr>
              <w:t>Total AUM</w:t>
            </w:r>
          </w:p>
        </w:tc>
        <w:tc>
          <w:tcPr>
            <w:tcW w:w="0" w:type="auto"/>
            <w:shd w:val="clear" w:color="auto" w:fill="FFFFFF"/>
            <w:tcMar>
              <w:top w:w="100" w:type="dxa"/>
              <w:left w:w="105" w:type="dxa"/>
              <w:bottom w:w="100" w:type="dxa"/>
              <w:right w:w="105" w:type="dxa"/>
            </w:tcMar>
            <w:vAlign w:val="center"/>
            <w:hideMark/>
          </w:tcPr>
          <w:p w14:paraId="0C716872" w14:textId="77777777" w:rsidR="00931D43" w:rsidRPr="00931D43" w:rsidRDefault="00931D43" w:rsidP="00931D43">
            <w:r w:rsidRPr="00931D43">
              <w:rPr>
                <w:color w:val="000000"/>
                <w:sz w:val="19"/>
              </w:rPr>
              <w:t>USD 750 million</w:t>
            </w:r>
          </w:p>
        </w:tc>
      </w:tr>
      <w:tr w:rsidR="00931D43" w:rsidRPr="00931D43" w14:paraId="0EE7D571"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99434B3" w14:textId="77777777" w:rsidR="00931D43" w:rsidRPr="00931D43" w:rsidRDefault="00931D43" w:rsidP="00931D43">
            <w:r w:rsidRPr="00931D43">
              <w:rPr>
                <w:color w:val="000000"/>
                <w:sz w:val="19"/>
              </w:rPr>
              <w:lastRenderedPageBreak/>
              <w:t>Portfolio Type</w:t>
            </w:r>
          </w:p>
        </w:tc>
        <w:tc>
          <w:tcPr>
            <w:tcW w:w="0" w:type="auto"/>
            <w:shd w:val="clear" w:color="auto" w:fill="FFFFFF"/>
            <w:tcMar>
              <w:top w:w="100" w:type="dxa"/>
              <w:left w:w="105" w:type="dxa"/>
              <w:bottom w:w="100" w:type="dxa"/>
              <w:right w:w="105" w:type="dxa"/>
            </w:tcMar>
            <w:vAlign w:val="center"/>
            <w:hideMark/>
          </w:tcPr>
          <w:p w14:paraId="45B6BFC5" w14:textId="77777777" w:rsidR="00931D43" w:rsidRPr="00931D43" w:rsidRDefault="00931D43" w:rsidP="00931D43">
            <w:r w:rsidRPr="00931D43">
              <w:rPr>
                <w:color w:val="000000"/>
                <w:sz w:val="19"/>
              </w:rPr>
              <w:t>Global multi-asset family office portfolio</w:t>
            </w:r>
          </w:p>
        </w:tc>
      </w:tr>
      <w:tr w:rsidR="00931D43" w:rsidRPr="00931D43" w14:paraId="1204DB36"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6EF4009A" w14:textId="77777777" w:rsidR="00931D43" w:rsidRPr="00931D43" w:rsidRDefault="00931D43" w:rsidP="00931D43">
            <w:r w:rsidRPr="00931D43">
              <w:rPr>
                <w:color w:val="000000"/>
                <w:sz w:val="19"/>
              </w:rPr>
              <w:t>Investment Style</w:t>
            </w:r>
          </w:p>
        </w:tc>
        <w:tc>
          <w:tcPr>
            <w:tcW w:w="0" w:type="auto"/>
            <w:shd w:val="clear" w:color="auto" w:fill="FFFFFF"/>
            <w:tcMar>
              <w:top w:w="100" w:type="dxa"/>
              <w:left w:w="105" w:type="dxa"/>
              <w:bottom w:w="100" w:type="dxa"/>
              <w:right w:w="105" w:type="dxa"/>
            </w:tcMar>
            <w:vAlign w:val="center"/>
            <w:hideMark/>
          </w:tcPr>
          <w:p w14:paraId="21C808C3" w14:textId="77777777" w:rsidR="00931D43" w:rsidRPr="00931D43" w:rsidRDefault="00931D43" w:rsidP="00931D43">
            <w:r w:rsidRPr="00931D43">
              <w:rPr>
                <w:color w:val="000000"/>
                <w:sz w:val="19"/>
              </w:rPr>
              <w:t>Alternatives-heavy, globally diversified, Asia-aware</w:t>
            </w:r>
          </w:p>
        </w:tc>
      </w:tr>
      <w:tr w:rsidR="00931D43" w:rsidRPr="00931D43" w14:paraId="70547BD6"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F5A6D33" w14:textId="77777777" w:rsidR="00931D43" w:rsidRPr="00931D43" w:rsidRDefault="00931D43" w:rsidP="00931D43">
            <w:r w:rsidRPr="00931D43">
              <w:rPr>
                <w:color w:val="000000"/>
                <w:sz w:val="19"/>
              </w:rPr>
              <w:t>Data Type</w:t>
            </w:r>
          </w:p>
        </w:tc>
        <w:tc>
          <w:tcPr>
            <w:tcW w:w="0" w:type="auto"/>
            <w:shd w:val="clear" w:color="auto" w:fill="FFFFFF"/>
            <w:tcMar>
              <w:top w:w="100" w:type="dxa"/>
              <w:left w:w="105" w:type="dxa"/>
              <w:bottom w:w="100" w:type="dxa"/>
              <w:right w:w="105" w:type="dxa"/>
            </w:tcMar>
            <w:vAlign w:val="center"/>
            <w:hideMark/>
          </w:tcPr>
          <w:p w14:paraId="2B1C1B6A" w14:textId="77777777" w:rsidR="00931D43" w:rsidRPr="00931D43" w:rsidRDefault="00931D43" w:rsidP="00931D43">
            <w:r w:rsidRPr="00931D43">
              <w:rPr>
                <w:color w:val="000000"/>
                <w:sz w:val="19"/>
              </w:rPr>
              <w:t>Synthetic mock data only</w:t>
            </w:r>
          </w:p>
        </w:tc>
      </w:tr>
      <w:tr w:rsidR="00931D43" w:rsidRPr="00931D43" w14:paraId="705A824F"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41FA1C5" w14:textId="77777777" w:rsidR="00931D43" w:rsidRPr="00931D43" w:rsidRDefault="00931D43" w:rsidP="00931D43">
            <w:r w:rsidRPr="00931D43">
              <w:rPr>
                <w:color w:val="000000"/>
                <w:sz w:val="19"/>
              </w:rPr>
              <w:t>Project Purpose</w:t>
            </w:r>
          </w:p>
        </w:tc>
        <w:tc>
          <w:tcPr>
            <w:tcW w:w="0" w:type="auto"/>
            <w:shd w:val="clear" w:color="auto" w:fill="FFFFFF"/>
            <w:tcMar>
              <w:top w:w="100" w:type="dxa"/>
              <w:left w:w="105" w:type="dxa"/>
              <w:bottom w:w="100" w:type="dxa"/>
              <w:right w:w="105" w:type="dxa"/>
            </w:tcMar>
            <w:vAlign w:val="center"/>
            <w:hideMark/>
          </w:tcPr>
          <w:p w14:paraId="7C8E0B75" w14:textId="77777777" w:rsidR="00931D43" w:rsidRPr="00931D43" w:rsidRDefault="00931D43" w:rsidP="00931D43">
            <w:r w:rsidRPr="00931D43">
              <w:rPr>
                <w:color w:val="000000"/>
                <w:sz w:val="19"/>
              </w:rPr>
              <w:t>AI extraction, structured data processing, liquidity monitoring, and dashboard validation</w:t>
            </w:r>
          </w:p>
        </w:tc>
      </w:tr>
    </w:tbl>
    <w:p w14:paraId="5B4605D0"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3.3 Strategic Asset Allocation</w:t>
      </w:r>
    </w:p>
    <w:p w14:paraId="2859D2CF" w14:textId="77777777" w:rsidR="00931D43" w:rsidRPr="00931D43" w:rsidRDefault="00931D43" w:rsidP="00931D43">
      <w:pPr>
        <w:spacing w:beforeAutospacing="1" w:afterAutospacing="1"/>
      </w:pPr>
      <w:r w:rsidRPr="00931D43">
        <w:t>The portfolio is structured as a global multi-asset portfolio with both public and private market exposure. Public equities and fixed income provide liquid market data for risk monitoring, while private equity, venture capital, private credit, real estate, hedge funds, and infrastructure create private market reporting complexity.</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742"/>
        <w:gridCol w:w="1154"/>
        <w:gridCol w:w="1338"/>
      </w:tblGrid>
      <w:tr w:rsidR="00931D43" w:rsidRPr="00931D43" w14:paraId="21276814"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8F9054D" w14:textId="77777777" w:rsidR="00931D43" w:rsidRPr="00931D43" w:rsidRDefault="00931D43" w:rsidP="00931D43">
            <w:pPr>
              <w:jc w:val="center"/>
              <w:rPr>
                <w:b/>
                <w:bCs/>
              </w:rPr>
            </w:pPr>
            <w:r w:rsidRPr="00931D43">
              <w:rPr>
                <w:b/>
                <w:bCs/>
                <w:color w:val="000000"/>
                <w:sz w:val="19"/>
              </w:rPr>
              <w:t>Asset Class</w:t>
            </w:r>
          </w:p>
        </w:tc>
        <w:tc>
          <w:tcPr>
            <w:tcW w:w="0" w:type="auto"/>
            <w:shd w:val="clear" w:color="auto" w:fill="D9EAF7"/>
            <w:tcMar>
              <w:top w:w="100" w:type="dxa"/>
              <w:left w:w="105" w:type="dxa"/>
              <w:bottom w:w="100" w:type="dxa"/>
              <w:right w:w="105" w:type="dxa"/>
            </w:tcMar>
            <w:vAlign w:val="center"/>
            <w:hideMark/>
          </w:tcPr>
          <w:p w14:paraId="244D13FF"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3C04D9E1" w14:textId="77777777" w:rsidR="00931D43" w:rsidRPr="00931D43" w:rsidRDefault="00931D43" w:rsidP="00931D43">
            <w:pPr>
              <w:jc w:val="center"/>
              <w:rPr>
                <w:b/>
                <w:bCs/>
              </w:rPr>
            </w:pPr>
            <w:r w:rsidRPr="00931D43">
              <w:rPr>
                <w:b/>
                <w:bCs/>
                <w:color w:val="000000"/>
                <w:sz w:val="19"/>
              </w:rPr>
              <w:t>Amount</w:t>
            </w:r>
          </w:p>
        </w:tc>
      </w:tr>
      <w:tr w:rsidR="00931D43" w:rsidRPr="00931D43" w14:paraId="0CD84CD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FD08AD9" w14:textId="77777777" w:rsidR="00931D43" w:rsidRPr="00931D43" w:rsidRDefault="00931D43" w:rsidP="00931D43">
            <w:r w:rsidRPr="00931D43">
              <w:rPr>
                <w:color w:val="000000"/>
                <w:sz w:val="19"/>
              </w:rPr>
              <w:t>Global Public Equities</w:t>
            </w:r>
          </w:p>
        </w:tc>
        <w:tc>
          <w:tcPr>
            <w:tcW w:w="0" w:type="auto"/>
            <w:shd w:val="clear" w:color="auto" w:fill="FFFFFF"/>
            <w:tcMar>
              <w:top w:w="100" w:type="dxa"/>
              <w:left w:w="105" w:type="dxa"/>
              <w:bottom w:w="100" w:type="dxa"/>
              <w:right w:w="105" w:type="dxa"/>
            </w:tcMar>
            <w:vAlign w:val="center"/>
            <w:hideMark/>
          </w:tcPr>
          <w:p w14:paraId="7E6BA0E3" w14:textId="77777777" w:rsidR="00931D43" w:rsidRPr="00931D43" w:rsidRDefault="00931D43" w:rsidP="00931D43">
            <w:r w:rsidRPr="00931D43">
              <w:rPr>
                <w:color w:val="000000"/>
                <w:sz w:val="19"/>
              </w:rPr>
              <w:t>30%</w:t>
            </w:r>
          </w:p>
        </w:tc>
        <w:tc>
          <w:tcPr>
            <w:tcW w:w="0" w:type="auto"/>
            <w:shd w:val="clear" w:color="auto" w:fill="FFFFFF"/>
            <w:tcMar>
              <w:top w:w="100" w:type="dxa"/>
              <w:left w:w="105" w:type="dxa"/>
              <w:bottom w:w="100" w:type="dxa"/>
              <w:right w:w="105" w:type="dxa"/>
            </w:tcMar>
            <w:vAlign w:val="center"/>
            <w:hideMark/>
          </w:tcPr>
          <w:p w14:paraId="020820A0" w14:textId="77777777" w:rsidR="00931D43" w:rsidRPr="00931D43" w:rsidRDefault="00931D43" w:rsidP="00931D43">
            <w:r w:rsidRPr="00931D43">
              <w:rPr>
                <w:color w:val="000000"/>
                <w:sz w:val="19"/>
              </w:rPr>
              <w:t>USD 225.0m</w:t>
            </w:r>
          </w:p>
        </w:tc>
      </w:tr>
      <w:tr w:rsidR="00931D43" w:rsidRPr="00931D43" w14:paraId="02C350F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1091FE9" w14:textId="77777777" w:rsidR="00931D43" w:rsidRPr="00931D43" w:rsidRDefault="00931D43" w:rsidP="00931D43">
            <w:r w:rsidRPr="00931D43">
              <w:rPr>
                <w:color w:val="000000"/>
                <w:sz w:val="19"/>
              </w:rPr>
              <w:t>Fixed Income &amp; Liquid Credit</w:t>
            </w:r>
          </w:p>
        </w:tc>
        <w:tc>
          <w:tcPr>
            <w:tcW w:w="0" w:type="auto"/>
            <w:shd w:val="clear" w:color="auto" w:fill="FFFFFF"/>
            <w:tcMar>
              <w:top w:w="100" w:type="dxa"/>
              <w:left w:w="105" w:type="dxa"/>
              <w:bottom w:w="100" w:type="dxa"/>
              <w:right w:w="105" w:type="dxa"/>
            </w:tcMar>
            <w:vAlign w:val="center"/>
            <w:hideMark/>
          </w:tcPr>
          <w:p w14:paraId="361A20E0" w14:textId="77777777" w:rsidR="00931D43" w:rsidRPr="00931D43" w:rsidRDefault="00931D43" w:rsidP="00931D43">
            <w:r w:rsidRPr="00931D43">
              <w:rPr>
                <w:color w:val="000000"/>
                <w:sz w:val="19"/>
              </w:rPr>
              <w:t>13%</w:t>
            </w:r>
          </w:p>
        </w:tc>
        <w:tc>
          <w:tcPr>
            <w:tcW w:w="0" w:type="auto"/>
            <w:shd w:val="clear" w:color="auto" w:fill="FFFFFF"/>
            <w:tcMar>
              <w:top w:w="100" w:type="dxa"/>
              <w:left w:w="105" w:type="dxa"/>
              <w:bottom w:w="100" w:type="dxa"/>
              <w:right w:w="105" w:type="dxa"/>
            </w:tcMar>
            <w:vAlign w:val="center"/>
            <w:hideMark/>
          </w:tcPr>
          <w:p w14:paraId="236C09DE" w14:textId="77777777" w:rsidR="00931D43" w:rsidRPr="00931D43" w:rsidRDefault="00931D43" w:rsidP="00931D43">
            <w:r w:rsidRPr="00931D43">
              <w:rPr>
                <w:color w:val="000000"/>
                <w:sz w:val="19"/>
              </w:rPr>
              <w:t>USD 97.5m</w:t>
            </w:r>
          </w:p>
        </w:tc>
      </w:tr>
      <w:tr w:rsidR="00931D43" w:rsidRPr="00931D43" w14:paraId="03427E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A068407" w14:textId="77777777" w:rsidR="00931D43" w:rsidRPr="00931D43" w:rsidRDefault="00931D43" w:rsidP="00931D43">
            <w:r w:rsidRPr="00931D43">
              <w:rPr>
                <w:color w:val="000000"/>
                <w:sz w:val="19"/>
              </w:rPr>
              <w:t>Private Equity</w:t>
            </w:r>
          </w:p>
        </w:tc>
        <w:tc>
          <w:tcPr>
            <w:tcW w:w="0" w:type="auto"/>
            <w:shd w:val="clear" w:color="auto" w:fill="FFFFFF"/>
            <w:tcMar>
              <w:top w:w="100" w:type="dxa"/>
              <w:left w:w="105" w:type="dxa"/>
              <w:bottom w:w="100" w:type="dxa"/>
              <w:right w:w="105" w:type="dxa"/>
            </w:tcMar>
            <w:vAlign w:val="center"/>
            <w:hideMark/>
          </w:tcPr>
          <w:p w14:paraId="0703C808"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371D89F6" w14:textId="77777777" w:rsidR="00931D43" w:rsidRPr="00931D43" w:rsidRDefault="00931D43" w:rsidP="00931D43">
            <w:r w:rsidRPr="00931D43">
              <w:rPr>
                <w:color w:val="000000"/>
                <w:sz w:val="19"/>
              </w:rPr>
              <w:t>USD 135.0m</w:t>
            </w:r>
          </w:p>
        </w:tc>
      </w:tr>
      <w:tr w:rsidR="00931D43" w:rsidRPr="00931D43" w14:paraId="14C5CA8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90B4A46" w14:textId="77777777" w:rsidR="00931D43" w:rsidRPr="00931D43" w:rsidRDefault="00931D43" w:rsidP="00931D43">
            <w:r w:rsidRPr="00931D43">
              <w:rPr>
                <w:color w:val="000000"/>
                <w:sz w:val="19"/>
              </w:rPr>
              <w:t>Venture Capital / Growth</w:t>
            </w:r>
          </w:p>
        </w:tc>
        <w:tc>
          <w:tcPr>
            <w:tcW w:w="0" w:type="auto"/>
            <w:shd w:val="clear" w:color="auto" w:fill="FFFFFF"/>
            <w:tcMar>
              <w:top w:w="100" w:type="dxa"/>
              <w:left w:w="105" w:type="dxa"/>
              <w:bottom w:w="100" w:type="dxa"/>
              <w:right w:w="105" w:type="dxa"/>
            </w:tcMar>
            <w:vAlign w:val="center"/>
            <w:hideMark/>
          </w:tcPr>
          <w:p w14:paraId="312D178E"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29ED6EF1" w14:textId="77777777" w:rsidR="00931D43" w:rsidRPr="00931D43" w:rsidRDefault="00931D43" w:rsidP="00931D43">
            <w:r w:rsidRPr="00931D43">
              <w:rPr>
                <w:color w:val="000000"/>
                <w:sz w:val="19"/>
              </w:rPr>
              <w:t>USD 75.0m</w:t>
            </w:r>
          </w:p>
        </w:tc>
      </w:tr>
      <w:tr w:rsidR="00931D43" w:rsidRPr="00931D43" w14:paraId="6CC73DB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2F84324" w14:textId="77777777" w:rsidR="00931D43" w:rsidRPr="00931D43" w:rsidRDefault="00931D43" w:rsidP="00931D43">
            <w:r w:rsidRPr="00931D43">
              <w:rPr>
                <w:color w:val="000000"/>
                <w:sz w:val="19"/>
              </w:rPr>
              <w:t>Private Credit</w:t>
            </w:r>
          </w:p>
        </w:tc>
        <w:tc>
          <w:tcPr>
            <w:tcW w:w="0" w:type="auto"/>
            <w:shd w:val="clear" w:color="auto" w:fill="FFFFFF"/>
            <w:tcMar>
              <w:top w:w="100" w:type="dxa"/>
              <w:left w:w="105" w:type="dxa"/>
              <w:bottom w:w="100" w:type="dxa"/>
              <w:right w:w="105" w:type="dxa"/>
            </w:tcMar>
            <w:vAlign w:val="center"/>
            <w:hideMark/>
          </w:tcPr>
          <w:p w14:paraId="09346D3C" w14:textId="77777777" w:rsidR="00931D43" w:rsidRPr="00931D43" w:rsidRDefault="00931D43" w:rsidP="00931D43">
            <w:r w:rsidRPr="00931D43">
              <w:rPr>
                <w:color w:val="000000"/>
                <w:sz w:val="19"/>
              </w:rPr>
              <w:t>9%</w:t>
            </w:r>
          </w:p>
        </w:tc>
        <w:tc>
          <w:tcPr>
            <w:tcW w:w="0" w:type="auto"/>
            <w:shd w:val="clear" w:color="auto" w:fill="FFFFFF"/>
            <w:tcMar>
              <w:top w:w="100" w:type="dxa"/>
              <w:left w:w="105" w:type="dxa"/>
              <w:bottom w:w="100" w:type="dxa"/>
              <w:right w:w="105" w:type="dxa"/>
            </w:tcMar>
            <w:vAlign w:val="center"/>
            <w:hideMark/>
          </w:tcPr>
          <w:p w14:paraId="3B4F5045" w14:textId="77777777" w:rsidR="00931D43" w:rsidRPr="00931D43" w:rsidRDefault="00931D43" w:rsidP="00931D43">
            <w:r w:rsidRPr="00931D43">
              <w:rPr>
                <w:color w:val="000000"/>
                <w:sz w:val="19"/>
              </w:rPr>
              <w:t>USD 67.5m</w:t>
            </w:r>
          </w:p>
        </w:tc>
      </w:tr>
      <w:tr w:rsidR="00931D43" w:rsidRPr="00931D43" w14:paraId="02A9959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298BF60" w14:textId="77777777" w:rsidR="00931D43" w:rsidRPr="00931D43" w:rsidRDefault="00931D43" w:rsidP="00931D43">
            <w:r w:rsidRPr="00931D43">
              <w:rPr>
                <w:color w:val="000000"/>
                <w:sz w:val="19"/>
              </w:rPr>
              <w:t>Real Estate</w:t>
            </w:r>
          </w:p>
        </w:tc>
        <w:tc>
          <w:tcPr>
            <w:tcW w:w="0" w:type="auto"/>
            <w:shd w:val="clear" w:color="auto" w:fill="FFFFFF"/>
            <w:tcMar>
              <w:top w:w="100" w:type="dxa"/>
              <w:left w:w="105" w:type="dxa"/>
              <w:bottom w:w="100" w:type="dxa"/>
              <w:right w:w="105" w:type="dxa"/>
            </w:tcMar>
            <w:vAlign w:val="center"/>
            <w:hideMark/>
          </w:tcPr>
          <w:p w14:paraId="28F28A70"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7BB5A5E1" w14:textId="77777777" w:rsidR="00931D43" w:rsidRPr="00931D43" w:rsidRDefault="00931D43" w:rsidP="00931D43">
            <w:r w:rsidRPr="00931D43">
              <w:rPr>
                <w:color w:val="000000"/>
                <w:sz w:val="19"/>
              </w:rPr>
              <w:t>USD 60.0m</w:t>
            </w:r>
          </w:p>
        </w:tc>
      </w:tr>
      <w:tr w:rsidR="00931D43" w:rsidRPr="00931D43" w14:paraId="1715EDC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EDD58AA" w14:textId="77777777" w:rsidR="00931D43" w:rsidRPr="00931D43" w:rsidRDefault="00931D43" w:rsidP="00931D43">
            <w:r w:rsidRPr="00931D43">
              <w:rPr>
                <w:color w:val="000000"/>
                <w:sz w:val="19"/>
              </w:rPr>
              <w:t>Hedge Funds / Absolute Return</w:t>
            </w:r>
          </w:p>
        </w:tc>
        <w:tc>
          <w:tcPr>
            <w:tcW w:w="0" w:type="auto"/>
            <w:shd w:val="clear" w:color="auto" w:fill="FFFFFF"/>
            <w:tcMar>
              <w:top w:w="100" w:type="dxa"/>
              <w:left w:w="105" w:type="dxa"/>
              <w:bottom w:w="100" w:type="dxa"/>
              <w:right w:w="105" w:type="dxa"/>
            </w:tcMar>
            <w:vAlign w:val="center"/>
            <w:hideMark/>
          </w:tcPr>
          <w:p w14:paraId="4C9F472E"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157A7CE4" w14:textId="77777777" w:rsidR="00931D43" w:rsidRPr="00931D43" w:rsidRDefault="00931D43" w:rsidP="00931D43">
            <w:r w:rsidRPr="00931D43">
              <w:rPr>
                <w:color w:val="000000"/>
                <w:sz w:val="19"/>
              </w:rPr>
              <w:t>USD 37.5m</w:t>
            </w:r>
          </w:p>
        </w:tc>
      </w:tr>
      <w:tr w:rsidR="00931D43" w:rsidRPr="00931D43" w14:paraId="3C24AD5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F4EBE0F" w14:textId="77777777" w:rsidR="00931D43" w:rsidRPr="00931D43" w:rsidRDefault="00931D43" w:rsidP="00931D43">
            <w:r w:rsidRPr="00931D43">
              <w:rPr>
                <w:color w:val="000000"/>
                <w:sz w:val="19"/>
              </w:rPr>
              <w:t>Infrastructure</w:t>
            </w:r>
          </w:p>
        </w:tc>
        <w:tc>
          <w:tcPr>
            <w:tcW w:w="0" w:type="auto"/>
            <w:shd w:val="clear" w:color="auto" w:fill="FFFFFF"/>
            <w:tcMar>
              <w:top w:w="100" w:type="dxa"/>
              <w:left w:w="105" w:type="dxa"/>
              <w:bottom w:w="100" w:type="dxa"/>
              <w:right w:w="105" w:type="dxa"/>
            </w:tcMar>
            <w:vAlign w:val="center"/>
            <w:hideMark/>
          </w:tcPr>
          <w:p w14:paraId="4ADE2116"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46A82873" w14:textId="77777777" w:rsidR="00931D43" w:rsidRPr="00931D43" w:rsidRDefault="00931D43" w:rsidP="00931D43">
            <w:r w:rsidRPr="00931D43">
              <w:rPr>
                <w:color w:val="000000"/>
                <w:sz w:val="19"/>
              </w:rPr>
              <w:t>USD 30.0m</w:t>
            </w:r>
          </w:p>
        </w:tc>
      </w:tr>
      <w:tr w:rsidR="00931D43" w:rsidRPr="00931D43" w14:paraId="38543A2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61B2CE9" w14:textId="77777777" w:rsidR="00931D43" w:rsidRPr="00931D43" w:rsidRDefault="00931D43" w:rsidP="00931D43">
            <w:r w:rsidRPr="00931D43">
              <w:rPr>
                <w:color w:val="000000"/>
                <w:sz w:val="19"/>
              </w:rPr>
              <w:t>Cash &amp; Liquidity Sleeve</w:t>
            </w:r>
          </w:p>
        </w:tc>
        <w:tc>
          <w:tcPr>
            <w:tcW w:w="0" w:type="auto"/>
            <w:shd w:val="clear" w:color="auto" w:fill="FFFFFF"/>
            <w:tcMar>
              <w:top w:w="100" w:type="dxa"/>
              <w:left w:w="105" w:type="dxa"/>
              <w:bottom w:w="100" w:type="dxa"/>
              <w:right w:w="105" w:type="dxa"/>
            </w:tcMar>
            <w:vAlign w:val="center"/>
            <w:hideMark/>
          </w:tcPr>
          <w:p w14:paraId="3B96D0F8"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23DB8A45" w14:textId="77777777" w:rsidR="00931D43" w:rsidRPr="00931D43" w:rsidRDefault="00931D43" w:rsidP="00931D43">
            <w:r w:rsidRPr="00931D43">
              <w:rPr>
                <w:color w:val="000000"/>
                <w:sz w:val="19"/>
              </w:rPr>
              <w:t>USD 22.5m</w:t>
            </w:r>
          </w:p>
        </w:tc>
      </w:tr>
      <w:tr w:rsidR="00931D43" w:rsidRPr="00931D43" w14:paraId="1031B65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248CAA2"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0D926D1D"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4570B738" w14:textId="77777777" w:rsidR="00931D43" w:rsidRPr="00931D43" w:rsidRDefault="00931D43" w:rsidP="00931D43">
            <w:r w:rsidRPr="00931D43">
              <w:rPr>
                <w:bCs/>
                <w:color w:val="000000"/>
                <w:sz w:val="19"/>
              </w:rPr>
              <w:t>USD 750.0m</w:t>
            </w:r>
          </w:p>
        </w:tc>
      </w:tr>
    </w:tbl>
    <w:p w14:paraId="5E2CD6A9" w14:textId="77777777" w:rsidR="00931D43" w:rsidRPr="00931D43" w:rsidRDefault="00931D43" w:rsidP="00931D43">
      <w:pPr>
        <w:spacing w:beforeAutospacing="1" w:afterAutospacing="1"/>
      </w:pPr>
      <w:r w:rsidRPr="00931D43">
        <w:t>This allocation is intentionally designed to include a meaningful private market component. Private funds generate capital call notices, distribution notices, quarterly statements, capital account updates, and unfunded commitment records. These documents are the main inputs for the AI extraction workflow.</w:t>
      </w:r>
    </w:p>
    <w:p w14:paraId="7933EDEE"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3.4 Public Market Holdings</w:t>
      </w:r>
    </w:p>
    <w:p w14:paraId="583BA9D0" w14:textId="77777777" w:rsidR="00931D43" w:rsidRPr="00931D43" w:rsidRDefault="00931D43" w:rsidP="00931D43">
      <w:pPr>
        <w:spacing w:beforeAutospacing="1" w:afterAutospacing="1"/>
      </w:pPr>
      <w:r w:rsidRPr="00931D43">
        <w:t>The public equity sleeve represents 30% of the total portfolio, or USD 225.0 million. It includes exposure to US equities, Hong Kong equities, China ADRs, China A-shares, Japan, India, and global equity markets. This structure allows the dashboard to perform geography, currency, sector, and public market risk analysis using observable market prices.</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3090"/>
        <w:gridCol w:w="5254"/>
        <w:gridCol w:w="1154"/>
        <w:gridCol w:w="1338"/>
      </w:tblGrid>
      <w:tr w:rsidR="00931D43" w:rsidRPr="00931D43" w14:paraId="061FA68A"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3EE6F0D" w14:textId="77777777" w:rsidR="00931D43" w:rsidRPr="00931D43" w:rsidRDefault="00931D43" w:rsidP="00931D43">
            <w:pPr>
              <w:jc w:val="center"/>
              <w:rPr>
                <w:b/>
                <w:bCs/>
              </w:rPr>
            </w:pPr>
            <w:r w:rsidRPr="00931D43">
              <w:rPr>
                <w:b/>
                <w:bCs/>
                <w:color w:val="000000"/>
                <w:sz w:val="19"/>
              </w:rPr>
              <w:lastRenderedPageBreak/>
              <w:t>Region / Theme</w:t>
            </w:r>
          </w:p>
        </w:tc>
        <w:tc>
          <w:tcPr>
            <w:tcW w:w="0" w:type="auto"/>
            <w:shd w:val="clear" w:color="auto" w:fill="D9EAF7"/>
            <w:tcMar>
              <w:top w:w="100" w:type="dxa"/>
              <w:left w:w="105" w:type="dxa"/>
              <w:bottom w:w="100" w:type="dxa"/>
              <w:right w:w="105" w:type="dxa"/>
            </w:tcMar>
            <w:vAlign w:val="center"/>
            <w:hideMark/>
          </w:tcPr>
          <w:p w14:paraId="6D26FB12" w14:textId="77777777" w:rsidR="00931D43" w:rsidRPr="00931D43" w:rsidRDefault="00931D43" w:rsidP="00931D43">
            <w:pPr>
              <w:jc w:val="center"/>
              <w:rPr>
                <w:b/>
                <w:bCs/>
              </w:rPr>
            </w:pPr>
            <w:r w:rsidRPr="00931D43">
              <w:rPr>
                <w:b/>
                <w:bCs/>
                <w:color w:val="000000"/>
                <w:sz w:val="19"/>
              </w:rPr>
              <w:t>Holding</w:t>
            </w:r>
          </w:p>
        </w:tc>
        <w:tc>
          <w:tcPr>
            <w:tcW w:w="0" w:type="auto"/>
            <w:shd w:val="clear" w:color="auto" w:fill="D9EAF7"/>
            <w:tcMar>
              <w:top w:w="100" w:type="dxa"/>
              <w:left w:w="105" w:type="dxa"/>
              <w:bottom w:w="100" w:type="dxa"/>
              <w:right w:w="105" w:type="dxa"/>
            </w:tcMar>
            <w:vAlign w:val="center"/>
            <w:hideMark/>
          </w:tcPr>
          <w:p w14:paraId="0B7AC7F8"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00563443" w14:textId="77777777" w:rsidR="00931D43" w:rsidRPr="00931D43" w:rsidRDefault="00931D43" w:rsidP="00931D43">
            <w:pPr>
              <w:jc w:val="center"/>
              <w:rPr>
                <w:b/>
                <w:bCs/>
              </w:rPr>
            </w:pPr>
            <w:r w:rsidRPr="00931D43">
              <w:rPr>
                <w:b/>
                <w:bCs/>
                <w:color w:val="000000"/>
                <w:sz w:val="19"/>
              </w:rPr>
              <w:t>Amount</w:t>
            </w:r>
          </w:p>
        </w:tc>
      </w:tr>
      <w:tr w:rsidR="00931D43" w:rsidRPr="00931D43" w14:paraId="693778F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744B875" w14:textId="77777777" w:rsidR="00931D43" w:rsidRPr="00931D43" w:rsidRDefault="00931D43" w:rsidP="00931D43">
            <w:r w:rsidRPr="00931D43">
              <w:rPr>
                <w:color w:val="000000"/>
                <w:sz w:val="19"/>
              </w:rPr>
              <w:t>US Large Cap Core</w:t>
            </w:r>
          </w:p>
        </w:tc>
        <w:tc>
          <w:tcPr>
            <w:tcW w:w="0" w:type="auto"/>
            <w:shd w:val="clear" w:color="auto" w:fill="FFFFFF"/>
            <w:tcMar>
              <w:top w:w="100" w:type="dxa"/>
              <w:left w:w="105" w:type="dxa"/>
              <w:bottom w:w="100" w:type="dxa"/>
              <w:right w:w="105" w:type="dxa"/>
            </w:tcMar>
            <w:vAlign w:val="center"/>
            <w:hideMark/>
          </w:tcPr>
          <w:p w14:paraId="72650474" w14:textId="77777777" w:rsidR="00931D43" w:rsidRPr="00931D43" w:rsidRDefault="00931D43" w:rsidP="00931D43">
            <w:r w:rsidRPr="00931D43">
              <w:rPr>
                <w:color w:val="000000"/>
                <w:sz w:val="19"/>
              </w:rPr>
              <w:t>SPDR S&amp;P 500 ETF (SPY)</w:t>
            </w:r>
          </w:p>
        </w:tc>
        <w:tc>
          <w:tcPr>
            <w:tcW w:w="0" w:type="auto"/>
            <w:shd w:val="clear" w:color="auto" w:fill="FFFFFF"/>
            <w:tcMar>
              <w:top w:w="100" w:type="dxa"/>
              <w:left w:w="105" w:type="dxa"/>
              <w:bottom w:w="100" w:type="dxa"/>
              <w:right w:w="105" w:type="dxa"/>
            </w:tcMar>
            <w:vAlign w:val="center"/>
            <w:hideMark/>
          </w:tcPr>
          <w:p w14:paraId="2868C6A8" w14:textId="77777777" w:rsidR="00931D43" w:rsidRPr="00931D43" w:rsidRDefault="00931D43" w:rsidP="00931D43">
            <w:r w:rsidRPr="00931D43">
              <w:rPr>
                <w:color w:val="000000"/>
                <w:sz w:val="19"/>
              </w:rPr>
              <w:t>6.0%</w:t>
            </w:r>
          </w:p>
        </w:tc>
        <w:tc>
          <w:tcPr>
            <w:tcW w:w="0" w:type="auto"/>
            <w:shd w:val="clear" w:color="auto" w:fill="FFFFFF"/>
            <w:tcMar>
              <w:top w:w="100" w:type="dxa"/>
              <w:left w:w="105" w:type="dxa"/>
              <w:bottom w:w="100" w:type="dxa"/>
              <w:right w:w="105" w:type="dxa"/>
            </w:tcMar>
            <w:vAlign w:val="center"/>
            <w:hideMark/>
          </w:tcPr>
          <w:p w14:paraId="5699E6C8" w14:textId="77777777" w:rsidR="00931D43" w:rsidRPr="00931D43" w:rsidRDefault="00931D43" w:rsidP="00931D43">
            <w:r w:rsidRPr="00931D43">
              <w:rPr>
                <w:color w:val="000000"/>
                <w:sz w:val="19"/>
              </w:rPr>
              <w:t>USD 45.0m</w:t>
            </w:r>
          </w:p>
        </w:tc>
      </w:tr>
      <w:tr w:rsidR="00931D43" w:rsidRPr="00931D43" w14:paraId="406F04F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29AF86" w14:textId="77777777" w:rsidR="00931D43" w:rsidRPr="00931D43" w:rsidRDefault="00931D43" w:rsidP="00931D43">
            <w:r w:rsidRPr="00931D43">
              <w:rPr>
                <w:color w:val="000000"/>
                <w:sz w:val="19"/>
              </w:rPr>
              <w:t>US Technology / Growth</w:t>
            </w:r>
          </w:p>
        </w:tc>
        <w:tc>
          <w:tcPr>
            <w:tcW w:w="0" w:type="auto"/>
            <w:shd w:val="clear" w:color="auto" w:fill="FFFFFF"/>
            <w:tcMar>
              <w:top w:w="100" w:type="dxa"/>
              <w:left w:w="105" w:type="dxa"/>
              <w:bottom w:w="100" w:type="dxa"/>
              <w:right w:w="105" w:type="dxa"/>
            </w:tcMar>
            <w:vAlign w:val="center"/>
            <w:hideMark/>
          </w:tcPr>
          <w:p w14:paraId="2A3F55D6" w14:textId="77777777" w:rsidR="00931D43" w:rsidRPr="00931D43" w:rsidRDefault="00931D43" w:rsidP="00931D43">
            <w:r w:rsidRPr="00931D43">
              <w:rPr>
                <w:color w:val="000000"/>
                <w:sz w:val="19"/>
              </w:rPr>
              <w:t>Invesco QQQ Trust (QQQ)</w:t>
            </w:r>
          </w:p>
        </w:tc>
        <w:tc>
          <w:tcPr>
            <w:tcW w:w="0" w:type="auto"/>
            <w:shd w:val="clear" w:color="auto" w:fill="FFFFFF"/>
            <w:tcMar>
              <w:top w:w="100" w:type="dxa"/>
              <w:left w:w="105" w:type="dxa"/>
              <w:bottom w:w="100" w:type="dxa"/>
              <w:right w:w="105" w:type="dxa"/>
            </w:tcMar>
            <w:vAlign w:val="center"/>
            <w:hideMark/>
          </w:tcPr>
          <w:p w14:paraId="5ACCC862" w14:textId="77777777" w:rsidR="00931D43" w:rsidRPr="00931D43" w:rsidRDefault="00931D43" w:rsidP="00931D43">
            <w:r w:rsidRPr="00931D43">
              <w:rPr>
                <w:color w:val="000000"/>
                <w:sz w:val="19"/>
              </w:rPr>
              <w:t>3.5%</w:t>
            </w:r>
          </w:p>
        </w:tc>
        <w:tc>
          <w:tcPr>
            <w:tcW w:w="0" w:type="auto"/>
            <w:shd w:val="clear" w:color="auto" w:fill="FFFFFF"/>
            <w:tcMar>
              <w:top w:w="100" w:type="dxa"/>
              <w:left w:w="105" w:type="dxa"/>
              <w:bottom w:w="100" w:type="dxa"/>
              <w:right w:w="105" w:type="dxa"/>
            </w:tcMar>
            <w:vAlign w:val="center"/>
            <w:hideMark/>
          </w:tcPr>
          <w:p w14:paraId="7D30490A" w14:textId="77777777" w:rsidR="00931D43" w:rsidRPr="00931D43" w:rsidRDefault="00931D43" w:rsidP="00931D43">
            <w:r w:rsidRPr="00931D43">
              <w:rPr>
                <w:color w:val="000000"/>
                <w:sz w:val="19"/>
              </w:rPr>
              <w:t>USD 26.25m</w:t>
            </w:r>
          </w:p>
        </w:tc>
      </w:tr>
      <w:tr w:rsidR="00931D43" w:rsidRPr="00931D43" w14:paraId="4291F44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1F173A" w14:textId="77777777" w:rsidR="00931D43" w:rsidRPr="00931D43" w:rsidRDefault="00931D43" w:rsidP="00931D43">
            <w:r w:rsidRPr="00931D43">
              <w:rPr>
                <w:color w:val="000000"/>
                <w:sz w:val="19"/>
              </w:rPr>
              <w:t>Global Equity Core</w:t>
            </w:r>
          </w:p>
        </w:tc>
        <w:tc>
          <w:tcPr>
            <w:tcW w:w="0" w:type="auto"/>
            <w:shd w:val="clear" w:color="auto" w:fill="FFFFFF"/>
            <w:tcMar>
              <w:top w:w="100" w:type="dxa"/>
              <w:left w:w="105" w:type="dxa"/>
              <w:bottom w:w="100" w:type="dxa"/>
              <w:right w:w="105" w:type="dxa"/>
            </w:tcMar>
            <w:vAlign w:val="center"/>
            <w:hideMark/>
          </w:tcPr>
          <w:p w14:paraId="09CB0A8E" w14:textId="77777777" w:rsidR="00931D43" w:rsidRPr="00931D43" w:rsidRDefault="00931D43" w:rsidP="00931D43">
            <w:r w:rsidRPr="00931D43">
              <w:rPr>
                <w:color w:val="000000"/>
                <w:sz w:val="19"/>
              </w:rPr>
              <w:t>iShares MSCI ACWI ETF (ACWI)</w:t>
            </w:r>
          </w:p>
        </w:tc>
        <w:tc>
          <w:tcPr>
            <w:tcW w:w="0" w:type="auto"/>
            <w:shd w:val="clear" w:color="auto" w:fill="FFFFFF"/>
            <w:tcMar>
              <w:top w:w="100" w:type="dxa"/>
              <w:left w:w="105" w:type="dxa"/>
              <w:bottom w:w="100" w:type="dxa"/>
              <w:right w:w="105" w:type="dxa"/>
            </w:tcMar>
            <w:vAlign w:val="center"/>
            <w:hideMark/>
          </w:tcPr>
          <w:p w14:paraId="4D608E13" w14:textId="77777777" w:rsidR="00931D43" w:rsidRPr="00931D43" w:rsidRDefault="00931D43" w:rsidP="00931D43">
            <w:r w:rsidRPr="00931D43">
              <w:rPr>
                <w:color w:val="000000"/>
                <w:sz w:val="19"/>
              </w:rPr>
              <w:t>4.0%</w:t>
            </w:r>
          </w:p>
        </w:tc>
        <w:tc>
          <w:tcPr>
            <w:tcW w:w="0" w:type="auto"/>
            <w:shd w:val="clear" w:color="auto" w:fill="FFFFFF"/>
            <w:tcMar>
              <w:top w:w="100" w:type="dxa"/>
              <w:left w:w="105" w:type="dxa"/>
              <w:bottom w:w="100" w:type="dxa"/>
              <w:right w:w="105" w:type="dxa"/>
            </w:tcMar>
            <w:vAlign w:val="center"/>
            <w:hideMark/>
          </w:tcPr>
          <w:p w14:paraId="0C375A5A" w14:textId="77777777" w:rsidR="00931D43" w:rsidRPr="00931D43" w:rsidRDefault="00931D43" w:rsidP="00931D43">
            <w:r w:rsidRPr="00931D43">
              <w:rPr>
                <w:color w:val="000000"/>
                <w:sz w:val="19"/>
              </w:rPr>
              <w:t>USD 30.0m</w:t>
            </w:r>
          </w:p>
        </w:tc>
      </w:tr>
      <w:tr w:rsidR="00931D43" w:rsidRPr="00931D43" w14:paraId="655C50F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456245B" w14:textId="77777777" w:rsidR="00931D43" w:rsidRPr="00931D43" w:rsidRDefault="00931D43" w:rsidP="00931D43">
            <w:r w:rsidRPr="00931D43">
              <w:rPr>
                <w:color w:val="000000"/>
                <w:sz w:val="19"/>
              </w:rPr>
              <w:t>US Quality Compounder</w:t>
            </w:r>
          </w:p>
        </w:tc>
        <w:tc>
          <w:tcPr>
            <w:tcW w:w="0" w:type="auto"/>
            <w:shd w:val="clear" w:color="auto" w:fill="FFFFFF"/>
            <w:tcMar>
              <w:top w:w="100" w:type="dxa"/>
              <w:left w:w="105" w:type="dxa"/>
              <w:bottom w:w="100" w:type="dxa"/>
              <w:right w:w="105" w:type="dxa"/>
            </w:tcMar>
            <w:vAlign w:val="center"/>
            <w:hideMark/>
          </w:tcPr>
          <w:p w14:paraId="27BDB6F7" w14:textId="77777777" w:rsidR="00931D43" w:rsidRPr="00931D43" w:rsidRDefault="00931D43" w:rsidP="00931D43">
            <w:r w:rsidRPr="00931D43">
              <w:rPr>
                <w:color w:val="000000"/>
                <w:sz w:val="19"/>
              </w:rPr>
              <w:t>Berkshire Hathaway Class B (BRK.B)</w:t>
            </w:r>
          </w:p>
        </w:tc>
        <w:tc>
          <w:tcPr>
            <w:tcW w:w="0" w:type="auto"/>
            <w:shd w:val="clear" w:color="auto" w:fill="FFFFFF"/>
            <w:tcMar>
              <w:top w:w="100" w:type="dxa"/>
              <w:left w:w="105" w:type="dxa"/>
              <w:bottom w:w="100" w:type="dxa"/>
              <w:right w:w="105" w:type="dxa"/>
            </w:tcMar>
            <w:vAlign w:val="center"/>
            <w:hideMark/>
          </w:tcPr>
          <w:p w14:paraId="3420D79B"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6AFC1FC9" w14:textId="77777777" w:rsidR="00931D43" w:rsidRPr="00931D43" w:rsidRDefault="00931D43" w:rsidP="00931D43">
            <w:r w:rsidRPr="00931D43">
              <w:rPr>
                <w:color w:val="000000"/>
                <w:sz w:val="19"/>
              </w:rPr>
              <w:t>USD 15.0m</w:t>
            </w:r>
          </w:p>
        </w:tc>
      </w:tr>
      <w:tr w:rsidR="00931D43" w:rsidRPr="00931D43" w14:paraId="42865A8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19BD433" w14:textId="77777777" w:rsidR="00931D43" w:rsidRPr="00931D43" w:rsidRDefault="00931D43" w:rsidP="00931D43">
            <w:r w:rsidRPr="00931D43">
              <w:rPr>
                <w:color w:val="000000"/>
                <w:sz w:val="19"/>
              </w:rPr>
              <w:t>US Mega-cap Technology</w:t>
            </w:r>
          </w:p>
        </w:tc>
        <w:tc>
          <w:tcPr>
            <w:tcW w:w="0" w:type="auto"/>
            <w:shd w:val="clear" w:color="auto" w:fill="FFFFFF"/>
            <w:tcMar>
              <w:top w:w="100" w:type="dxa"/>
              <w:left w:w="105" w:type="dxa"/>
              <w:bottom w:w="100" w:type="dxa"/>
              <w:right w:w="105" w:type="dxa"/>
            </w:tcMar>
            <w:vAlign w:val="center"/>
            <w:hideMark/>
          </w:tcPr>
          <w:p w14:paraId="72287DA5" w14:textId="77777777" w:rsidR="00931D43" w:rsidRPr="00931D43" w:rsidRDefault="00931D43" w:rsidP="00931D43">
            <w:r w:rsidRPr="00931D43">
              <w:rPr>
                <w:color w:val="000000"/>
                <w:sz w:val="19"/>
              </w:rPr>
              <w:t>Microsoft (MSFT)</w:t>
            </w:r>
          </w:p>
        </w:tc>
        <w:tc>
          <w:tcPr>
            <w:tcW w:w="0" w:type="auto"/>
            <w:shd w:val="clear" w:color="auto" w:fill="FFFFFF"/>
            <w:tcMar>
              <w:top w:w="100" w:type="dxa"/>
              <w:left w:w="105" w:type="dxa"/>
              <w:bottom w:w="100" w:type="dxa"/>
              <w:right w:w="105" w:type="dxa"/>
            </w:tcMar>
            <w:vAlign w:val="center"/>
            <w:hideMark/>
          </w:tcPr>
          <w:p w14:paraId="166909F8"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56B03FA4" w14:textId="77777777" w:rsidR="00931D43" w:rsidRPr="00931D43" w:rsidRDefault="00931D43" w:rsidP="00931D43">
            <w:r w:rsidRPr="00931D43">
              <w:rPr>
                <w:color w:val="000000"/>
                <w:sz w:val="19"/>
              </w:rPr>
              <w:t>USD 11.25m</w:t>
            </w:r>
          </w:p>
        </w:tc>
      </w:tr>
      <w:tr w:rsidR="00931D43" w:rsidRPr="00931D43" w14:paraId="186D244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4BF916" w14:textId="77777777" w:rsidR="00931D43" w:rsidRPr="00931D43" w:rsidRDefault="00931D43" w:rsidP="00931D43">
            <w:r w:rsidRPr="00931D43">
              <w:rPr>
                <w:color w:val="000000"/>
                <w:sz w:val="19"/>
              </w:rPr>
              <w:t>US Mega-cap Technology</w:t>
            </w:r>
          </w:p>
        </w:tc>
        <w:tc>
          <w:tcPr>
            <w:tcW w:w="0" w:type="auto"/>
            <w:shd w:val="clear" w:color="auto" w:fill="FFFFFF"/>
            <w:tcMar>
              <w:top w:w="100" w:type="dxa"/>
              <w:left w:w="105" w:type="dxa"/>
              <w:bottom w:w="100" w:type="dxa"/>
              <w:right w:w="105" w:type="dxa"/>
            </w:tcMar>
            <w:vAlign w:val="center"/>
            <w:hideMark/>
          </w:tcPr>
          <w:p w14:paraId="789F871F" w14:textId="77777777" w:rsidR="00931D43" w:rsidRPr="00931D43" w:rsidRDefault="00931D43" w:rsidP="00931D43">
            <w:r w:rsidRPr="00931D43">
              <w:rPr>
                <w:color w:val="000000"/>
                <w:sz w:val="19"/>
              </w:rPr>
              <w:t>Alphabet (GOOGL)</w:t>
            </w:r>
          </w:p>
        </w:tc>
        <w:tc>
          <w:tcPr>
            <w:tcW w:w="0" w:type="auto"/>
            <w:shd w:val="clear" w:color="auto" w:fill="FFFFFF"/>
            <w:tcMar>
              <w:top w:w="100" w:type="dxa"/>
              <w:left w:w="105" w:type="dxa"/>
              <w:bottom w:w="100" w:type="dxa"/>
              <w:right w:w="105" w:type="dxa"/>
            </w:tcMar>
            <w:vAlign w:val="center"/>
            <w:hideMark/>
          </w:tcPr>
          <w:p w14:paraId="1B0FB111"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440895F1" w14:textId="77777777" w:rsidR="00931D43" w:rsidRPr="00931D43" w:rsidRDefault="00931D43" w:rsidP="00931D43">
            <w:r w:rsidRPr="00931D43">
              <w:rPr>
                <w:color w:val="000000"/>
                <w:sz w:val="19"/>
              </w:rPr>
              <w:t>USD 11.25m</w:t>
            </w:r>
          </w:p>
        </w:tc>
      </w:tr>
      <w:tr w:rsidR="00931D43" w:rsidRPr="00931D43" w14:paraId="07C087B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E169170" w14:textId="77777777" w:rsidR="00931D43" w:rsidRPr="00931D43" w:rsidRDefault="00931D43" w:rsidP="00931D43">
            <w:r w:rsidRPr="00931D43">
              <w:rPr>
                <w:color w:val="000000"/>
                <w:sz w:val="19"/>
              </w:rPr>
              <w:t>Hong Kong Equities</w:t>
            </w:r>
          </w:p>
        </w:tc>
        <w:tc>
          <w:tcPr>
            <w:tcW w:w="0" w:type="auto"/>
            <w:shd w:val="clear" w:color="auto" w:fill="FFFFFF"/>
            <w:tcMar>
              <w:top w:w="100" w:type="dxa"/>
              <w:left w:w="105" w:type="dxa"/>
              <w:bottom w:w="100" w:type="dxa"/>
              <w:right w:w="105" w:type="dxa"/>
            </w:tcMar>
            <w:vAlign w:val="center"/>
            <w:hideMark/>
          </w:tcPr>
          <w:p w14:paraId="32D64C02" w14:textId="77777777" w:rsidR="00931D43" w:rsidRPr="00931D43" w:rsidRDefault="00931D43" w:rsidP="00931D43">
            <w:r w:rsidRPr="00931D43">
              <w:rPr>
                <w:color w:val="000000"/>
                <w:sz w:val="19"/>
              </w:rPr>
              <w:t>Tracker Fund of Hong Kong ETF (2800.HK)</w:t>
            </w:r>
          </w:p>
        </w:tc>
        <w:tc>
          <w:tcPr>
            <w:tcW w:w="0" w:type="auto"/>
            <w:shd w:val="clear" w:color="auto" w:fill="FFFFFF"/>
            <w:tcMar>
              <w:top w:w="100" w:type="dxa"/>
              <w:left w:w="105" w:type="dxa"/>
              <w:bottom w:w="100" w:type="dxa"/>
              <w:right w:w="105" w:type="dxa"/>
            </w:tcMar>
            <w:vAlign w:val="center"/>
            <w:hideMark/>
          </w:tcPr>
          <w:p w14:paraId="622EA5CB"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329B3803" w14:textId="77777777" w:rsidR="00931D43" w:rsidRPr="00931D43" w:rsidRDefault="00931D43" w:rsidP="00931D43">
            <w:r w:rsidRPr="00931D43">
              <w:rPr>
                <w:color w:val="000000"/>
                <w:sz w:val="19"/>
              </w:rPr>
              <w:t>USD 15.0m</w:t>
            </w:r>
          </w:p>
        </w:tc>
      </w:tr>
      <w:tr w:rsidR="00931D43" w:rsidRPr="00931D43" w14:paraId="41F5670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0230293" w14:textId="77777777" w:rsidR="00931D43" w:rsidRPr="00931D43" w:rsidRDefault="00931D43" w:rsidP="00931D43">
            <w:r w:rsidRPr="00931D43">
              <w:rPr>
                <w:color w:val="000000"/>
                <w:sz w:val="19"/>
              </w:rPr>
              <w:t>Hong Kong / China Technology</w:t>
            </w:r>
          </w:p>
        </w:tc>
        <w:tc>
          <w:tcPr>
            <w:tcW w:w="0" w:type="auto"/>
            <w:shd w:val="clear" w:color="auto" w:fill="FFFFFF"/>
            <w:tcMar>
              <w:top w:w="100" w:type="dxa"/>
              <w:left w:w="105" w:type="dxa"/>
              <w:bottom w:w="100" w:type="dxa"/>
              <w:right w:w="105" w:type="dxa"/>
            </w:tcMar>
            <w:vAlign w:val="center"/>
            <w:hideMark/>
          </w:tcPr>
          <w:p w14:paraId="5A267062" w14:textId="77777777" w:rsidR="00931D43" w:rsidRPr="00931D43" w:rsidRDefault="00931D43" w:rsidP="00931D43">
            <w:r w:rsidRPr="00931D43">
              <w:rPr>
                <w:color w:val="000000"/>
                <w:sz w:val="19"/>
              </w:rPr>
              <w:t>Hang Seng TECH ETF-style exposure</w:t>
            </w:r>
          </w:p>
        </w:tc>
        <w:tc>
          <w:tcPr>
            <w:tcW w:w="0" w:type="auto"/>
            <w:shd w:val="clear" w:color="auto" w:fill="FFFFFF"/>
            <w:tcMar>
              <w:top w:w="100" w:type="dxa"/>
              <w:left w:w="105" w:type="dxa"/>
              <w:bottom w:w="100" w:type="dxa"/>
              <w:right w:w="105" w:type="dxa"/>
            </w:tcMar>
            <w:vAlign w:val="center"/>
            <w:hideMark/>
          </w:tcPr>
          <w:p w14:paraId="0FB2352D"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42AEAB7B" w14:textId="77777777" w:rsidR="00931D43" w:rsidRPr="00931D43" w:rsidRDefault="00931D43" w:rsidP="00931D43">
            <w:r w:rsidRPr="00931D43">
              <w:rPr>
                <w:color w:val="000000"/>
                <w:sz w:val="19"/>
              </w:rPr>
              <w:t>USD 11.25m</w:t>
            </w:r>
          </w:p>
        </w:tc>
      </w:tr>
      <w:tr w:rsidR="00931D43" w:rsidRPr="00931D43" w14:paraId="0DDB5F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7D3241"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23FDDDDA" w14:textId="77777777" w:rsidR="00931D43" w:rsidRPr="00931D43" w:rsidRDefault="00931D43" w:rsidP="00931D43">
            <w:r w:rsidRPr="00931D43">
              <w:rPr>
                <w:color w:val="000000"/>
                <w:sz w:val="19"/>
              </w:rPr>
              <w:t>Alibaba (BABA)</w:t>
            </w:r>
          </w:p>
        </w:tc>
        <w:tc>
          <w:tcPr>
            <w:tcW w:w="0" w:type="auto"/>
            <w:shd w:val="clear" w:color="auto" w:fill="FFFFFF"/>
            <w:tcMar>
              <w:top w:w="100" w:type="dxa"/>
              <w:left w:w="105" w:type="dxa"/>
              <w:bottom w:w="100" w:type="dxa"/>
              <w:right w:w="105" w:type="dxa"/>
            </w:tcMar>
            <w:vAlign w:val="center"/>
            <w:hideMark/>
          </w:tcPr>
          <w:p w14:paraId="5D34BFCC" w14:textId="77777777" w:rsidR="00931D43" w:rsidRPr="00931D43" w:rsidRDefault="00931D43" w:rsidP="00931D43">
            <w:r w:rsidRPr="00931D43">
              <w:rPr>
                <w:color w:val="000000"/>
                <w:sz w:val="19"/>
              </w:rPr>
              <w:t>1.2%</w:t>
            </w:r>
          </w:p>
        </w:tc>
        <w:tc>
          <w:tcPr>
            <w:tcW w:w="0" w:type="auto"/>
            <w:shd w:val="clear" w:color="auto" w:fill="FFFFFF"/>
            <w:tcMar>
              <w:top w:w="100" w:type="dxa"/>
              <w:left w:w="105" w:type="dxa"/>
              <w:bottom w:w="100" w:type="dxa"/>
              <w:right w:w="105" w:type="dxa"/>
            </w:tcMar>
            <w:vAlign w:val="center"/>
            <w:hideMark/>
          </w:tcPr>
          <w:p w14:paraId="4BAED983" w14:textId="77777777" w:rsidR="00931D43" w:rsidRPr="00931D43" w:rsidRDefault="00931D43" w:rsidP="00931D43">
            <w:r w:rsidRPr="00931D43">
              <w:rPr>
                <w:color w:val="000000"/>
                <w:sz w:val="19"/>
              </w:rPr>
              <w:t>USD 9.0m</w:t>
            </w:r>
          </w:p>
        </w:tc>
      </w:tr>
      <w:tr w:rsidR="00931D43" w:rsidRPr="00931D43" w14:paraId="0AB783C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3F3C340"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29964AF0" w14:textId="77777777" w:rsidR="00931D43" w:rsidRPr="00931D43" w:rsidRDefault="00931D43" w:rsidP="00931D43">
            <w:r w:rsidRPr="00931D43">
              <w:rPr>
                <w:color w:val="000000"/>
                <w:sz w:val="19"/>
              </w:rPr>
              <w:t>PDD Holdings (PDD)</w:t>
            </w:r>
          </w:p>
        </w:tc>
        <w:tc>
          <w:tcPr>
            <w:tcW w:w="0" w:type="auto"/>
            <w:shd w:val="clear" w:color="auto" w:fill="FFFFFF"/>
            <w:tcMar>
              <w:top w:w="100" w:type="dxa"/>
              <w:left w:w="105" w:type="dxa"/>
              <w:bottom w:w="100" w:type="dxa"/>
              <w:right w:w="105" w:type="dxa"/>
            </w:tcMar>
            <w:vAlign w:val="center"/>
            <w:hideMark/>
          </w:tcPr>
          <w:p w14:paraId="05C5A71E"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0AA8D9C8" w14:textId="77777777" w:rsidR="00931D43" w:rsidRPr="00931D43" w:rsidRDefault="00931D43" w:rsidP="00931D43">
            <w:r w:rsidRPr="00931D43">
              <w:rPr>
                <w:color w:val="000000"/>
                <w:sz w:val="19"/>
              </w:rPr>
              <w:t>USD 7.5m</w:t>
            </w:r>
          </w:p>
        </w:tc>
      </w:tr>
      <w:tr w:rsidR="00931D43" w:rsidRPr="00931D43" w14:paraId="592A9F3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D46627F"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503D84BE" w14:textId="77777777" w:rsidR="00931D43" w:rsidRPr="00931D43" w:rsidRDefault="00931D43" w:rsidP="00931D43">
            <w:r w:rsidRPr="00931D43">
              <w:rPr>
                <w:color w:val="000000"/>
                <w:sz w:val="19"/>
              </w:rPr>
              <w:t>JD.com (JD)</w:t>
            </w:r>
          </w:p>
        </w:tc>
        <w:tc>
          <w:tcPr>
            <w:tcW w:w="0" w:type="auto"/>
            <w:shd w:val="clear" w:color="auto" w:fill="FFFFFF"/>
            <w:tcMar>
              <w:top w:w="100" w:type="dxa"/>
              <w:left w:w="105" w:type="dxa"/>
              <w:bottom w:w="100" w:type="dxa"/>
              <w:right w:w="105" w:type="dxa"/>
            </w:tcMar>
            <w:vAlign w:val="center"/>
            <w:hideMark/>
          </w:tcPr>
          <w:p w14:paraId="631A485C" w14:textId="77777777" w:rsidR="00931D43" w:rsidRPr="00931D43" w:rsidRDefault="00931D43" w:rsidP="00931D43">
            <w:r w:rsidRPr="00931D43">
              <w:rPr>
                <w:color w:val="000000"/>
                <w:sz w:val="19"/>
              </w:rPr>
              <w:t>0.8%</w:t>
            </w:r>
          </w:p>
        </w:tc>
        <w:tc>
          <w:tcPr>
            <w:tcW w:w="0" w:type="auto"/>
            <w:shd w:val="clear" w:color="auto" w:fill="FFFFFF"/>
            <w:tcMar>
              <w:top w:w="100" w:type="dxa"/>
              <w:left w:w="105" w:type="dxa"/>
              <w:bottom w:w="100" w:type="dxa"/>
              <w:right w:w="105" w:type="dxa"/>
            </w:tcMar>
            <w:vAlign w:val="center"/>
            <w:hideMark/>
          </w:tcPr>
          <w:p w14:paraId="0256DB60" w14:textId="77777777" w:rsidR="00931D43" w:rsidRPr="00931D43" w:rsidRDefault="00931D43" w:rsidP="00931D43">
            <w:r w:rsidRPr="00931D43">
              <w:rPr>
                <w:color w:val="000000"/>
                <w:sz w:val="19"/>
              </w:rPr>
              <w:t>USD 6.0m</w:t>
            </w:r>
          </w:p>
        </w:tc>
      </w:tr>
      <w:tr w:rsidR="00931D43" w:rsidRPr="00931D43" w14:paraId="3C33E13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32A89F9" w14:textId="77777777" w:rsidR="00931D43" w:rsidRPr="00931D43" w:rsidRDefault="00931D43" w:rsidP="00931D43">
            <w:r w:rsidRPr="00931D43">
              <w:rPr>
                <w:color w:val="000000"/>
                <w:sz w:val="19"/>
              </w:rPr>
              <w:t>China A-Shares</w:t>
            </w:r>
          </w:p>
        </w:tc>
        <w:tc>
          <w:tcPr>
            <w:tcW w:w="0" w:type="auto"/>
            <w:shd w:val="clear" w:color="auto" w:fill="FFFFFF"/>
            <w:tcMar>
              <w:top w:w="100" w:type="dxa"/>
              <w:left w:w="105" w:type="dxa"/>
              <w:bottom w:w="100" w:type="dxa"/>
              <w:right w:w="105" w:type="dxa"/>
            </w:tcMar>
            <w:vAlign w:val="center"/>
            <w:hideMark/>
          </w:tcPr>
          <w:p w14:paraId="21FBFE82" w14:textId="77777777" w:rsidR="00931D43" w:rsidRPr="00931D43" w:rsidRDefault="00931D43" w:rsidP="00931D43">
            <w:r w:rsidRPr="00931D43">
              <w:rPr>
                <w:color w:val="000000"/>
                <w:sz w:val="19"/>
              </w:rPr>
              <w:t>iShares MSCI China A ETF (CNYA) or equivalent A-share ETF</w:t>
            </w:r>
          </w:p>
        </w:tc>
        <w:tc>
          <w:tcPr>
            <w:tcW w:w="0" w:type="auto"/>
            <w:shd w:val="clear" w:color="auto" w:fill="FFFFFF"/>
            <w:tcMar>
              <w:top w:w="100" w:type="dxa"/>
              <w:left w:w="105" w:type="dxa"/>
              <w:bottom w:w="100" w:type="dxa"/>
              <w:right w:w="105" w:type="dxa"/>
            </w:tcMar>
            <w:vAlign w:val="center"/>
            <w:hideMark/>
          </w:tcPr>
          <w:p w14:paraId="5B5F8E07"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7BD88359" w14:textId="77777777" w:rsidR="00931D43" w:rsidRPr="00931D43" w:rsidRDefault="00931D43" w:rsidP="00931D43">
            <w:r w:rsidRPr="00931D43">
              <w:rPr>
                <w:color w:val="000000"/>
                <w:sz w:val="19"/>
              </w:rPr>
              <w:t>USD 15.0m</w:t>
            </w:r>
          </w:p>
        </w:tc>
      </w:tr>
      <w:tr w:rsidR="00931D43" w:rsidRPr="00931D43" w14:paraId="1D1B738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D5507BA" w14:textId="77777777" w:rsidR="00931D43" w:rsidRPr="00931D43" w:rsidRDefault="00931D43" w:rsidP="00931D43">
            <w:r w:rsidRPr="00931D43">
              <w:rPr>
                <w:color w:val="000000"/>
                <w:sz w:val="19"/>
              </w:rPr>
              <w:t>China A-Shares Consumer / Quality</w:t>
            </w:r>
          </w:p>
        </w:tc>
        <w:tc>
          <w:tcPr>
            <w:tcW w:w="0" w:type="auto"/>
            <w:shd w:val="clear" w:color="auto" w:fill="FFFFFF"/>
            <w:tcMar>
              <w:top w:w="100" w:type="dxa"/>
              <w:left w:w="105" w:type="dxa"/>
              <w:bottom w:w="100" w:type="dxa"/>
              <w:right w:w="105" w:type="dxa"/>
            </w:tcMar>
            <w:vAlign w:val="center"/>
            <w:hideMark/>
          </w:tcPr>
          <w:p w14:paraId="32163C3E" w14:textId="77777777" w:rsidR="00931D43" w:rsidRPr="00931D43" w:rsidRDefault="00931D43" w:rsidP="00931D43">
            <w:r w:rsidRPr="00931D43">
              <w:rPr>
                <w:color w:val="000000"/>
                <w:sz w:val="19"/>
              </w:rPr>
              <w:t>CSI Consumer ETF / Kweichow Moutai-style exposure</w:t>
            </w:r>
          </w:p>
        </w:tc>
        <w:tc>
          <w:tcPr>
            <w:tcW w:w="0" w:type="auto"/>
            <w:shd w:val="clear" w:color="auto" w:fill="FFFFFF"/>
            <w:tcMar>
              <w:top w:w="100" w:type="dxa"/>
              <w:left w:w="105" w:type="dxa"/>
              <w:bottom w:w="100" w:type="dxa"/>
              <w:right w:w="105" w:type="dxa"/>
            </w:tcMar>
            <w:vAlign w:val="center"/>
            <w:hideMark/>
          </w:tcPr>
          <w:p w14:paraId="1A11EFEA"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3D2DB23C" w14:textId="77777777" w:rsidR="00931D43" w:rsidRPr="00931D43" w:rsidRDefault="00931D43" w:rsidP="00931D43">
            <w:r w:rsidRPr="00931D43">
              <w:rPr>
                <w:color w:val="000000"/>
                <w:sz w:val="19"/>
              </w:rPr>
              <w:t>USD 7.5m</w:t>
            </w:r>
          </w:p>
        </w:tc>
      </w:tr>
      <w:tr w:rsidR="00931D43" w:rsidRPr="00931D43" w14:paraId="57B78A9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12CB433" w14:textId="77777777" w:rsidR="00931D43" w:rsidRPr="00931D43" w:rsidRDefault="00931D43" w:rsidP="00931D43">
            <w:r w:rsidRPr="00931D43">
              <w:rPr>
                <w:color w:val="000000"/>
                <w:sz w:val="19"/>
              </w:rPr>
              <w:t>Japan Equities</w:t>
            </w:r>
          </w:p>
        </w:tc>
        <w:tc>
          <w:tcPr>
            <w:tcW w:w="0" w:type="auto"/>
            <w:shd w:val="clear" w:color="auto" w:fill="FFFFFF"/>
            <w:tcMar>
              <w:top w:w="100" w:type="dxa"/>
              <w:left w:w="105" w:type="dxa"/>
              <w:bottom w:w="100" w:type="dxa"/>
              <w:right w:w="105" w:type="dxa"/>
            </w:tcMar>
            <w:vAlign w:val="center"/>
            <w:hideMark/>
          </w:tcPr>
          <w:p w14:paraId="6B09E968" w14:textId="77777777" w:rsidR="00931D43" w:rsidRPr="00931D43" w:rsidRDefault="00931D43" w:rsidP="00931D43">
            <w:r w:rsidRPr="00931D43">
              <w:rPr>
                <w:color w:val="000000"/>
                <w:sz w:val="19"/>
              </w:rPr>
              <w:t>iShares MSCI Japan ETF (EWJ)</w:t>
            </w:r>
          </w:p>
        </w:tc>
        <w:tc>
          <w:tcPr>
            <w:tcW w:w="0" w:type="auto"/>
            <w:shd w:val="clear" w:color="auto" w:fill="FFFFFF"/>
            <w:tcMar>
              <w:top w:w="100" w:type="dxa"/>
              <w:left w:w="105" w:type="dxa"/>
              <w:bottom w:w="100" w:type="dxa"/>
              <w:right w:w="105" w:type="dxa"/>
            </w:tcMar>
            <w:vAlign w:val="center"/>
            <w:hideMark/>
          </w:tcPr>
          <w:p w14:paraId="764C35A9"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64B39066" w14:textId="77777777" w:rsidR="00931D43" w:rsidRPr="00931D43" w:rsidRDefault="00931D43" w:rsidP="00931D43">
            <w:r w:rsidRPr="00931D43">
              <w:rPr>
                <w:color w:val="000000"/>
                <w:sz w:val="19"/>
              </w:rPr>
              <w:t>USD 7.5m</w:t>
            </w:r>
          </w:p>
        </w:tc>
      </w:tr>
      <w:tr w:rsidR="00931D43" w:rsidRPr="00931D43" w14:paraId="657215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4BE3FF" w14:textId="77777777" w:rsidR="00931D43" w:rsidRPr="00931D43" w:rsidRDefault="00931D43" w:rsidP="00931D43">
            <w:r w:rsidRPr="00931D43">
              <w:rPr>
                <w:color w:val="000000"/>
                <w:sz w:val="19"/>
              </w:rPr>
              <w:t>India Equities</w:t>
            </w:r>
          </w:p>
        </w:tc>
        <w:tc>
          <w:tcPr>
            <w:tcW w:w="0" w:type="auto"/>
            <w:shd w:val="clear" w:color="auto" w:fill="FFFFFF"/>
            <w:tcMar>
              <w:top w:w="100" w:type="dxa"/>
              <w:left w:w="105" w:type="dxa"/>
              <w:bottom w:w="100" w:type="dxa"/>
              <w:right w:w="105" w:type="dxa"/>
            </w:tcMar>
            <w:vAlign w:val="center"/>
            <w:hideMark/>
          </w:tcPr>
          <w:p w14:paraId="7576891F" w14:textId="77777777" w:rsidR="00931D43" w:rsidRPr="00931D43" w:rsidRDefault="00931D43" w:rsidP="00931D43">
            <w:r w:rsidRPr="00931D43">
              <w:rPr>
                <w:color w:val="000000"/>
                <w:sz w:val="19"/>
              </w:rPr>
              <w:t>iShares MSCI India ETF (INDA)</w:t>
            </w:r>
          </w:p>
        </w:tc>
        <w:tc>
          <w:tcPr>
            <w:tcW w:w="0" w:type="auto"/>
            <w:shd w:val="clear" w:color="auto" w:fill="FFFFFF"/>
            <w:tcMar>
              <w:top w:w="100" w:type="dxa"/>
              <w:left w:w="105" w:type="dxa"/>
              <w:bottom w:w="100" w:type="dxa"/>
              <w:right w:w="105" w:type="dxa"/>
            </w:tcMar>
            <w:vAlign w:val="center"/>
            <w:hideMark/>
          </w:tcPr>
          <w:p w14:paraId="5F776225"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01FD1743" w14:textId="77777777" w:rsidR="00931D43" w:rsidRPr="00931D43" w:rsidRDefault="00931D43" w:rsidP="00931D43">
            <w:r w:rsidRPr="00931D43">
              <w:rPr>
                <w:color w:val="000000"/>
                <w:sz w:val="19"/>
              </w:rPr>
              <w:t>USD 7.5m</w:t>
            </w:r>
          </w:p>
        </w:tc>
      </w:tr>
      <w:tr w:rsidR="00931D43" w:rsidRPr="00931D43" w14:paraId="3BCED5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4AD816B"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6F4ACFE4" w14:textId="77777777" w:rsidR="00931D43" w:rsidRPr="00931D43" w:rsidRDefault="00931D43" w:rsidP="00931D43"/>
        </w:tc>
        <w:tc>
          <w:tcPr>
            <w:tcW w:w="0" w:type="auto"/>
            <w:shd w:val="clear" w:color="auto" w:fill="FFFFFF"/>
            <w:tcMar>
              <w:top w:w="100" w:type="dxa"/>
              <w:left w:w="105" w:type="dxa"/>
              <w:bottom w:w="100" w:type="dxa"/>
              <w:right w:w="105" w:type="dxa"/>
            </w:tcMar>
            <w:vAlign w:val="center"/>
            <w:hideMark/>
          </w:tcPr>
          <w:p w14:paraId="24165EDB" w14:textId="77777777" w:rsidR="00931D43" w:rsidRPr="00931D43" w:rsidRDefault="00931D43" w:rsidP="00931D43">
            <w:r w:rsidRPr="00931D43">
              <w:rPr>
                <w:bCs/>
                <w:color w:val="000000"/>
                <w:sz w:val="19"/>
              </w:rPr>
              <w:t>30.0%</w:t>
            </w:r>
          </w:p>
        </w:tc>
        <w:tc>
          <w:tcPr>
            <w:tcW w:w="0" w:type="auto"/>
            <w:shd w:val="clear" w:color="auto" w:fill="FFFFFF"/>
            <w:tcMar>
              <w:top w:w="100" w:type="dxa"/>
              <w:left w:w="105" w:type="dxa"/>
              <w:bottom w:w="100" w:type="dxa"/>
              <w:right w:w="105" w:type="dxa"/>
            </w:tcMar>
            <w:vAlign w:val="center"/>
            <w:hideMark/>
          </w:tcPr>
          <w:p w14:paraId="0941C929" w14:textId="77777777" w:rsidR="00931D43" w:rsidRPr="00931D43" w:rsidRDefault="00931D43" w:rsidP="00931D43">
            <w:r w:rsidRPr="00931D43">
              <w:rPr>
                <w:bCs/>
                <w:color w:val="000000"/>
                <w:sz w:val="19"/>
              </w:rPr>
              <w:t>USD 225.0m</w:t>
            </w:r>
          </w:p>
        </w:tc>
      </w:tr>
    </w:tbl>
    <w:p w14:paraId="08F2C3FE"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3.5 Private Market Holdings</w:t>
      </w:r>
    </w:p>
    <w:p w14:paraId="64558C49" w14:textId="77777777" w:rsidR="00931D43" w:rsidRPr="00931D43" w:rsidRDefault="00931D43" w:rsidP="00931D43">
      <w:pPr>
        <w:spacing w:beforeAutospacing="1" w:afterAutospacing="1"/>
      </w:pPr>
      <w:r w:rsidRPr="00931D43">
        <w:t>The private market allocation includes private equity, venture capital, private credit, real estate, and infrastructure. These investments are included because they generate document-heavy reporting workflows and create the need for commitment tracking, capital call monitoring, distribution processing, and liquidity planning.</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143"/>
        <w:gridCol w:w="1154"/>
        <w:gridCol w:w="1244"/>
        <w:gridCol w:w="6321"/>
      </w:tblGrid>
      <w:tr w:rsidR="00931D43" w:rsidRPr="00931D43" w14:paraId="77A8C7CF"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40F3C262" w14:textId="77777777" w:rsidR="00931D43" w:rsidRPr="00931D43" w:rsidRDefault="00931D43" w:rsidP="00931D43">
            <w:pPr>
              <w:jc w:val="center"/>
              <w:rPr>
                <w:b/>
                <w:bCs/>
              </w:rPr>
            </w:pPr>
            <w:r w:rsidRPr="00931D43">
              <w:rPr>
                <w:b/>
                <w:bCs/>
                <w:color w:val="000000"/>
                <w:sz w:val="19"/>
              </w:rPr>
              <w:t>Private Market Category</w:t>
            </w:r>
          </w:p>
        </w:tc>
        <w:tc>
          <w:tcPr>
            <w:tcW w:w="0" w:type="auto"/>
            <w:shd w:val="clear" w:color="auto" w:fill="D9EAF7"/>
            <w:tcMar>
              <w:top w:w="100" w:type="dxa"/>
              <w:left w:w="105" w:type="dxa"/>
              <w:bottom w:w="100" w:type="dxa"/>
              <w:right w:w="105" w:type="dxa"/>
            </w:tcMar>
            <w:vAlign w:val="center"/>
            <w:hideMark/>
          </w:tcPr>
          <w:p w14:paraId="6274F8B9"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3C76CA37"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100" w:type="dxa"/>
              <w:left w:w="105" w:type="dxa"/>
              <w:bottom w:w="100" w:type="dxa"/>
              <w:right w:w="105" w:type="dxa"/>
            </w:tcMar>
            <w:vAlign w:val="center"/>
            <w:hideMark/>
          </w:tcPr>
          <w:p w14:paraId="3438873C" w14:textId="77777777" w:rsidR="00931D43" w:rsidRPr="00931D43" w:rsidRDefault="00931D43" w:rsidP="00931D43">
            <w:pPr>
              <w:jc w:val="center"/>
              <w:rPr>
                <w:b/>
                <w:bCs/>
              </w:rPr>
            </w:pPr>
            <w:r w:rsidRPr="00931D43">
              <w:rPr>
                <w:b/>
                <w:bCs/>
                <w:color w:val="000000"/>
                <w:sz w:val="19"/>
              </w:rPr>
              <w:t>Example Exposure</w:t>
            </w:r>
          </w:p>
        </w:tc>
      </w:tr>
      <w:tr w:rsidR="00931D43" w:rsidRPr="00931D43" w14:paraId="59EDE97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1064730" w14:textId="77777777" w:rsidR="00931D43" w:rsidRPr="00931D43" w:rsidRDefault="00931D43" w:rsidP="00931D43">
            <w:r w:rsidRPr="00931D43">
              <w:rPr>
                <w:color w:val="000000"/>
                <w:sz w:val="19"/>
              </w:rPr>
              <w:t>Private Equity</w:t>
            </w:r>
          </w:p>
        </w:tc>
        <w:tc>
          <w:tcPr>
            <w:tcW w:w="0" w:type="auto"/>
            <w:shd w:val="clear" w:color="auto" w:fill="FFFFFF"/>
            <w:tcMar>
              <w:top w:w="100" w:type="dxa"/>
              <w:left w:w="105" w:type="dxa"/>
              <w:bottom w:w="100" w:type="dxa"/>
              <w:right w:w="105" w:type="dxa"/>
            </w:tcMar>
            <w:vAlign w:val="center"/>
            <w:hideMark/>
          </w:tcPr>
          <w:p w14:paraId="08E5C100"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7129D831" w14:textId="77777777" w:rsidR="00931D43" w:rsidRPr="00931D43" w:rsidRDefault="00931D43" w:rsidP="00931D43">
            <w:r w:rsidRPr="00931D43">
              <w:rPr>
                <w:color w:val="000000"/>
                <w:sz w:val="19"/>
              </w:rPr>
              <w:t>USD 135.0m</w:t>
            </w:r>
          </w:p>
        </w:tc>
        <w:tc>
          <w:tcPr>
            <w:tcW w:w="0" w:type="auto"/>
            <w:shd w:val="clear" w:color="auto" w:fill="FFFFFF"/>
            <w:tcMar>
              <w:top w:w="100" w:type="dxa"/>
              <w:left w:w="105" w:type="dxa"/>
              <w:bottom w:w="100" w:type="dxa"/>
              <w:right w:w="105" w:type="dxa"/>
            </w:tcMar>
            <w:vAlign w:val="center"/>
            <w:hideMark/>
          </w:tcPr>
          <w:p w14:paraId="6D57BCAB" w14:textId="77777777" w:rsidR="00931D43" w:rsidRPr="00931D43" w:rsidRDefault="00931D43" w:rsidP="00931D43">
            <w:r w:rsidRPr="00931D43">
              <w:rPr>
                <w:color w:val="000000"/>
                <w:sz w:val="19"/>
              </w:rPr>
              <w:t>Buyout, co-investment, secondaries, Asia buyout, Greater China opportunities</w:t>
            </w:r>
          </w:p>
        </w:tc>
      </w:tr>
      <w:tr w:rsidR="00931D43" w:rsidRPr="00931D43" w14:paraId="53099AC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722C2D1" w14:textId="77777777" w:rsidR="00931D43" w:rsidRPr="00931D43" w:rsidRDefault="00931D43" w:rsidP="00931D43">
            <w:r w:rsidRPr="00931D43">
              <w:rPr>
                <w:color w:val="000000"/>
                <w:sz w:val="19"/>
              </w:rPr>
              <w:t>Venture Capital / Growth</w:t>
            </w:r>
          </w:p>
        </w:tc>
        <w:tc>
          <w:tcPr>
            <w:tcW w:w="0" w:type="auto"/>
            <w:shd w:val="clear" w:color="auto" w:fill="FFFFFF"/>
            <w:tcMar>
              <w:top w:w="100" w:type="dxa"/>
              <w:left w:w="105" w:type="dxa"/>
              <w:bottom w:w="100" w:type="dxa"/>
              <w:right w:w="105" w:type="dxa"/>
            </w:tcMar>
            <w:vAlign w:val="center"/>
            <w:hideMark/>
          </w:tcPr>
          <w:p w14:paraId="2B988912"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15CF3369" w14:textId="77777777" w:rsidR="00931D43" w:rsidRPr="00931D43" w:rsidRDefault="00931D43" w:rsidP="00931D43">
            <w:r w:rsidRPr="00931D43">
              <w:rPr>
                <w:color w:val="000000"/>
                <w:sz w:val="19"/>
              </w:rPr>
              <w:t>USD 75.0m</w:t>
            </w:r>
          </w:p>
        </w:tc>
        <w:tc>
          <w:tcPr>
            <w:tcW w:w="0" w:type="auto"/>
            <w:shd w:val="clear" w:color="auto" w:fill="FFFFFF"/>
            <w:tcMar>
              <w:top w:w="100" w:type="dxa"/>
              <w:left w:w="105" w:type="dxa"/>
              <w:bottom w:w="100" w:type="dxa"/>
              <w:right w:w="105" w:type="dxa"/>
            </w:tcMar>
            <w:vAlign w:val="center"/>
            <w:hideMark/>
          </w:tcPr>
          <w:p w14:paraId="48F3FBA4" w14:textId="77777777" w:rsidR="00931D43" w:rsidRPr="00931D43" w:rsidRDefault="00931D43" w:rsidP="00931D43">
            <w:r w:rsidRPr="00931D43">
              <w:rPr>
                <w:color w:val="000000"/>
                <w:sz w:val="19"/>
              </w:rPr>
              <w:t>US technology, global growth equity, Southeast Asia VC, India digital growth, climate technology</w:t>
            </w:r>
          </w:p>
        </w:tc>
      </w:tr>
      <w:tr w:rsidR="00931D43" w:rsidRPr="00931D43" w14:paraId="0F10982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2834964" w14:textId="77777777" w:rsidR="00931D43" w:rsidRPr="00931D43" w:rsidRDefault="00931D43" w:rsidP="00931D43">
            <w:r w:rsidRPr="00931D43">
              <w:rPr>
                <w:color w:val="000000"/>
                <w:sz w:val="19"/>
              </w:rPr>
              <w:lastRenderedPageBreak/>
              <w:t>Private Credit</w:t>
            </w:r>
          </w:p>
        </w:tc>
        <w:tc>
          <w:tcPr>
            <w:tcW w:w="0" w:type="auto"/>
            <w:shd w:val="clear" w:color="auto" w:fill="FFFFFF"/>
            <w:tcMar>
              <w:top w:w="100" w:type="dxa"/>
              <w:left w:w="105" w:type="dxa"/>
              <w:bottom w:w="100" w:type="dxa"/>
              <w:right w:w="105" w:type="dxa"/>
            </w:tcMar>
            <w:vAlign w:val="center"/>
            <w:hideMark/>
          </w:tcPr>
          <w:p w14:paraId="71A3424A" w14:textId="77777777" w:rsidR="00931D43" w:rsidRPr="00931D43" w:rsidRDefault="00931D43" w:rsidP="00931D43">
            <w:r w:rsidRPr="00931D43">
              <w:rPr>
                <w:color w:val="000000"/>
                <w:sz w:val="19"/>
              </w:rPr>
              <w:t>9%</w:t>
            </w:r>
          </w:p>
        </w:tc>
        <w:tc>
          <w:tcPr>
            <w:tcW w:w="0" w:type="auto"/>
            <w:shd w:val="clear" w:color="auto" w:fill="FFFFFF"/>
            <w:tcMar>
              <w:top w:w="100" w:type="dxa"/>
              <w:left w:w="105" w:type="dxa"/>
              <w:bottom w:w="100" w:type="dxa"/>
              <w:right w:w="105" w:type="dxa"/>
            </w:tcMar>
            <w:vAlign w:val="center"/>
            <w:hideMark/>
          </w:tcPr>
          <w:p w14:paraId="1F32FD3B" w14:textId="77777777" w:rsidR="00931D43" w:rsidRPr="00931D43" w:rsidRDefault="00931D43" w:rsidP="00931D43">
            <w:r w:rsidRPr="00931D43">
              <w:rPr>
                <w:color w:val="000000"/>
                <w:sz w:val="19"/>
              </w:rPr>
              <w:t>USD 67.5m</w:t>
            </w:r>
          </w:p>
        </w:tc>
        <w:tc>
          <w:tcPr>
            <w:tcW w:w="0" w:type="auto"/>
            <w:shd w:val="clear" w:color="auto" w:fill="FFFFFF"/>
            <w:tcMar>
              <w:top w:w="100" w:type="dxa"/>
              <w:left w:w="105" w:type="dxa"/>
              <w:bottom w:w="100" w:type="dxa"/>
              <w:right w:w="105" w:type="dxa"/>
            </w:tcMar>
            <w:vAlign w:val="center"/>
            <w:hideMark/>
          </w:tcPr>
          <w:p w14:paraId="02298CF1" w14:textId="77777777" w:rsidR="00931D43" w:rsidRPr="00931D43" w:rsidRDefault="00931D43" w:rsidP="00931D43">
            <w:r w:rsidRPr="00931D43">
              <w:rPr>
                <w:color w:val="000000"/>
                <w:sz w:val="19"/>
              </w:rPr>
              <w:t>Senior direct lending, opportunistic credit, specialty finance, Asia private credit</w:t>
            </w:r>
          </w:p>
        </w:tc>
      </w:tr>
      <w:tr w:rsidR="00931D43" w:rsidRPr="00931D43" w14:paraId="7DB08BD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A8BB4D" w14:textId="77777777" w:rsidR="00931D43" w:rsidRPr="00931D43" w:rsidRDefault="00931D43" w:rsidP="00931D43">
            <w:r w:rsidRPr="00931D43">
              <w:rPr>
                <w:color w:val="000000"/>
                <w:sz w:val="19"/>
              </w:rPr>
              <w:t>Real Estate</w:t>
            </w:r>
          </w:p>
        </w:tc>
        <w:tc>
          <w:tcPr>
            <w:tcW w:w="0" w:type="auto"/>
            <w:shd w:val="clear" w:color="auto" w:fill="FFFFFF"/>
            <w:tcMar>
              <w:top w:w="100" w:type="dxa"/>
              <w:left w:w="105" w:type="dxa"/>
              <w:bottom w:w="100" w:type="dxa"/>
              <w:right w:w="105" w:type="dxa"/>
            </w:tcMar>
            <w:vAlign w:val="center"/>
            <w:hideMark/>
          </w:tcPr>
          <w:p w14:paraId="062641E2"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04BA2477" w14:textId="77777777" w:rsidR="00931D43" w:rsidRPr="00931D43" w:rsidRDefault="00931D43" w:rsidP="00931D43">
            <w:r w:rsidRPr="00931D43">
              <w:rPr>
                <w:color w:val="000000"/>
                <w:sz w:val="19"/>
              </w:rPr>
              <w:t>USD 60.0m</w:t>
            </w:r>
          </w:p>
        </w:tc>
        <w:tc>
          <w:tcPr>
            <w:tcW w:w="0" w:type="auto"/>
            <w:shd w:val="clear" w:color="auto" w:fill="FFFFFF"/>
            <w:tcMar>
              <w:top w:w="100" w:type="dxa"/>
              <w:left w:w="105" w:type="dxa"/>
              <w:bottom w:w="100" w:type="dxa"/>
              <w:right w:w="105" w:type="dxa"/>
            </w:tcMar>
            <w:vAlign w:val="center"/>
            <w:hideMark/>
          </w:tcPr>
          <w:p w14:paraId="7415A6E5" w14:textId="77777777" w:rsidR="00931D43" w:rsidRPr="00931D43" w:rsidRDefault="00931D43" w:rsidP="00931D43">
            <w:r w:rsidRPr="00931D43">
              <w:rPr>
                <w:color w:val="000000"/>
                <w:sz w:val="19"/>
              </w:rPr>
              <w:t>Core real estate, logistics, multifamily, Singapore REIT exposure, APAC logistics</w:t>
            </w:r>
          </w:p>
        </w:tc>
      </w:tr>
      <w:tr w:rsidR="00931D43" w:rsidRPr="00931D43" w14:paraId="0BE4350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8F1791D" w14:textId="77777777" w:rsidR="00931D43" w:rsidRPr="00931D43" w:rsidRDefault="00931D43" w:rsidP="00931D43">
            <w:r w:rsidRPr="00931D43">
              <w:rPr>
                <w:color w:val="000000"/>
                <w:sz w:val="19"/>
              </w:rPr>
              <w:t>Infrastructure</w:t>
            </w:r>
          </w:p>
        </w:tc>
        <w:tc>
          <w:tcPr>
            <w:tcW w:w="0" w:type="auto"/>
            <w:shd w:val="clear" w:color="auto" w:fill="FFFFFF"/>
            <w:tcMar>
              <w:top w:w="100" w:type="dxa"/>
              <w:left w:w="105" w:type="dxa"/>
              <w:bottom w:w="100" w:type="dxa"/>
              <w:right w:w="105" w:type="dxa"/>
            </w:tcMar>
            <w:vAlign w:val="center"/>
            <w:hideMark/>
          </w:tcPr>
          <w:p w14:paraId="62C04EC9"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069B5B9A" w14:textId="77777777" w:rsidR="00931D43" w:rsidRPr="00931D43" w:rsidRDefault="00931D43" w:rsidP="00931D43">
            <w:r w:rsidRPr="00931D43">
              <w:rPr>
                <w:color w:val="000000"/>
                <w:sz w:val="19"/>
              </w:rPr>
              <w:t>USD 30.0m</w:t>
            </w:r>
          </w:p>
        </w:tc>
        <w:tc>
          <w:tcPr>
            <w:tcW w:w="0" w:type="auto"/>
            <w:shd w:val="clear" w:color="auto" w:fill="FFFFFF"/>
            <w:tcMar>
              <w:top w:w="100" w:type="dxa"/>
              <w:left w:w="105" w:type="dxa"/>
              <w:bottom w:w="100" w:type="dxa"/>
              <w:right w:w="105" w:type="dxa"/>
            </w:tcMar>
            <w:vAlign w:val="center"/>
            <w:hideMark/>
          </w:tcPr>
          <w:p w14:paraId="1115C99D" w14:textId="77777777" w:rsidR="00931D43" w:rsidRPr="00931D43" w:rsidRDefault="00931D43" w:rsidP="00931D43">
            <w:r w:rsidRPr="00931D43">
              <w:rPr>
                <w:color w:val="000000"/>
                <w:sz w:val="19"/>
              </w:rPr>
              <w:t>Core infrastructure, renewables, digital infrastructure, Southeast Asia infrastructure</w:t>
            </w:r>
          </w:p>
        </w:tc>
      </w:tr>
      <w:tr w:rsidR="00931D43" w:rsidRPr="00931D43" w14:paraId="546C5E6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CD2E85E"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52293909" w14:textId="77777777" w:rsidR="00931D43" w:rsidRPr="00931D43" w:rsidRDefault="00931D43" w:rsidP="00931D43">
            <w:r w:rsidRPr="00931D43">
              <w:rPr>
                <w:bCs/>
                <w:color w:val="000000"/>
                <w:sz w:val="19"/>
              </w:rPr>
              <w:t>49%</w:t>
            </w:r>
          </w:p>
        </w:tc>
        <w:tc>
          <w:tcPr>
            <w:tcW w:w="0" w:type="auto"/>
            <w:shd w:val="clear" w:color="auto" w:fill="FFFFFF"/>
            <w:tcMar>
              <w:top w:w="100" w:type="dxa"/>
              <w:left w:w="105" w:type="dxa"/>
              <w:bottom w:w="100" w:type="dxa"/>
              <w:right w:w="105" w:type="dxa"/>
            </w:tcMar>
            <w:vAlign w:val="center"/>
            <w:hideMark/>
          </w:tcPr>
          <w:p w14:paraId="127DF4C6" w14:textId="77777777" w:rsidR="00931D43" w:rsidRPr="00931D43" w:rsidRDefault="00931D43" w:rsidP="00931D43">
            <w:r w:rsidRPr="00931D43">
              <w:rPr>
                <w:bCs/>
                <w:color w:val="000000"/>
                <w:sz w:val="19"/>
              </w:rPr>
              <w:t>USD 367.5m</w:t>
            </w:r>
          </w:p>
        </w:tc>
        <w:tc>
          <w:tcPr>
            <w:tcW w:w="0" w:type="auto"/>
            <w:shd w:val="clear" w:color="auto" w:fill="FFFFFF"/>
            <w:tcMar>
              <w:top w:w="100" w:type="dxa"/>
              <w:left w:w="105" w:type="dxa"/>
              <w:bottom w:w="100" w:type="dxa"/>
              <w:right w:w="105" w:type="dxa"/>
            </w:tcMar>
            <w:vAlign w:val="center"/>
            <w:hideMark/>
          </w:tcPr>
          <w:p w14:paraId="052415FE" w14:textId="77777777" w:rsidR="00931D43" w:rsidRPr="00931D43" w:rsidRDefault="00931D43" w:rsidP="00931D43"/>
        </w:tc>
      </w:tr>
    </w:tbl>
    <w:p w14:paraId="5C6D966A" w14:textId="77777777" w:rsidR="00931D43" w:rsidRPr="00931D43" w:rsidRDefault="00931D43" w:rsidP="00931D43">
      <w:pPr>
        <w:spacing w:beforeAutospacing="1" w:afterAutospacing="1"/>
      </w:pPr>
      <w:r w:rsidRPr="00931D43">
        <w:t>For the proof-of-concept, the private market book is more important than its exact investment return profile. It provides the document and workflow complexity needed to test whether AI can extract relevant information from mock capital call notices, distribution notices, and fund statements.</w:t>
      </w:r>
    </w:p>
    <w:p w14:paraId="73303EEA"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3.6 Private Market Commitment Assumptions</w:t>
      </w:r>
    </w:p>
    <w:p w14:paraId="1CEA921E" w14:textId="77777777" w:rsidR="00931D43" w:rsidRPr="00931D43" w:rsidRDefault="00931D43" w:rsidP="00931D43">
      <w:pPr>
        <w:spacing w:beforeAutospacing="1" w:afterAutospacing="1"/>
      </w:pPr>
      <w:r w:rsidRPr="00931D43">
        <w:t>The synthetic portfolio includes committed private market capital, paid-in capital, current NAV, and unfunded commitments. These assumptions are necessary because a family office must monitor not only current private market value but also future funding obligations.</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3043"/>
        <w:gridCol w:w="1307"/>
      </w:tblGrid>
      <w:tr w:rsidR="00931D43" w:rsidRPr="00931D43" w14:paraId="64677BC1"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6DF44D28" w14:textId="77777777" w:rsidR="00931D43" w:rsidRPr="00931D43" w:rsidRDefault="00931D43" w:rsidP="00931D43">
            <w:pPr>
              <w:jc w:val="center"/>
              <w:rPr>
                <w:b/>
                <w:bCs/>
              </w:rPr>
            </w:pPr>
            <w:r w:rsidRPr="00931D43">
              <w:rPr>
                <w:b/>
                <w:bCs/>
                <w:color w:val="000000"/>
                <w:sz w:val="19"/>
              </w:rPr>
              <w:t>Private Market Metric</w:t>
            </w:r>
          </w:p>
        </w:tc>
        <w:tc>
          <w:tcPr>
            <w:tcW w:w="0" w:type="auto"/>
            <w:shd w:val="clear" w:color="auto" w:fill="D9EAF7"/>
            <w:tcMar>
              <w:top w:w="100" w:type="dxa"/>
              <w:left w:w="105" w:type="dxa"/>
              <w:bottom w:w="100" w:type="dxa"/>
              <w:right w:w="105" w:type="dxa"/>
            </w:tcMar>
            <w:vAlign w:val="center"/>
            <w:hideMark/>
          </w:tcPr>
          <w:p w14:paraId="5040E394" w14:textId="77777777" w:rsidR="00931D43" w:rsidRPr="00931D43" w:rsidRDefault="00931D43" w:rsidP="00931D43">
            <w:pPr>
              <w:jc w:val="center"/>
              <w:rPr>
                <w:b/>
                <w:bCs/>
              </w:rPr>
            </w:pPr>
            <w:r w:rsidRPr="00931D43">
              <w:rPr>
                <w:b/>
                <w:bCs/>
                <w:color w:val="000000"/>
                <w:sz w:val="19"/>
              </w:rPr>
              <w:t>Assumption</w:t>
            </w:r>
          </w:p>
        </w:tc>
      </w:tr>
      <w:tr w:rsidR="00931D43" w:rsidRPr="00931D43" w14:paraId="4788E4F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10396E4" w14:textId="77777777" w:rsidR="00931D43" w:rsidRPr="00931D43" w:rsidRDefault="00931D43" w:rsidP="00931D43">
            <w:r w:rsidRPr="00931D43">
              <w:rPr>
                <w:color w:val="000000"/>
                <w:sz w:val="19"/>
              </w:rPr>
              <w:t>Current Private Market NAV</w:t>
            </w:r>
          </w:p>
        </w:tc>
        <w:tc>
          <w:tcPr>
            <w:tcW w:w="0" w:type="auto"/>
            <w:shd w:val="clear" w:color="auto" w:fill="FFFFFF"/>
            <w:tcMar>
              <w:top w:w="100" w:type="dxa"/>
              <w:left w:w="105" w:type="dxa"/>
              <w:bottom w:w="100" w:type="dxa"/>
              <w:right w:w="105" w:type="dxa"/>
            </w:tcMar>
            <w:vAlign w:val="center"/>
            <w:hideMark/>
          </w:tcPr>
          <w:p w14:paraId="31C0ABBB" w14:textId="77777777" w:rsidR="00931D43" w:rsidRPr="00931D43" w:rsidRDefault="00931D43" w:rsidP="00931D43">
            <w:r w:rsidRPr="00931D43">
              <w:rPr>
                <w:color w:val="000000"/>
                <w:sz w:val="19"/>
              </w:rPr>
              <w:t>USD 345m</w:t>
            </w:r>
          </w:p>
        </w:tc>
      </w:tr>
      <w:tr w:rsidR="00931D43" w:rsidRPr="00931D43" w14:paraId="198B1F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9C5F016" w14:textId="77777777" w:rsidR="00931D43" w:rsidRPr="00931D43" w:rsidRDefault="00931D43" w:rsidP="00931D43">
            <w:r w:rsidRPr="00931D43">
              <w:rPr>
                <w:color w:val="000000"/>
                <w:sz w:val="19"/>
              </w:rPr>
              <w:t>Total Private Market Commitments</w:t>
            </w:r>
          </w:p>
        </w:tc>
        <w:tc>
          <w:tcPr>
            <w:tcW w:w="0" w:type="auto"/>
            <w:shd w:val="clear" w:color="auto" w:fill="FFFFFF"/>
            <w:tcMar>
              <w:top w:w="100" w:type="dxa"/>
              <w:left w:w="105" w:type="dxa"/>
              <w:bottom w:w="100" w:type="dxa"/>
              <w:right w:w="105" w:type="dxa"/>
            </w:tcMar>
            <w:vAlign w:val="center"/>
            <w:hideMark/>
          </w:tcPr>
          <w:p w14:paraId="699879F2" w14:textId="77777777" w:rsidR="00931D43" w:rsidRPr="00931D43" w:rsidRDefault="00931D43" w:rsidP="00931D43">
            <w:r w:rsidRPr="00931D43">
              <w:rPr>
                <w:color w:val="000000"/>
                <w:sz w:val="19"/>
              </w:rPr>
              <w:t>USD 500m</w:t>
            </w:r>
          </w:p>
        </w:tc>
      </w:tr>
      <w:tr w:rsidR="00931D43" w:rsidRPr="00931D43" w14:paraId="3830947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94C916A" w14:textId="77777777" w:rsidR="00931D43" w:rsidRPr="00931D43" w:rsidRDefault="00931D43" w:rsidP="00931D43">
            <w:r w:rsidRPr="00931D43">
              <w:rPr>
                <w:color w:val="000000"/>
                <w:sz w:val="19"/>
              </w:rPr>
              <w:t>Paid-in Capital</w:t>
            </w:r>
          </w:p>
        </w:tc>
        <w:tc>
          <w:tcPr>
            <w:tcW w:w="0" w:type="auto"/>
            <w:shd w:val="clear" w:color="auto" w:fill="FFFFFF"/>
            <w:tcMar>
              <w:top w:w="100" w:type="dxa"/>
              <w:left w:w="105" w:type="dxa"/>
              <w:bottom w:w="100" w:type="dxa"/>
              <w:right w:w="105" w:type="dxa"/>
            </w:tcMar>
            <w:vAlign w:val="center"/>
            <w:hideMark/>
          </w:tcPr>
          <w:p w14:paraId="5973527E" w14:textId="77777777" w:rsidR="00931D43" w:rsidRPr="00931D43" w:rsidRDefault="00931D43" w:rsidP="00931D43">
            <w:r w:rsidRPr="00931D43">
              <w:rPr>
                <w:color w:val="000000"/>
                <w:sz w:val="19"/>
              </w:rPr>
              <w:t>USD 365m</w:t>
            </w:r>
          </w:p>
        </w:tc>
      </w:tr>
      <w:tr w:rsidR="00931D43" w:rsidRPr="00931D43" w14:paraId="60EF87D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ABBD01A" w14:textId="77777777" w:rsidR="00931D43" w:rsidRPr="00931D43" w:rsidRDefault="00931D43" w:rsidP="00931D43">
            <w:r w:rsidRPr="00931D43">
              <w:rPr>
                <w:color w:val="000000"/>
                <w:sz w:val="19"/>
              </w:rPr>
              <w:t>Unfunded Commitments</w:t>
            </w:r>
          </w:p>
        </w:tc>
        <w:tc>
          <w:tcPr>
            <w:tcW w:w="0" w:type="auto"/>
            <w:shd w:val="clear" w:color="auto" w:fill="FFFFFF"/>
            <w:tcMar>
              <w:top w:w="100" w:type="dxa"/>
              <w:left w:w="105" w:type="dxa"/>
              <w:bottom w:w="100" w:type="dxa"/>
              <w:right w:w="105" w:type="dxa"/>
            </w:tcMar>
            <w:vAlign w:val="center"/>
            <w:hideMark/>
          </w:tcPr>
          <w:p w14:paraId="522B447E" w14:textId="77777777" w:rsidR="00931D43" w:rsidRPr="00931D43" w:rsidRDefault="00931D43" w:rsidP="00931D43">
            <w:r w:rsidRPr="00931D43">
              <w:rPr>
                <w:color w:val="000000"/>
                <w:sz w:val="19"/>
              </w:rPr>
              <w:t>USD 135m</w:t>
            </w:r>
          </w:p>
        </w:tc>
      </w:tr>
    </w:tbl>
    <w:p w14:paraId="603A21EF" w14:textId="77777777" w:rsidR="00931D43" w:rsidRPr="00931D43" w:rsidRDefault="00931D43" w:rsidP="00931D43">
      <w:pPr>
        <w:spacing w:beforeAutospacing="1" w:afterAutospacing="1"/>
      </w:pPr>
      <w:r w:rsidRPr="00931D43">
        <w:t>The unfunded commitment balance is intentionally material relative to available liquidity. This creates a realistic liquidity monitoring problem for the dashboard and allows the prototype to test whether extracted capital call data can update the cash forecast and liquidity status.</w:t>
      </w:r>
    </w:p>
    <w:p w14:paraId="3134B2D4"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3.7 Cash and Liquidity Setup</w:t>
      </w:r>
    </w:p>
    <w:p w14:paraId="4DBD4329" w14:textId="77777777" w:rsidR="00931D43" w:rsidRPr="00931D43" w:rsidRDefault="00931D43" w:rsidP="00931D43">
      <w:pPr>
        <w:spacing w:beforeAutospacing="1" w:afterAutospacing="1"/>
      </w:pPr>
      <w:r w:rsidRPr="00931D43">
        <w:t>The portfolio includes both USD and SGD liquidity. USD liquidity supports global capital calls and investment activity, while SGD liquidity reflects the Singapore operating base of the family office.</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641"/>
        <w:gridCol w:w="1101"/>
        <w:gridCol w:w="1972"/>
        <w:gridCol w:w="4351"/>
      </w:tblGrid>
      <w:tr w:rsidR="00931D43" w:rsidRPr="00931D43" w14:paraId="66DDC8C0"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0C6550E" w14:textId="77777777" w:rsidR="00931D43" w:rsidRPr="00931D43" w:rsidRDefault="00931D43" w:rsidP="00931D43">
            <w:pPr>
              <w:jc w:val="center"/>
              <w:rPr>
                <w:b/>
                <w:bCs/>
              </w:rPr>
            </w:pPr>
            <w:r w:rsidRPr="00931D43">
              <w:rPr>
                <w:b/>
                <w:bCs/>
                <w:color w:val="000000"/>
                <w:sz w:val="19"/>
              </w:rPr>
              <w:t>Liquidity Type</w:t>
            </w:r>
          </w:p>
        </w:tc>
        <w:tc>
          <w:tcPr>
            <w:tcW w:w="0" w:type="auto"/>
            <w:shd w:val="clear" w:color="auto" w:fill="D9EAF7"/>
            <w:tcMar>
              <w:top w:w="100" w:type="dxa"/>
              <w:left w:w="105" w:type="dxa"/>
              <w:bottom w:w="100" w:type="dxa"/>
              <w:right w:w="105" w:type="dxa"/>
            </w:tcMar>
            <w:vAlign w:val="center"/>
            <w:hideMark/>
          </w:tcPr>
          <w:p w14:paraId="03BA0023" w14:textId="77777777" w:rsidR="00931D43" w:rsidRPr="00931D43" w:rsidRDefault="00931D43" w:rsidP="00931D43">
            <w:pPr>
              <w:jc w:val="center"/>
              <w:rPr>
                <w:b/>
                <w:bCs/>
              </w:rPr>
            </w:pPr>
            <w:r w:rsidRPr="00931D43">
              <w:rPr>
                <w:b/>
                <w:bCs/>
                <w:color w:val="000000"/>
                <w:sz w:val="19"/>
              </w:rPr>
              <w:t>Currency</w:t>
            </w:r>
          </w:p>
        </w:tc>
        <w:tc>
          <w:tcPr>
            <w:tcW w:w="0" w:type="auto"/>
            <w:shd w:val="clear" w:color="auto" w:fill="D9EAF7"/>
            <w:tcMar>
              <w:top w:w="100" w:type="dxa"/>
              <w:left w:w="105" w:type="dxa"/>
              <w:bottom w:w="100" w:type="dxa"/>
              <w:right w:w="105" w:type="dxa"/>
            </w:tcMar>
            <w:vAlign w:val="center"/>
            <w:hideMark/>
          </w:tcPr>
          <w:p w14:paraId="11A3F08C"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100" w:type="dxa"/>
              <w:left w:w="105" w:type="dxa"/>
              <w:bottom w:w="100" w:type="dxa"/>
              <w:right w:w="105" w:type="dxa"/>
            </w:tcMar>
            <w:vAlign w:val="center"/>
            <w:hideMark/>
          </w:tcPr>
          <w:p w14:paraId="594FD651" w14:textId="77777777" w:rsidR="00931D43" w:rsidRPr="00931D43" w:rsidRDefault="00931D43" w:rsidP="00931D43">
            <w:pPr>
              <w:jc w:val="center"/>
              <w:rPr>
                <w:b/>
                <w:bCs/>
              </w:rPr>
            </w:pPr>
            <w:r w:rsidRPr="00931D43">
              <w:rPr>
                <w:b/>
                <w:bCs/>
                <w:color w:val="000000"/>
                <w:sz w:val="19"/>
              </w:rPr>
              <w:t>Purpose</w:t>
            </w:r>
          </w:p>
        </w:tc>
      </w:tr>
      <w:tr w:rsidR="00931D43" w:rsidRPr="00931D43" w14:paraId="62474E3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56B5A18" w14:textId="77777777" w:rsidR="00931D43" w:rsidRPr="00931D43" w:rsidRDefault="00931D43" w:rsidP="00931D43">
            <w:r w:rsidRPr="00931D43">
              <w:rPr>
                <w:color w:val="000000"/>
                <w:sz w:val="19"/>
              </w:rPr>
              <w:t>USD Operating Cash Account</w:t>
            </w:r>
          </w:p>
        </w:tc>
        <w:tc>
          <w:tcPr>
            <w:tcW w:w="0" w:type="auto"/>
            <w:shd w:val="clear" w:color="auto" w:fill="FFFFFF"/>
            <w:tcMar>
              <w:top w:w="100" w:type="dxa"/>
              <w:left w:w="105" w:type="dxa"/>
              <w:bottom w:w="100" w:type="dxa"/>
              <w:right w:w="105" w:type="dxa"/>
            </w:tcMar>
            <w:vAlign w:val="center"/>
            <w:hideMark/>
          </w:tcPr>
          <w:p w14:paraId="626C3D95"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6D83686C" w14:textId="77777777" w:rsidR="00931D43" w:rsidRPr="00931D43" w:rsidRDefault="00931D43" w:rsidP="00931D43">
            <w:r w:rsidRPr="00931D43">
              <w:rPr>
                <w:color w:val="000000"/>
                <w:sz w:val="19"/>
              </w:rPr>
              <w:t>USD 8.0m</w:t>
            </w:r>
          </w:p>
        </w:tc>
        <w:tc>
          <w:tcPr>
            <w:tcW w:w="0" w:type="auto"/>
            <w:shd w:val="clear" w:color="auto" w:fill="FFFFFF"/>
            <w:tcMar>
              <w:top w:w="100" w:type="dxa"/>
              <w:left w:w="105" w:type="dxa"/>
              <w:bottom w:w="100" w:type="dxa"/>
              <w:right w:w="105" w:type="dxa"/>
            </w:tcMar>
            <w:vAlign w:val="center"/>
            <w:hideMark/>
          </w:tcPr>
          <w:p w14:paraId="6549FBA1" w14:textId="77777777" w:rsidR="00931D43" w:rsidRPr="00931D43" w:rsidRDefault="00931D43" w:rsidP="00931D43">
            <w:r w:rsidRPr="00931D43">
              <w:rPr>
                <w:color w:val="000000"/>
                <w:sz w:val="19"/>
              </w:rPr>
              <w:t>Capital calls, investment expenses, global operations</w:t>
            </w:r>
          </w:p>
        </w:tc>
      </w:tr>
      <w:tr w:rsidR="00931D43" w:rsidRPr="00931D43" w14:paraId="2B377DB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48F8D8F" w14:textId="77777777" w:rsidR="00931D43" w:rsidRPr="00931D43" w:rsidRDefault="00931D43" w:rsidP="00931D43">
            <w:r w:rsidRPr="00931D43">
              <w:rPr>
                <w:color w:val="000000"/>
                <w:sz w:val="19"/>
              </w:rPr>
              <w:lastRenderedPageBreak/>
              <w:t>USD T-Bill ETF / SGOV</w:t>
            </w:r>
          </w:p>
        </w:tc>
        <w:tc>
          <w:tcPr>
            <w:tcW w:w="0" w:type="auto"/>
            <w:shd w:val="clear" w:color="auto" w:fill="FFFFFF"/>
            <w:tcMar>
              <w:top w:w="100" w:type="dxa"/>
              <w:left w:w="105" w:type="dxa"/>
              <w:bottom w:w="100" w:type="dxa"/>
              <w:right w:w="105" w:type="dxa"/>
            </w:tcMar>
            <w:vAlign w:val="center"/>
            <w:hideMark/>
          </w:tcPr>
          <w:p w14:paraId="72368608"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30C0CE01" w14:textId="77777777" w:rsidR="00931D43" w:rsidRPr="00931D43" w:rsidRDefault="00931D43" w:rsidP="00931D43">
            <w:r w:rsidRPr="00931D43">
              <w:rPr>
                <w:color w:val="000000"/>
                <w:sz w:val="19"/>
              </w:rPr>
              <w:t>USD 5.0m</w:t>
            </w:r>
          </w:p>
        </w:tc>
        <w:tc>
          <w:tcPr>
            <w:tcW w:w="0" w:type="auto"/>
            <w:shd w:val="clear" w:color="auto" w:fill="FFFFFF"/>
            <w:tcMar>
              <w:top w:w="100" w:type="dxa"/>
              <w:left w:w="105" w:type="dxa"/>
              <w:bottom w:w="100" w:type="dxa"/>
              <w:right w:w="105" w:type="dxa"/>
            </w:tcMar>
            <w:vAlign w:val="center"/>
            <w:hideMark/>
          </w:tcPr>
          <w:p w14:paraId="6FABC1D2" w14:textId="77777777" w:rsidR="00931D43" w:rsidRPr="00931D43" w:rsidRDefault="00931D43" w:rsidP="00931D43">
            <w:r w:rsidRPr="00931D43">
              <w:rPr>
                <w:color w:val="000000"/>
                <w:sz w:val="19"/>
              </w:rPr>
              <w:t>Short-term USD liquidity</w:t>
            </w:r>
          </w:p>
        </w:tc>
      </w:tr>
      <w:tr w:rsidR="00931D43" w:rsidRPr="00931D43" w14:paraId="249D095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DF9D72" w14:textId="77777777" w:rsidR="00931D43" w:rsidRPr="00931D43" w:rsidRDefault="00931D43" w:rsidP="00931D43">
            <w:r w:rsidRPr="00931D43">
              <w:rPr>
                <w:color w:val="000000"/>
                <w:sz w:val="19"/>
              </w:rPr>
              <w:t>USD T-Bill ETF / BIL</w:t>
            </w:r>
          </w:p>
        </w:tc>
        <w:tc>
          <w:tcPr>
            <w:tcW w:w="0" w:type="auto"/>
            <w:shd w:val="clear" w:color="auto" w:fill="FFFFFF"/>
            <w:tcMar>
              <w:top w:w="100" w:type="dxa"/>
              <w:left w:w="105" w:type="dxa"/>
              <w:bottom w:w="100" w:type="dxa"/>
              <w:right w:w="105" w:type="dxa"/>
            </w:tcMar>
            <w:vAlign w:val="center"/>
            <w:hideMark/>
          </w:tcPr>
          <w:p w14:paraId="3FA7D377"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246846C9" w14:textId="77777777" w:rsidR="00931D43" w:rsidRPr="00931D43" w:rsidRDefault="00931D43" w:rsidP="00931D43">
            <w:r w:rsidRPr="00931D43">
              <w:rPr>
                <w:color w:val="000000"/>
                <w:sz w:val="19"/>
              </w:rPr>
              <w:t>USD 3.0m</w:t>
            </w:r>
          </w:p>
        </w:tc>
        <w:tc>
          <w:tcPr>
            <w:tcW w:w="0" w:type="auto"/>
            <w:shd w:val="clear" w:color="auto" w:fill="FFFFFF"/>
            <w:tcMar>
              <w:top w:w="100" w:type="dxa"/>
              <w:left w:w="105" w:type="dxa"/>
              <w:bottom w:w="100" w:type="dxa"/>
              <w:right w:w="105" w:type="dxa"/>
            </w:tcMar>
            <w:vAlign w:val="center"/>
            <w:hideMark/>
          </w:tcPr>
          <w:p w14:paraId="4F705C98" w14:textId="77777777" w:rsidR="00931D43" w:rsidRPr="00931D43" w:rsidRDefault="00931D43" w:rsidP="00931D43">
            <w:r w:rsidRPr="00931D43">
              <w:rPr>
                <w:color w:val="000000"/>
                <w:sz w:val="19"/>
              </w:rPr>
              <w:t>Short-term USD liquidity</w:t>
            </w:r>
          </w:p>
        </w:tc>
      </w:tr>
      <w:tr w:rsidR="00931D43" w:rsidRPr="00931D43" w14:paraId="2390FE9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7B1097" w14:textId="77777777" w:rsidR="00931D43" w:rsidRPr="00931D43" w:rsidRDefault="00931D43" w:rsidP="00931D43">
            <w:r w:rsidRPr="00931D43">
              <w:rPr>
                <w:color w:val="000000"/>
                <w:sz w:val="19"/>
              </w:rPr>
              <w:t>SGD Operating Cash Account</w:t>
            </w:r>
          </w:p>
        </w:tc>
        <w:tc>
          <w:tcPr>
            <w:tcW w:w="0" w:type="auto"/>
            <w:shd w:val="clear" w:color="auto" w:fill="FFFFFF"/>
            <w:tcMar>
              <w:top w:w="100" w:type="dxa"/>
              <w:left w:w="105" w:type="dxa"/>
              <w:bottom w:w="100" w:type="dxa"/>
              <w:right w:w="105" w:type="dxa"/>
            </w:tcMar>
            <w:vAlign w:val="center"/>
            <w:hideMark/>
          </w:tcPr>
          <w:p w14:paraId="0738321F"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11E78AC2" w14:textId="77777777" w:rsidR="00931D43" w:rsidRPr="00931D43" w:rsidRDefault="00931D43" w:rsidP="00931D43">
            <w:r w:rsidRPr="00931D43">
              <w:rPr>
                <w:color w:val="000000"/>
                <w:sz w:val="19"/>
              </w:rPr>
              <w:t>USD 3.0m equivalent</w:t>
            </w:r>
          </w:p>
        </w:tc>
        <w:tc>
          <w:tcPr>
            <w:tcW w:w="0" w:type="auto"/>
            <w:shd w:val="clear" w:color="auto" w:fill="FFFFFF"/>
            <w:tcMar>
              <w:top w:w="100" w:type="dxa"/>
              <w:left w:w="105" w:type="dxa"/>
              <w:bottom w:w="100" w:type="dxa"/>
              <w:right w:w="105" w:type="dxa"/>
            </w:tcMar>
            <w:vAlign w:val="center"/>
            <w:hideMark/>
          </w:tcPr>
          <w:p w14:paraId="7AC2F07E" w14:textId="77777777" w:rsidR="00931D43" w:rsidRPr="00931D43" w:rsidRDefault="00931D43" w:rsidP="00931D43">
            <w:r w:rsidRPr="00931D43">
              <w:rPr>
                <w:color w:val="000000"/>
                <w:sz w:val="19"/>
              </w:rPr>
              <w:t>Singapore office operations and local expenses</w:t>
            </w:r>
          </w:p>
        </w:tc>
      </w:tr>
      <w:tr w:rsidR="00931D43" w:rsidRPr="00931D43" w14:paraId="465380A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C82F6FE" w14:textId="77777777" w:rsidR="00931D43" w:rsidRPr="00931D43" w:rsidRDefault="00931D43" w:rsidP="00931D43">
            <w:r w:rsidRPr="00931D43">
              <w:rPr>
                <w:color w:val="000000"/>
                <w:sz w:val="19"/>
              </w:rPr>
              <w:t>Singapore T-bills / SGS</w:t>
            </w:r>
          </w:p>
        </w:tc>
        <w:tc>
          <w:tcPr>
            <w:tcW w:w="0" w:type="auto"/>
            <w:shd w:val="clear" w:color="auto" w:fill="FFFFFF"/>
            <w:tcMar>
              <w:top w:w="100" w:type="dxa"/>
              <w:left w:w="105" w:type="dxa"/>
              <w:bottom w:w="100" w:type="dxa"/>
              <w:right w:w="105" w:type="dxa"/>
            </w:tcMar>
            <w:vAlign w:val="center"/>
            <w:hideMark/>
          </w:tcPr>
          <w:p w14:paraId="174A1A7C"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10E6C0F8" w14:textId="77777777" w:rsidR="00931D43" w:rsidRPr="00931D43" w:rsidRDefault="00931D43" w:rsidP="00931D43">
            <w:r w:rsidRPr="00931D43">
              <w:rPr>
                <w:color w:val="000000"/>
                <w:sz w:val="19"/>
              </w:rPr>
              <w:t>USD 3.5m equivalent</w:t>
            </w:r>
          </w:p>
        </w:tc>
        <w:tc>
          <w:tcPr>
            <w:tcW w:w="0" w:type="auto"/>
            <w:shd w:val="clear" w:color="auto" w:fill="FFFFFF"/>
            <w:tcMar>
              <w:top w:w="100" w:type="dxa"/>
              <w:left w:w="105" w:type="dxa"/>
              <w:bottom w:w="100" w:type="dxa"/>
              <w:right w:w="105" w:type="dxa"/>
            </w:tcMar>
            <w:vAlign w:val="center"/>
            <w:hideMark/>
          </w:tcPr>
          <w:p w14:paraId="7F85AD3A" w14:textId="77777777" w:rsidR="00931D43" w:rsidRPr="00931D43" w:rsidRDefault="00931D43" w:rsidP="00931D43">
            <w:r w:rsidRPr="00931D43">
              <w:rPr>
                <w:color w:val="000000"/>
                <w:sz w:val="19"/>
              </w:rPr>
              <w:t>SGD liquidity reserve</w:t>
            </w:r>
          </w:p>
        </w:tc>
      </w:tr>
      <w:tr w:rsidR="00931D43" w:rsidRPr="00931D43" w14:paraId="6751C32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C7C81BC"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1F89B9B4" w14:textId="77777777" w:rsidR="00931D43" w:rsidRPr="00931D43" w:rsidRDefault="00931D43" w:rsidP="00931D43">
            <w:r w:rsidRPr="00931D43">
              <w:rPr>
                <w:color w:val="000000"/>
                <w:sz w:val="19"/>
              </w:rPr>
              <w:t>Mixed</w:t>
            </w:r>
          </w:p>
        </w:tc>
        <w:tc>
          <w:tcPr>
            <w:tcW w:w="0" w:type="auto"/>
            <w:shd w:val="clear" w:color="auto" w:fill="FFFFFF"/>
            <w:tcMar>
              <w:top w:w="100" w:type="dxa"/>
              <w:left w:w="105" w:type="dxa"/>
              <w:bottom w:w="100" w:type="dxa"/>
              <w:right w:w="105" w:type="dxa"/>
            </w:tcMar>
            <w:vAlign w:val="center"/>
            <w:hideMark/>
          </w:tcPr>
          <w:p w14:paraId="01A5EEE8" w14:textId="77777777" w:rsidR="00931D43" w:rsidRPr="00931D43" w:rsidRDefault="00931D43" w:rsidP="00931D43">
            <w:r w:rsidRPr="00931D43">
              <w:rPr>
                <w:bCs/>
                <w:color w:val="000000"/>
                <w:sz w:val="19"/>
              </w:rPr>
              <w:t>USD 22.5m</w:t>
            </w:r>
          </w:p>
        </w:tc>
        <w:tc>
          <w:tcPr>
            <w:tcW w:w="0" w:type="auto"/>
            <w:shd w:val="clear" w:color="auto" w:fill="FFFFFF"/>
            <w:tcMar>
              <w:top w:w="100" w:type="dxa"/>
              <w:left w:w="105" w:type="dxa"/>
              <w:bottom w:w="100" w:type="dxa"/>
              <w:right w:w="105" w:type="dxa"/>
            </w:tcMar>
            <w:vAlign w:val="center"/>
            <w:hideMark/>
          </w:tcPr>
          <w:p w14:paraId="55CAFCD1" w14:textId="77777777" w:rsidR="00931D43" w:rsidRPr="00931D43" w:rsidRDefault="00931D43" w:rsidP="00931D43"/>
        </w:tc>
      </w:tr>
    </w:tbl>
    <w:p w14:paraId="46B8A3AE" w14:textId="77777777" w:rsidR="00931D43" w:rsidRPr="00931D43" w:rsidRDefault="00931D43" w:rsidP="00931D43">
      <w:pPr>
        <w:spacing w:beforeAutospacing="1" w:afterAutospacing="1"/>
      </w:pPr>
      <w:r w:rsidRPr="00931D43">
        <w:t>The separation between USD and SGD liquidity allows the dashboard to monitor liquidity by currency. This is useful because the family office reports in USD but still needs SGD liquidity for Singapore-based operations.</w:t>
      </w:r>
    </w:p>
    <w:p w14:paraId="346C355C"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3.8 Geography and Currency Coverage</w:t>
      </w:r>
    </w:p>
    <w:p w14:paraId="3647DA85" w14:textId="77777777" w:rsidR="00931D43" w:rsidRPr="00931D43" w:rsidRDefault="00931D43" w:rsidP="00931D43">
      <w:pPr>
        <w:spacing w:beforeAutospacing="1" w:afterAutospacing="1"/>
      </w:pPr>
      <w:r w:rsidRPr="00931D43">
        <w:t>The geography design reflects a Singapore-based family office with a global investment mandate. The portfolio is not limited to Asia, but it includes meaningful exposure to Asia and Greater China through Hong Kong equities, China ADRs, China A-shares, Southeast Asia private markets, Japan, India, and Singapore liquidity.</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990"/>
        <w:gridCol w:w="2013"/>
        <w:gridCol w:w="5859"/>
      </w:tblGrid>
      <w:tr w:rsidR="00931D43" w:rsidRPr="00931D43" w14:paraId="7212204C"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D9700D2" w14:textId="77777777" w:rsidR="00931D43" w:rsidRPr="00931D43" w:rsidRDefault="00931D43" w:rsidP="00931D43">
            <w:pPr>
              <w:jc w:val="center"/>
              <w:rPr>
                <w:b/>
                <w:bCs/>
              </w:rPr>
            </w:pPr>
            <w:r w:rsidRPr="00931D43">
              <w:rPr>
                <w:b/>
                <w:bCs/>
                <w:color w:val="000000"/>
                <w:sz w:val="19"/>
              </w:rPr>
              <w:t>Geography</w:t>
            </w:r>
          </w:p>
        </w:tc>
        <w:tc>
          <w:tcPr>
            <w:tcW w:w="0" w:type="auto"/>
            <w:shd w:val="clear" w:color="auto" w:fill="D9EAF7"/>
            <w:tcMar>
              <w:top w:w="100" w:type="dxa"/>
              <w:left w:w="105" w:type="dxa"/>
              <w:bottom w:w="100" w:type="dxa"/>
              <w:right w:w="105" w:type="dxa"/>
            </w:tcMar>
            <w:vAlign w:val="center"/>
            <w:hideMark/>
          </w:tcPr>
          <w:p w14:paraId="250776B2"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100" w:type="dxa"/>
              <w:left w:w="105" w:type="dxa"/>
              <w:bottom w:w="100" w:type="dxa"/>
              <w:right w:w="105" w:type="dxa"/>
            </w:tcMar>
            <w:vAlign w:val="center"/>
            <w:hideMark/>
          </w:tcPr>
          <w:p w14:paraId="2A614EA0" w14:textId="77777777" w:rsidR="00931D43" w:rsidRPr="00931D43" w:rsidRDefault="00931D43" w:rsidP="00931D43">
            <w:pPr>
              <w:jc w:val="center"/>
              <w:rPr>
                <w:b/>
                <w:bCs/>
              </w:rPr>
            </w:pPr>
            <w:r w:rsidRPr="00931D43">
              <w:rPr>
                <w:b/>
                <w:bCs/>
                <w:color w:val="000000"/>
                <w:sz w:val="19"/>
              </w:rPr>
              <w:t>Main Sources</w:t>
            </w:r>
          </w:p>
        </w:tc>
      </w:tr>
      <w:tr w:rsidR="00931D43" w:rsidRPr="00931D43" w14:paraId="09A4D5A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6DEB16" w14:textId="77777777" w:rsidR="00931D43" w:rsidRPr="00931D43" w:rsidRDefault="00931D43" w:rsidP="00931D43">
            <w:r w:rsidRPr="00931D43">
              <w:rPr>
                <w:color w:val="000000"/>
                <w:sz w:val="19"/>
              </w:rPr>
              <w:t>North America / US</w:t>
            </w:r>
          </w:p>
        </w:tc>
        <w:tc>
          <w:tcPr>
            <w:tcW w:w="0" w:type="auto"/>
            <w:shd w:val="clear" w:color="auto" w:fill="FFFFFF"/>
            <w:tcMar>
              <w:top w:w="100" w:type="dxa"/>
              <w:left w:w="105" w:type="dxa"/>
              <w:bottom w:w="100" w:type="dxa"/>
              <w:right w:w="105" w:type="dxa"/>
            </w:tcMar>
            <w:vAlign w:val="center"/>
            <w:hideMark/>
          </w:tcPr>
          <w:p w14:paraId="5FE07EFC" w14:textId="77777777" w:rsidR="00931D43" w:rsidRPr="00931D43" w:rsidRDefault="00931D43" w:rsidP="00931D43">
            <w:r w:rsidRPr="00931D43">
              <w:rPr>
                <w:color w:val="000000"/>
                <w:sz w:val="19"/>
              </w:rPr>
              <w:t>45%</w:t>
            </w:r>
          </w:p>
        </w:tc>
        <w:tc>
          <w:tcPr>
            <w:tcW w:w="0" w:type="auto"/>
            <w:shd w:val="clear" w:color="auto" w:fill="FFFFFF"/>
            <w:tcMar>
              <w:top w:w="100" w:type="dxa"/>
              <w:left w:w="105" w:type="dxa"/>
              <w:bottom w:w="100" w:type="dxa"/>
              <w:right w:w="105" w:type="dxa"/>
            </w:tcMar>
            <w:vAlign w:val="center"/>
            <w:hideMark/>
          </w:tcPr>
          <w:p w14:paraId="42747B23" w14:textId="77777777" w:rsidR="00931D43" w:rsidRPr="00931D43" w:rsidRDefault="00931D43" w:rsidP="00931D43">
            <w:r w:rsidRPr="00931D43">
              <w:rPr>
                <w:color w:val="000000"/>
                <w:sz w:val="19"/>
              </w:rPr>
              <w:t>US equities, US technology, US private equity, US credit, US real estate</w:t>
            </w:r>
          </w:p>
        </w:tc>
      </w:tr>
      <w:tr w:rsidR="00931D43" w:rsidRPr="00931D43" w14:paraId="3303850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3A4CBF3" w14:textId="77777777" w:rsidR="00931D43" w:rsidRPr="00931D43" w:rsidRDefault="00931D43" w:rsidP="00931D43">
            <w:r w:rsidRPr="00931D43">
              <w:rPr>
                <w:color w:val="000000"/>
                <w:sz w:val="19"/>
              </w:rPr>
              <w:t>Greater China: Hong Kong, ADRs, A-shares</w:t>
            </w:r>
          </w:p>
        </w:tc>
        <w:tc>
          <w:tcPr>
            <w:tcW w:w="0" w:type="auto"/>
            <w:shd w:val="clear" w:color="auto" w:fill="FFFFFF"/>
            <w:tcMar>
              <w:top w:w="100" w:type="dxa"/>
              <w:left w:w="105" w:type="dxa"/>
              <w:bottom w:w="100" w:type="dxa"/>
              <w:right w:w="105" w:type="dxa"/>
            </w:tcMar>
            <w:vAlign w:val="center"/>
            <w:hideMark/>
          </w:tcPr>
          <w:p w14:paraId="3430D4D0" w14:textId="77777777" w:rsidR="00931D43" w:rsidRPr="00931D43" w:rsidRDefault="00931D43" w:rsidP="00931D43">
            <w:r w:rsidRPr="00931D43">
              <w:rPr>
                <w:color w:val="000000"/>
                <w:sz w:val="19"/>
              </w:rPr>
              <w:t>11%</w:t>
            </w:r>
          </w:p>
        </w:tc>
        <w:tc>
          <w:tcPr>
            <w:tcW w:w="0" w:type="auto"/>
            <w:shd w:val="clear" w:color="auto" w:fill="FFFFFF"/>
            <w:tcMar>
              <w:top w:w="100" w:type="dxa"/>
              <w:left w:w="105" w:type="dxa"/>
              <w:bottom w:w="100" w:type="dxa"/>
              <w:right w:w="105" w:type="dxa"/>
            </w:tcMar>
            <w:vAlign w:val="center"/>
            <w:hideMark/>
          </w:tcPr>
          <w:p w14:paraId="5060F77E" w14:textId="77777777" w:rsidR="00931D43" w:rsidRPr="00931D43" w:rsidRDefault="00931D43" w:rsidP="00931D43">
            <w:r w:rsidRPr="00931D43">
              <w:rPr>
                <w:color w:val="000000"/>
                <w:sz w:val="19"/>
              </w:rPr>
              <w:t>Hong Kong equities, China ADRs, A-share ETF, Greater China private equity</w:t>
            </w:r>
          </w:p>
        </w:tc>
      </w:tr>
      <w:tr w:rsidR="00931D43" w:rsidRPr="00931D43" w14:paraId="7DA2D6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9121DE1" w14:textId="77777777" w:rsidR="00931D43" w:rsidRPr="00931D43" w:rsidRDefault="00931D43" w:rsidP="00931D43">
            <w:r w:rsidRPr="00931D43">
              <w:rPr>
                <w:color w:val="000000"/>
                <w:sz w:val="19"/>
              </w:rPr>
              <w:t>Asia-Pacific ex-China</w:t>
            </w:r>
          </w:p>
        </w:tc>
        <w:tc>
          <w:tcPr>
            <w:tcW w:w="0" w:type="auto"/>
            <w:shd w:val="clear" w:color="auto" w:fill="FFFFFF"/>
            <w:tcMar>
              <w:top w:w="100" w:type="dxa"/>
              <w:left w:w="105" w:type="dxa"/>
              <w:bottom w:w="100" w:type="dxa"/>
              <w:right w:w="105" w:type="dxa"/>
            </w:tcMar>
            <w:vAlign w:val="center"/>
            <w:hideMark/>
          </w:tcPr>
          <w:p w14:paraId="37110227" w14:textId="77777777" w:rsidR="00931D43" w:rsidRPr="00931D43" w:rsidRDefault="00931D43" w:rsidP="00931D43">
            <w:r w:rsidRPr="00931D43">
              <w:rPr>
                <w:color w:val="000000"/>
                <w:sz w:val="19"/>
              </w:rPr>
              <w:t>12%</w:t>
            </w:r>
          </w:p>
        </w:tc>
        <w:tc>
          <w:tcPr>
            <w:tcW w:w="0" w:type="auto"/>
            <w:shd w:val="clear" w:color="auto" w:fill="FFFFFF"/>
            <w:tcMar>
              <w:top w:w="100" w:type="dxa"/>
              <w:left w:w="105" w:type="dxa"/>
              <w:bottom w:w="100" w:type="dxa"/>
              <w:right w:w="105" w:type="dxa"/>
            </w:tcMar>
            <w:vAlign w:val="center"/>
            <w:hideMark/>
          </w:tcPr>
          <w:p w14:paraId="228C5B9A" w14:textId="77777777" w:rsidR="00931D43" w:rsidRPr="00931D43" w:rsidRDefault="00931D43" w:rsidP="00931D43">
            <w:r w:rsidRPr="00931D43">
              <w:rPr>
                <w:color w:val="000000"/>
                <w:sz w:val="19"/>
              </w:rPr>
              <w:t>Southeast Asia VC, Asia private credit, APAC real estate, Japan, India, Asia infrastructure</w:t>
            </w:r>
          </w:p>
        </w:tc>
      </w:tr>
      <w:tr w:rsidR="00931D43" w:rsidRPr="00931D43" w14:paraId="74910E3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B143E63" w14:textId="77777777" w:rsidR="00931D43" w:rsidRPr="00931D43" w:rsidRDefault="00931D43" w:rsidP="00931D43">
            <w:r w:rsidRPr="00931D43">
              <w:rPr>
                <w:color w:val="000000"/>
                <w:sz w:val="19"/>
              </w:rPr>
              <w:t>Europe</w:t>
            </w:r>
          </w:p>
        </w:tc>
        <w:tc>
          <w:tcPr>
            <w:tcW w:w="0" w:type="auto"/>
            <w:shd w:val="clear" w:color="auto" w:fill="FFFFFF"/>
            <w:tcMar>
              <w:top w:w="100" w:type="dxa"/>
              <w:left w:w="105" w:type="dxa"/>
              <w:bottom w:w="100" w:type="dxa"/>
              <w:right w:w="105" w:type="dxa"/>
            </w:tcMar>
            <w:vAlign w:val="center"/>
            <w:hideMark/>
          </w:tcPr>
          <w:p w14:paraId="02AA4B3D"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5A150C98" w14:textId="77777777" w:rsidR="00931D43" w:rsidRPr="00931D43" w:rsidRDefault="00931D43" w:rsidP="00931D43">
            <w:r w:rsidRPr="00931D43">
              <w:rPr>
                <w:color w:val="000000"/>
                <w:sz w:val="19"/>
              </w:rPr>
              <w:t>Global developed market exposure, private equity, infrastructure, global bonds</w:t>
            </w:r>
          </w:p>
        </w:tc>
      </w:tr>
      <w:tr w:rsidR="00931D43" w:rsidRPr="00931D43" w14:paraId="144BA69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BDB5381" w14:textId="77777777" w:rsidR="00931D43" w:rsidRPr="00931D43" w:rsidRDefault="00931D43" w:rsidP="00931D43">
            <w:r w:rsidRPr="00931D43">
              <w:rPr>
                <w:color w:val="000000"/>
                <w:sz w:val="19"/>
              </w:rPr>
              <w:t>Global / Multi-region</w:t>
            </w:r>
          </w:p>
        </w:tc>
        <w:tc>
          <w:tcPr>
            <w:tcW w:w="0" w:type="auto"/>
            <w:shd w:val="clear" w:color="auto" w:fill="FFFFFF"/>
            <w:tcMar>
              <w:top w:w="100" w:type="dxa"/>
              <w:left w:w="105" w:type="dxa"/>
              <w:bottom w:w="100" w:type="dxa"/>
              <w:right w:w="105" w:type="dxa"/>
            </w:tcMar>
            <w:vAlign w:val="center"/>
            <w:hideMark/>
          </w:tcPr>
          <w:p w14:paraId="281F81E9"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5BC79FD5" w14:textId="77777777" w:rsidR="00931D43" w:rsidRPr="00931D43" w:rsidRDefault="00931D43" w:rsidP="00931D43">
            <w:r w:rsidRPr="00931D43">
              <w:rPr>
                <w:color w:val="000000"/>
                <w:sz w:val="19"/>
              </w:rPr>
              <w:t>ACWI, global secondaries, global growth, global macro, climate technology, global infrastructure</w:t>
            </w:r>
          </w:p>
        </w:tc>
      </w:tr>
      <w:tr w:rsidR="00931D43" w:rsidRPr="00931D43" w14:paraId="7541C4D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541C9A4" w14:textId="77777777" w:rsidR="00931D43" w:rsidRPr="00931D43" w:rsidRDefault="00931D43" w:rsidP="00931D43">
            <w:r w:rsidRPr="00931D43">
              <w:rPr>
                <w:color w:val="000000"/>
                <w:sz w:val="19"/>
              </w:rPr>
              <w:t>Singapore Local / SGD Liquidity</w:t>
            </w:r>
          </w:p>
        </w:tc>
        <w:tc>
          <w:tcPr>
            <w:tcW w:w="0" w:type="auto"/>
            <w:shd w:val="clear" w:color="auto" w:fill="FFFFFF"/>
            <w:tcMar>
              <w:top w:w="100" w:type="dxa"/>
              <w:left w:w="105" w:type="dxa"/>
              <w:bottom w:w="100" w:type="dxa"/>
              <w:right w:w="105" w:type="dxa"/>
            </w:tcMar>
            <w:vAlign w:val="center"/>
            <w:hideMark/>
          </w:tcPr>
          <w:p w14:paraId="37E15E90"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5BF586D0" w14:textId="77777777" w:rsidR="00931D43" w:rsidRPr="00931D43" w:rsidRDefault="00931D43" w:rsidP="00931D43">
            <w:r w:rsidRPr="00931D43">
              <w:rPr>
                <w:color w:val="000000"/>
                <w:sz w:val="19"/>
              </w:rPr>
              <w:t>SGD cash, Singapore T-bills / SGS, Singapore REIT exposure</w:t>
            </w:r>
          </w:p>
        </w:tc>
      </w:tr>
      <w:tr w:rsidR="00931D43" w:rsidRPr="00931D43" w14:paraId="0933858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2A09F4" w14:textId="77777777" w:rsidR="00931D43" w:rsidRPr="00931D43" w:rsidRDefault="00931D43" w:rsidP="00931D43">
            <w:r w:rsidRPr="00931D43">
              <w:rPr>
                <w:color w:val="000000"/>
                <w:sz w:val="19"/>
              </w:rPr>
              <w:t>Cash / Unallocated Liquidity</w:t>
            </w:r>
          </w:p>
        </w:tc>
        <w:tc>
          <w:tcPr>
            <w:tcW w:w="0" w:type="auto"/>
            <w:shd w:val="clear" w:color="auto" w:fill="FFFFFF"/>
            <w:tcMar>
              <w:top w:w="100" w:type="dxa"/>
              <w:left w:w="105" w:type="dxa"/>
              <w:bottom w:w="100" w:type="dxa"/>
              <w:right w:w="105" w:type="dxa"/>
            </w:tcMar>
            <w:vAlign w:val="center"/>
            <w:hideMark/>
          </w:tcPr>
          <w:p w14:paraId="22CCD459"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26FB13CE" w14:textId="77777777" w:rsidR="00931D43" w:rsidRPr="00931D43" w:rsidRDefault="00931D43" w:rsidP="00931D43">
            <w:r w:rsidRPr="00931D43">
              <w:rPr>
                <w:color w:val="000000"/>
                <w:sz w:val="19"/>
              </w:rPr>
              <w:t>USD and SGD liquidity reserves</w:t>
            </w:r>
          </w:p>
        </w:tc>
      </w:tr>
      <w:tr w:rsidR="00931D43" w:rsidRPr="00931D43" w14:paraId="6392AA2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8964EA8"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595448DD"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117C2B37" w14:textId="77777777" w:rsidR="00931D43" w:rsidRPr="00931D43" w:rsidRDefault="00931D43" w:rsidP="00931D43"/>
        </w:tc>
      </w:tr>
    </w:tbl>
    <w:p w14:paraId="0C969DD2" w14:textId="77777777" w:rsidR="00931D43" w:rsidRPr="00931D43" w:rsidRDefault="00931D43" w:rsidP="00931D43">
      <w:pPr>
        <w:spacing w:beforeAutospacing="1" w:afterAutospacing="1"/>
      </w:pPr>
      <w:r w:rsidRPr="00931D43">
        <w:t>The portfolio uses USD as its reporting currency, but it includes multiple underlying currency exposures.</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224"/>
        <w:gridCol w:w="2278"/>
        <w:gridCol w:w="5660"/>
      </w:tblGrid>
      <w:tr w:rsidR="00931D43" w:rsidRPr="00931D43" w14:paraId="13AB423C"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9313A3D" w14:textId="77777777" w:rsidR="00931D43" w:rsidRPr="00931D43" w:rsidRDefault="00931D43" w:rsidP="00931D43">
            <w:pPr>
              <w:jc w:val="center"/>
              <w:rPr>
                <w:b/>
                <w:bCs/>
              </w:rPr>
            </w:pPr>
            <w:r w:rsidRPr="00931D43">
              <w:rPr>
                <w:b/>
                <w:bCs/>
                <w:color w:val="000000"/>
                <w:sz w:val="19"/>
              </w:rPr>
              <w:t>Currency Exposure</w:t>
            </w:r>
          </w:p>
        </w:tc>
        <w:tc>
          <w:tcPr>
            <w:tcW w:w="0" w:type="auto"/>
            <w:shd w:val="clear" w:color="auto" w:fill="D9EAF7"/>
            <w:tcMar>
              <w:top w:w="100" w:type="dxa"/>
              <w:left w:w="105" w:type="dxa"/>
              <w:bottom w:w="100" w:type="dxa"/>
              <w:right w:w="105" w:type="dxa"/>
            </w:tcMar>
            <w:vAlign w:val="center"/>
            <w:hideMark/>
          </w:tcPr>
          <w:p w14:paraId="4093EB6F"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100" w:type="dxa"/>
              <w:left w:w="105" w:type="dxa"/>
              <w:bottom w:w="100" w:type="dxa"/>
              <w:right w:w="105" w:type="dxa"/>
            </w:tcMar>
            <w:vAlign w:val="center"/>
            <w:hideMark/>
          </w:tcPr>
          <w:p w14:paraId="05BBE0C9" w14:textId="77777777" w:rsidR="00931D43" w:rsidRPr="00931D43" w:rsidRDefault="00931D43" w:rsidP="00931D43">
            <w:pPr>
              <w:jc w:val="center"/>
              <w:rPr>
                <w:b/>
                <w:bCs/>
              </w:rPr>
            </w:pPr>
            <w:r w:rsidRPr="00931D43">
              <w:rPr>
                <w:b/>
                <w:bCs/>
                <w:color w:val="000000"/>
                <w:sz w:val="19"/>
              </w:rPr>
              <w:t>Rationale</w:t>
            </w:r>
          </w:p>
        </w:tc>
      </w:tr>
      <w:tr w:rsidR="00931D43" w:rsidRPr="00931D43" w14:paraId="77BA4CD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C18A8A7" w14:textId="77777777" w:rsidR="00931D43" w:rsidRPr="00931D43" w:rsidRDefault="00931D43" w:rsidP="00931D43">
            <w:r w:rsidRPr="00931D43">
              <w:rPr>
                <w:color w:val="000000"/>
                <w:sz w:val="19"/>
              </w:rPr>
              <w:lastRenderedPageBreak/>
              <w:t>USD</w:t>
            </w:r>
          </w:p>
        </w:tc>
        <w:tc>
          <w:tcPr>
            <w:tcW w:w="0" w:type="auto"/>
            <w:shd w:val="clear" w:color="auto" w:fill="FFFFFF"/>
            <w:tcMar>
              <w:top w:w="100" w:type="dxa"/>
              <w:left w:w="105" w:type="dxa"/>
              <w:bottom w:w="100" w:type="dxa"/>
              <w:right w:w="105" w:type="dxa"/>
            </w:tcMar>
            <w:vAlign w:val="center"/>
            <w:hideMark/>
          </w:tcPr>
          <w:p w14:paraId="490AD2A1" w14:textId="77777777" w:rsidR="00931D43" w:rsidRPr="00931D43" w:rsidRDefault="00931D43" w:rsidP="00931D43">
            <w:r w:rsidRPr="00931D43">
              <w:rPr>
                <w:color w:val="000000"/>
                <w:sz w:val="19"/>
              </w:rPr>
              <w:t>72%</w:t>
            </w:r>
          </w:p>
        </w:tc>
        <w:tc>
          <w:tcPr>
            <w:tcW w:w="0" w:type="auto"/>
            <w:shd w:val="clear" w:color="auto" w:fill="FFFFFF"/>
            <w:tcMar>
              <w:top w:w="100" w:type="dxa"/>
              <w:left w:w="105" w:type="dxa"/>
              <w:bottom w:w="100" w:type="dxa"/>
              <w:right w:w="105" w:type="dxa"/>
            </w:tcMar>
            <w:vAlign w:val="center"/>
            <w:hideMark/>
          </w:tcPr>
          <w:p w14:paraId="3F3F3AA9" w14:textId="77777777" w:rsidR="00931D43" w:rsidRPr="00931D43" w:rsidRDefault="00931D43" w:rsidP="00931D43">
            <w:r w:rsidRPr="00931D43">
              <w:rPr>
                <w:color w:val="000000"/>
                <w:sz w:val="19"/>
              </w:rPr>
              <w:t>US ETFs, US stocks, global private funds, private market capital calls</w:t>
            </w:r>
          </w:p>
        </w:tc>
      </w:tr>
      <w:tr w:rsidR="00931D43" w:rsidRPr="00931D43" w14:paraId="2AAC2FD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123DAEF" w14:textId="77777777" w:rsidR="00931D43" w:rsidRPr="00931D43" w:rsidRDefault="00931D43" w:rsidP="00931D43">
            <w:r w:rsidRPr="00931D43">
              <w:rPr>
                <w:color w:val="000000"/>
                <w:sz w:val="19"/>
              </w:rPr>
              <w:t>HKD</w:t>
            </w:r>
          </w:p>
        </w:tc>
        <w:tc>
          <w:tcPr>
            <w:tcW w:w="0" w:type="auto"/>
            <w:shd w:val="clear" w:color="auto" w:fill="FFFFFF"/>
            <w:tcMar>
              <w:top w:w="100" w:type="dxa"/>
              <w:left w:w="105" w:type="dxa"/>
              <w:bottom w:w="100" w:type="dxa"/>
              <w:right w:w="105" w:type="dxa"/>
            </w:tcMar>
            <w:vAlign w:val="center"/>
            <w:hideMark/>
          </w:tcPr>
          <w:p w14:paraId="1792C716"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74EC5CAC" w14:textId="77777777" w:rsidR="00931D43" w:rsidRPr="00931D43" w:rsidRDefault="00931D43" w:rsidP="00931D43">
            <w:r w:rsidRPr="00931D43">
              <w:rPr>
                <w:color w:val="000000"/>
                <w:sz w:val="19"/>
              </w:rPr>
              <w:t>Hong Kong listed equities</w:t>
            </w:r>
          </w:p>
        </w:tc>
      </w:tr>
      <w:tr w:rsidR="00931D43" w:rsidRPr="00931D43" w14:paraId="74BAD8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AB4209A" w14:textId="77777777" w:rsidR="00931D43" w:rsidRPr="00931D43" w:rsidRDefault="00931D43" w:rsidP="00931D43">
            <w:r w:rsidRPr="00931D43">
              <w:rPr>
                <w:color w:val="000000"/>
                <w:sz w:val="19"/>
              </w:rPr>
              <w:t>CNY / CNH</w:t>
            </w:r>
          </w:p>
        </w:tc>
        <w:tc>
          <w:tcPr>
            <w:tcW w:w="0" w:type="auto"/>
            <w:shd w:val="clear" w:color="auto" w:fill="FFFFFF"/>
            <w:tcMar>
              <w:top w:w="100" w:type="dxa"/>
              <w:left w:w="105" w:type="dxa"/>
              <w:bottom w:w="100" w:type="dxa"/>
              <w:right w:w="105" w:type="dxa"/>
            </w:tcMar>
            <w:vAlign w:val="center"/>
            <w:hideMark/>
          </w:tcPr>
          <w:p w14:paraId="5B537116"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2B263B3A" w14:textId="77777777" w:rsidR="00931D43" w:rsidRPr="00931D43" w:rsidRDefault="00931D43" w:rsidP="00931D43">
            <w:r w:rsidRPr="00931D43">
              <w:rPr>
                <w:color w:val="000000"/>
                <w:sz w:val="19"/>
              </w:rPr>
              <w:t>China A-share exposure</w:t>
            </w:r>
          </w:p>
        </w:tc>
      </w:tr>
      <w:tr w:rsidR="00931D43" w:rsidRPr="00931D43" w14:paraId="19D71F9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F130ADE"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5894B88B"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5C789ACA" w14:textId="77777777" w:rsidR="00931D43" w:rsidRPr="00931D43" w:rsidRDefault="00931D43" w:rsidP="00931D43">
            <w:r w:rsidRPr="00931D43">
              <w:rPr>
                <w:color w:val="000000"/>
                <w:sz w:val="19"/>
              </w:rPr>
              <w:t>Singapore cash, Singapore T-bills / SGS, Singapore REIT exposure</w:t>
            </w:r>
          </w:p>
        </w:tc>
      </w:tr>
      <w:tr w:rsidR="00931D43" w:rsidRPr="00931D43" w14:paraId="551BB3F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E4708C" w14:textId="77777777" w:rsidR="00931D43" w:rsidRPr="00931D43" w:rsidRDefault="00931D43" w:rsidP="00931D43">
            <w:r w:rsidRPr="00931D43">
              <w:rPr>
                <w:color w:val="000000"/>
                <w:sz w:val="19"/>
              </w:rPr>
              <w:t>JPY</w:t>
            </w:r>
          </w:p>
        </w:tc>
        <w:tc>
          <w:tcPr>
            <w:tcW w:w="0" w:type="auto"/>
            <w:shd w:val="clear" w:color="auto" w:fill="FFFFFF"/>
            <w:tcMar>
              <w:top w:w="100" w:type="dxa"/>
              <w:left w:w="105" w:type="dxa"/>
              <w:bottom w:w="100" w:type="dxa"/>
              <w:right w:w="105" w:type="dxa"/>
            </w:tcMar>
            <w:vAlign w:val="center"/>
            <w:hideMark/>
          </w:tcPr>
          <w:p w14:paraId="12BE92A3" w14:textId="77777777" w:rsidR="00931D43" w:rsidRPr="00931D43" w:rsidRDefault="00931D43" w:rsidP="00931D43">
            <w:r w:rsidRPr="00931D43">
              <w:rPr>
                <w:color w:val="000000"/>
                <w:sz w:val="19"/>
              </w:rPr>
              <w:t>2%</w:t>
            </w:r>
          </w:p>
        </w:tc>
        <w:tc>
          <w:tcPr>
            <w:tcW w:w="0" w:type="auto"/>
            <w:shd w:val="clear" w:color="auto" w:fill="FFFFFF"/>
            <w:tcMar>
              <w:top w:w="100" w:type="dxa"/>
              <w:left w:w="105" w:type="dxa"/>
              <w:bottom w:w="100" w:type="dxa"/>
              <w:right w:w="105" w:type="dxa"/>
            </w:tcMar>
            <w:vAlign w:val="center"/>
            <w:hideMark/>
          </w:tcPr>
          <w:p w14:paraId="340C40B8" w14:textId="77777777" w:rsidR="00931D43" w:rsidRPr="00931D43" w:rsidRDefault="00931D43" w:rsidP="00931D43">
            <w:r w:rsidRPr="00931D43">
              <w:rPr>
                <w:color w:val="000000"/>
                <w:sz w:val="19"/>
              </w:rPr>
              <w:t>Japan equities</w:t>
            </w:r>
          </w:p>
        </w:tc>
      </w:tr>
      <w:tr w:rsidR="00931D43" w:rsidRPr="00931D43" w14:paraId="16B84D5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2D35AB4" w14:textId="77777777" w:rsidR="00931D43" w:rsidRPr="00931D43" w:rsidRDefault="00931D43" w:rsidP="00931D43">
            <w:r w:rsidRPr="00931D43">
              <w:rPr>
                <w:color w:val="000000"/>
                <w:sz w:val="19"/>
              </w:rPr>
              <w:t>INR</w:t>
            </w:r>
          </w:p>
        </w:tc>
        <w:tc>
          <w:tcPr>
            <w:tcW w:w="0" w:type="auto"/>
            <w:shd w:val="clear" w:color="auto" w:fill="FFFFFF"/>
            <w:tcMar>
              <w:top w:w="100" w:type="dxa"/>
              <w:left w:w="105" w:type="dxa"/>
              <w:bottom w:w="100" w:type="dxa"/>
              <w:right w:w="105" w:type="dxa"/>
            </w:tcMar>
            <w:vAlign w:val="center"/>
            <w:hideMark/>
          </w:tcPr>
          <w:p w14:paraId="214B74AC" w14:textId="77777777" w:rsidR="00931D43" w:rsidRPr="00931D43" w:rsidRDefault="00931D43" w:rsidP="00931D43">
            <w:r w:rsidRPr="00931D43">
              <w:rPr>
                <w:color w:val="000000"/>
                <w:sz w:val="19"/>
              </w:rPr>
              <w:t>2%</w:t>
            </w:r>
          </w:p>
        </w:tc>
        <w:tc>
          <w:tcPr>
            <w:tcW w:w="0" w:type="auto"/>
            <w:shd w:val="clear" w:color="auto" w:fill="FFFFFF"/>
            <w:tcMar>
              <w:top w:w="100" w:type="dxa"/>
              <w:left w:w="105" w:type="dxa"/>
              <w:bottom w:w="100" w:type="dxa"/>
              <w:right w:w="105" w:type="dxa"/>
            </w:tcMar>
            <w:vAlign w:val="center"/>
            <w:hideMark/>
          </w:tcPr>
          <w:p w14:paraId="66C7B6AF" w14:textId="77777777" w:rsidR="00931D43" w:rsidRPr="00931D43" w:rsidRDefault="00931D43" w:rsidP="00931D43">
            <w:r w:rsidRPr="00931D43">
              <w:rPr>
                <w:color w:val="000000"/>
                <w:sz w:val="19"/>
              </w:rPr>
              <w:t>India equities and growth exposure</w:t>
            </w:r>
          </w:p>
        </w:tc>
      </w:tr>
      <w:tr w:rsidR="00931D43" w:rsidRPr="00931D43" w14:paraId="433018D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7CB0F1" w14:textId="77777777" w:rsidR="00931D43" w:rsidRPr="00931D43" w:rsidRDefault="00931D43" w:rsidP="00931D43">
            <w:r w:rsidRPr="00931D43">
              <w:rPr>
                <w:color w:val="000000"/>
                <w:sz w:val="19"/>
              </w:rPr>
              <w:t>EUR / GBP</w:t>
            </w:r>
          </w:p>
        </w:tc>
        <w:tc>
          <w:tcPr>
            <w:tcW w:w="0" w:type="auto"/>
            <w:shd w:val="clear" w:color="auto" w:fill="FFFFFF"/>
            <w:tcMar>
              <w:top w:w="100" w:type="dxa"/>
              <w:left w:w="105" w:type="dxa"/>
              <w:bottom w:w="100" w:type="dxa"/>
              <w:right w:w="105" w:type="dxa"/>
            </w:tcMar>
            <w:vAlign w:val="center"/>
            <w:hideMark/>
          </w:tcPr>
          <w:p w14:paraId="459CE451"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2EEFDE4E" w14:textId="77777777" w:rsidR="00931D43" w:rsidRPr="00931D43" w:rsidRDefault="00931D43" w:rsidP="00931D43">
            <w:r w:rsidRPr="00931D43">
              <w:rPr>
                <w:color w:val="000000"/>
                <w:sz w:val="19"/>
              </w:rPr>
              <w:t>European exposure through global funds and infrastructure</w:t>
            </w:r>
          </w:p>
        </w:tc>
      </w:tr>
      <w:tr w:rsidR="00931D43" w:rsidRPr="00931D43" w14:paraId="24C81A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737083E" w14:textId="77777777" w:rsidR="00931D43" w:rsidRPr="00931D43" w:rsidRDefault="00931D43" w:rsidP="00931D43">
            <w:r w:rsidRPr="00931D43">
              <w:rPr>
                <w:color w:val="000000"/>
                <w:sz w:val="19"/>
              </w:rPr>
              <w:t>Multi-currency / Hedged</w:t>
            </w:r>
          </w:p>
        </w:tc>
        <w:tc>
          <w:tcPr>
            <w:tcW w:w="0" w:type="auto"/>
            <w:shd w:val="clear" w:color="auto" w:fill="FFFFFF"/>
            <w:tcMar>
              <w:top w:w="100" w:type="dxa"/>
              <w:left w:w="105" w:type="dxa"/>
              <w:bottom w:w="100" w:type="dxa"/>
              <w:right w:w="105" w:type="dxa"/>
            </w:tcMar>
            <w:vAlign w:val="center"/>
            <w:hideMark/>
          </w:tcPr>
          <w:p w14:paraId="0543F537" w14:textId="77777777" w:rsidR="00931D43" w:rsidRPr="00931D43" w:rsidRDefault="00931D43" w:rsidP="00931D43">
            <w:r w:rsidRPr="00931D43">
              <w:rPr>
                <w:color w:val="000000"/>
                <w:sz w:val="19"/>
              </w:rPr>
              <w:t>6%</w:t>
            </w:r>
          </w:p>
        </w:tc>
        <w:tc>
          <w:tcPr>
            <w:tcW w:w="0" w:type="auto"/>
            <w:shd w:val="clear" w:color="auto" w:fill="FFFFFF"/>
            <w:tcMar>
              <w:top w:w="100" w:type="dxa"/>
              <w:left w:w="105" w:type="dxa"/>
              <w:bottom w:w="100" w:type="dxa"/>
              <w:right w:w="105" w:type="dxa"/>
            </w:tcMar>
            <w:vAlign w:val="center"/>
            <w:hideMark/>
          </w:tcPr>
          <w:p w14:paraId="1B22E56C" w14:textId="77777777" w:rsidR="00931D43" w:rsidRPr="00931D43" w:rsidRDefault="00931D43" w:rsidP="00931D43">
            <w:r w:rsidRPr="00931D43">
              <w:rPr>
                <w:color w:val="000000"/>
                <w:sz w:val="19"/>
              </w:rPr>
              <w:t>Hedge funds, global macro strategies, ACWI, global infrastructure</w:t>
            </w:r>
          </w:p>
        </w:tc>
      </w:tr>
      <w:tr w:rsidR="00931D43" w:rsidRPr="00931D43" w14:paraId="71C8DD9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BB452C3"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3FD7DC9B"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5736F103" w14:textId="77777777" w:rsidR="00931D43" w:rsidRPr="00931D43" w:rsidRDefault="00931D43" w:rsidP="00931D43"/>
        </w:tc>
      </w:tr>
    </w:tbl>
    <w:p w14:paraId="41EA2ACC"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3.9 Rationale for Portfolio Design</w:t>
      </w:r>
    </w:p>
    <w:p w14:paraId="4F78A375" w14:textId="77777777" w:rsidR="00931D43" w:rsidRPr="00931D43" w:rsidRDefault="00931D43" w:rsidP="00931D43">
      <w:pPr>
        <w:spacing w:beforeAutospacing="1" w:afterAutospacing="1"/>
      </w:pPr>
      <w:r w:rsidRPr="00931D43">
        <w:t>The synthetic portfolio is designed to support the proof-of-concept rather than to recommend an optimal investment allocation. Its purpose is to create a realistic data environment for testing AI-enabled family office reporting.</w:t>
      </w:r>
    </w:p>
    <w:p w14:paraId="6223A70E" w14:textId="77777777" w:rsidR="00931D43" w:rsidRPr="00931D43" w:rsidRDefault="00931D43" w:rsidP="00931D43">
      <w:pPr>
        <w:spacing w:beforeAutospacing="1" w:afterAutospacing="1"/>
      </w:pPr>
      <w:r w:rsidRPr="00931D43">
        <w:t>The public market holdings provide observable market data for risk analysis, including return, volatility, drawdown, and correlation. The private market holdings generate mock capital call notices, distribution notices, quarterly statements, and fund reports. The private market commitment assumptions create a need for unfunded commitment tracking and liquidity planning. The USD and SGD liquidity setup reflects the fact that the family office is based in Singapore but invests globally and reports primarily in USD.</w:t>
      </w:r>
    </w:p>
    <w:p w14:paraId="0CCC9EFA" w14:textId="77777777" w:rsidR="00931D43" w:rsidRDefault="00931D43" w:rsidP="00764F9C">
      <w:pPr>
        <w:spacing w:beforeAutospacing="1" w:afterAutospacing="1"/>
      </w:pPr>
      <w:r w:rsidRPr="00931D43">
        <w:t>Overall, the portfolio is complex enough to simulate fragmented family office reporting workflows, but controlled enough to support proof-of-concept implementation. It provides the foundation for the later stages of the project: document extraction, structured data validation, dashboard construction, liquidity monitoring, and public market risk reporting.</w:t>
      </w:r>
    </w:p>
    <w:p w14:paraId="20FB9CF6" w14:textId="77777777" w:rsidR="002F2433" w:rsidRDefault="002F2433" w:rsidP="002F2433">
      <w:pPr>
        <w:pStyle w:val="Heading2"/>
        <w:rPr>
          <w:sz w:val="27"/>
          <w:szCs w:val="27"/>
        </w:rPr>
      </w:pPr>
      <w:r>
        <w:rPr>
          <w:rFonts w:ascii="Arial" w:hAnsi="Arial"/>
        </w:rPr>
        <w:t>3.10 Initial Portfolio Data Layer</w:t>
      </w:r>
    </w:p>
    <w:p w14:paraId="6FC14F6C" w14:textId="77777777" w:rsidR="002F2433" w:rsidRDefault="002F2433" w:rsidP="002F2433">
      <w:pPr>
        <w:pStyle w:val="NormalWeb"/>
      </w:pPr>
      <w:r>
        <w:rPr>
          <w:sz w:val="24"/>
        </w:rPr>
        <w:t>The synthetic portfolio is not only defined at the allocation level. It also requires an initial structured data layer so that the dashboard has a starting portfolio state before any mock PDF document is processed. Without this data layer, extracted document information would have no portfolio records to update.</w:t>
      </w:r>
    </w:p>
    <w:p w14:paraId="6610DC11" w14:textId="77777777" w:rsidR="002F2433" w:rsidRDefault="002F2433" w:rsidP="002F2433">
      <w:pPr>
        <w:pStyle w:val="NormalWeb"/>
      </w:pPr>
      <w:r>
        <w:rPr>
          <w:sz w:val="24"/>
        </w:rPr>
        <w:t>The initial portfolio data layer stores the portfolio’s master records, historical monthly values, fund commitments, private fund positions, cash balances, and validation reference data. It turns the synthetic portfolio from a static allocation design into a usable database for the proof-of-concept.</w:t>
      </w:r>
    </w:p>
    <w:p w14:paraId="2FD75F5A" w14:textId="77777777" w:rsidR="002F2433" w:rsidRDefault="002F2433" w:rsidP="002A4A1E">
      <w:pPr>
        <w:pStyle w:val="NormalWeb"/>
      </w:pPr>
      <w:r>
        <w:rPr>
          <w:sz w:val="24"/>
        </w:rPr>
        <w:t xml:space="preserve">The data layer is designed to support two functions. First, it provides the starting portfolio state for the dashboard. Second, it provides the reference data required for document validation. For example, when the </w:t>
      </w:r>
      <w:r>
        <w:rPr>
          <w:sz w:val="24"/>
        </w:rPr>
        <w:lastRenderedPageBreak/>
        <w:t>system extracts a capital call amount from a PDF, it must validate the fund name against the fund master, check the investor entity, compare the amount against available cash, and update the capital call calendar only after the extracted fields pass validation.</w:t>
      </w:r>
    </w:p>
    <w:p w14:paraId="7471DE1A" w14:textId="77777777" w:rsidR="002F2433" w:rsidRDefault="002F2433" w:rsidP="002F2433">
      <w:pPr>
        <w:pStyle w:val="Heading3"/>
      </w:pPr>
      <w:r>
        <w:rPr>
          <w:rFonts w:ascii="Arial" w:hAnsi="Arial"/>
        </w:rPr>
        <w:t>3.10.1 Reporting Cut-Off and Historical Data Period</w:t>
      </w:r>
    </w:p>
    <w:p w14:paraId="4F62868D" w14:textId="77777777" w:rsidR="002F2433" w:rsidRDefault="002F2433" w:rsidP="002F2433">
      <w:pPr>
        <w:pStyle w:val="NormalWeb"/>
      </w:pPr>
      <w:r>
        <w:rPr>
          <w:sz w:val="24"/>
        </w:rPr>
        <w:t>The initial portfolio data layer uses a reporting cut-off date of April 30, 2026. Historical monthly data is generated from January 2023 to April 2026. This creates a complete starting portfolio history before the May 2026 document ingestion process.</w:t>
      </w:r>
    </w:p>
    <w:p w14:paraId="11D0B9D9" w14:textId="77777777" w:rsidR="002F2433" w:rsidRDefault="002F2433" w:rsidP="002F2433">
      <w:pPr>
        <w:pStyle w:val="NormalWeb"/>
      </w:pPr>
      <w:r>
        <w:rPr>
          <w:sz w:val="24"/>
        </w:rPr>
        <w:t>The mock PDF documents are designed as documents received during May 2026. This timing is intentional. Since the project is completed before June 2026 data is available, the prototype should not rely on June data. Instead, the system demonstrates how May 2026 documents update the portfolio records that existed as of April 30, 2026.</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462"/>
        <w:gridCol w:w="2948"/>
        <w:gridCol w:w="5452"/>
      </w:tblGrid>
      <w:tr w:rsidR="002F2433" w14:paraId="1670376B"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F767F85" w14:textId="77777777" w:rsidR="002F2433" w:rsidRDefault="002F2433">
            <w:pPr>
              <w:jc w:val="center"/>
              <w:rPr>
                <w:b/>
                <w:bCs/>
              </w:rPr>
            </w:pPr>
            <w:r>
              <w:rPr>
                <w:b/>
                <w:bCs/>
                <w:color w:val="000000"/>
                <w:sz w:val="19"/>
              </w:rPr>
              <w:t>Data Layer</w:t>
            </w:r>
          </w:p>
        </w:tc>
        <w:tc>
          <w:tcPr>
            <w:tcW w:w="0" w:type="auto"/>
            <w:shd w:val="clear" w:color="auto" w:fill="D9EAF7"/>
            <w:tcMar>
              <w:top w:w="100" w:type="dxa"/>
              <w:left w:w="105" w:type="dxa"/>
              <w:bottom w:w="100" w:type="dxa"/>
              <w:right w:w="105" w:type="dxa"/>
            </w:tcMar>
            <w:vAlign w:val="center"/>
            <w:hideMark/>
          </w:tcPr>
          <w:p w14:paraId="5006C1F2" w14:textId="77777777" w:rsidR="002F2433" w:rsidRDefault="002F2433">
            <w:pPr>
              <w:jc w:val="center"/>
              <w:rPr>
                <w:b/>
                <w:bCs/>
              </w:rPr>
            </w:pPr>
            <w:r>
              <w:rPr>
                <w:b/>
                <w:bCs/>
                <w:color w:val="000000"/>
                <w:sz w:val="19"/>
              </w:rPr>
              <w:t>Date Setting</w:t>
            </w:r>
          </w:p>
        </w:tc>
        <w:tc>
          <w:tcPr>
            <w:tcW w:w="0" w:type="auto"/>
            <w:shd w:val="clear" w:color="auto" w:fill="D9EAF7"/>
            <w:tcMar>
              <w:top w:w="100" w:type="dxa"/>
              <w:left w:w="105" w:type="dxa"/>
              <w:bottom w:w="100" w:type="dxa"/>
              <w:right w:w="105" w:type="dxa"/>
            </w:tcMar>
            <w:vAlign w:val="center"/>
            <w:hideMark/>
          </w:tcPr>
          <w:p w14:paraId="2E4B3655" w14:textId="77777777" w:rsidR="002F2433" w:rsidRDefault="002F2433">
            <w:pPr>
              <w:jc w:val="center"/>
              <w:rPr>
                <w:b/>
                <w:bCs/>
              </w:rPr>
            </w:pPr>
            <w:r>
              <w:rPr>
                <w:b/>
                <w:bCs/>
                <w:color w:val="000000"/>
                <w:sz w:val="19"/>
              </w:rPr>
              <w:t>Purpose</w:t>
            </w:r>
          </w:p>
        </w:tc>
      </w:tr>
      <w:tr w:rsidR="002F2433" w14:paraId="38C3AA3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A0AC3DC" w14:textId="77777777" w:rsidR="002F2433" w:rsidRDefault="002F2433">
            <w:r>
              <w:rPr>
                <w:color w:val="000000"/>
                <w:sz w:val="19"/>
              </w:rPr>
              <w:t>Historical portfolio data</w:t>
            </w:r>
          </w:p>
        </w:tc>
        <w:tc>
          <w:tcPr>
            <w:tcW w:w="0" w:type="auto"/>
            <w:shd w:val="clear" w:color="auto" w:fill="FFFFFF"/>
            <w:tcMar>
              <w:top w:w="100" w:type="dxa"/>
              <w:left w:w="105" w:type="dxa"/>
              <w:bottom w:w="100" w:type="dxa"/>
              <w:right w:w="105" w:type="dxa"/>
            </w:tcMar>
            <w:vAlign w:val="center"/>
            <w:hideMark/>
          </w:tcPr>
          <w:p w14:paraId="3A08AD68" w14:textId="77777777" w:rsidR="002F2433" w:rsidRDefault="002F2433">
            <w:r>
              <w:rPr>
                <w:color w:val="000000"/>
                <w:sz w:val="19"/>
              </w:rPr>
              <w:t>January 2023 to April 2026</w:t>
            </w:r>
          </w:p>
        </w:tc>
        <w:tc>
          <w:tcPr>
            <w:tcW w:w="0" w:type="auto"/>
            <w:shd w:val="clear" w:color="auto" w:fill="FFFFFF"/>
            <w:tcMar>
              <w:top w:w="100" w:type="dxa"/>
              <w:left w:w="105" w:type="dxa"/>
              <w:bottom w:w="100" w:type="dxa"/>
              <w:right w:w="105" w:type="dxa"/>
            </w:tcMar>
            <w:vAlign w:val="center"/>
            <w:hideMark/>
          </w:tcPr>
          <w:p w14:paraId="79F14A7E" w14:textId="77777777" w:rsidR="002F2433" w:rsidRDefault="002F2433">
            <w:r>
              <w:rPr>
                <w:color w:val="000000"/>
                <w:sz w:val="19"/>
              </w:rPr>
              <w:t>Provides monthly history for dashboard trends</w:t>
            </w:r>
          </w:p>
        </w:tc>
      </w:tr>
      <w:tr w:rsidR="002F2433" w14:paraId="436BCD1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5654C0E" w14:textId="77777777" w:rsidR="002F2433" w:rsidRDefault="002F2433">
            <w:r>
              <w:rPr>
                <w:color w:val="000000"/>
                <w:sz w:val="19"/>
              </w:rPr>
              <w:t>Initial portfolio snapshot</w:t>
            </w:r>
          </w:p>
        </w:tc>
        <w:tc>
          <w:tcPr>
            <w:tcW w:w="0" w:type="auto"/>
            <w:shd w:val="clear" w:color="auto" w:fill="FFFFFF"/>
            <w:tcMar>
              <w:top w:w="100" w:type="dxa"/>
              <w:left w:w="105" w:type="dxa"/>
              <w:bottom w:w="100" w:type="dxa"/>
              <w:right w:w="105" w:type="dxa"/>
            </w:tcMar>
            <w:vAlign w:val="center"/>
            <w:hideMark/>
          </w:tcPr>
          <w:p w14:paraId="5A2393A5" w14:textId="77777777" w:rsidR="002F2433" w:rsidRDefault="002F2433">
            <w:r>
              <w:rPr>
                <w:color w:val="000000"/>
                <w:sz w:val="19"/>
              </w:rPr>
              <w:t>April 30, 2026</w:t>
            </w:r>
          </w:p>
        </w:tc>
        <w:tc>
          <w:tcPr>
            <w:tcW w:w="0" w:type="auto"/>
            <w:shd w:val="clear" w:color="auto" w:fill="FFFFFF"/>
            <w:tcMar>
              <w:top w:w="100" w:type="dxa"/>
              <w:left w:w="105" w:type="dxa"/>
              <w:bottom w:w="100" w:type="dxa"/>
              <w:right w:w="105" w:type="dxa"/>
            </w:tcMar>
            <w:vAlign w:val="center"/>
            <w:hideMark/>
          </w:tcPr>
          <w:p w14:paraId="21E403A0" w14:textId="77777777" w:rsidR="002F2433" w:rsidRDefault="002F2433">
            <w:r>
              <w:rPr>
                <w:color w:val="000000"/>
                <w:sz w:val="19"/>
              </w:rPr>
              <w:t>Serves as the starting portfolio state before document ingestion</w:t>
            </w:r>
          </w:p>
        </w:tc>
      </w:tr>
      <w:tr w:rsidR="002F2433" w14:paraId="44A8D71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9A6EB02" w14:textId="77777777" w:rsidR="002F2433" w:rsidRDefault="002F2433">
            <w:r>
              <w:rPr>
                <w:color w:val="000000"/>
                <w:sz w:val="19"/>
              </w:rPr>
              <w:t>Mock PDF documents</w:t>
            </w:r>
          </w:p>
        </w:tc>
        <w:tc>
          <w:tcPr>
            <w:tcW w:w="0" w:type="auto"/>
            <w:shd w:val="clear" w:color="auto" w:fill="FFFFFF"/>
            <w:tcMar>
              <w:top w:w="100" w:type="dxa"/>
              <w:left w:w="105" w:type="dxa"/>
              <w:bottom w:w="100" w:type="dxa"/>
              <w:right w:w="105" w:type="dxa"/>
            </w:tcMar>
            <w:vAlign w:val="center"/>
            <w:hideMark/>
          </w:tcPr>
          <w:p w14:paraId="3392596F" w14:textId="77777777" w:rsidR="002F2433" w:rsidRDefault="002F2433">
            <w:r>
              <w:rPr>
                <w:color w:val="000000"/>
                <w:sz w:val="19"/>
              </w:rPr>
              <w:t>Received in May 2026</w:t>
            </w:r>
          </w:p>
        </w:tc>
        <w:tc>
          <w:tcPr>
            <w:tcW w:w="0" w:type="auto"/>
            <w:shd w:val="clear" w:color="auto" w:fill="FFFFFF"/>
            <w:tcMar>
              <w:top w:w="100" w:type="dxa"/>
              <w:left w:w="105" w:type="dxa"/>
              <w:bottom w:w="100" w:type="dxa"/>
              <w:right w:w="105" w:type="dxa"/>
            </w:tcMar>
            <w:vAlign w:val="center"/>
            <w:hideMark/>
          </w:tcPr>
          <w:p w14:paraId="107DC986" w14:textId="77777777" w:rsidR="002F2433" w:rsidRDefault="002F2433">
            <w:r>
              <w:rPr>
                <w:color w:val="000000"/>
                <w:sz w:val="19"/>
              </w:rPr>
              <w:t>Provides new private market information to be extracted and processed</w:t>
            </w:r>
          </w:p>
        </w:tc>
      </w:tr>
      <w:tr w:rsidR="002F2433" w14:paraId="033EC87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C519801" w14:textId="77777777" w:rsidR="002F2433" w:rsidRDefault="002F2433">
            <w:r>
              <w:rPr>
                <w:color w:val="000000"/>
                <w:sz w:val="19"/>
              </w:rPr>
              <w:t>Post-ingestion portfolio view</w:t>
            </w:r>
          </w:p>
        </w:tc>
        <w:tc>
          <w:tcPr>
            <w:tcW w:w="0" w:type="auto"/>
            <w:shd w:val="clear" w:color="auto" w:fill="FFFFFF"/>
            <w:tcMar>
              <w:top w:w="100" w:type="dxa"/>
              <w:left w:w="105" w:type="dxa"/>
              <w:bottom w:w="100" w:type="dxa"/>
              <w:right w:w="105" w:type="dxa"/>
            </w:tcMar>
            <w:vAlign w:val="center"/>
            <w:hideMark/>
          </w:tcPr>
          <w:p w14:paraId="01412CBE" w14:textId="77777777" w:rsidR="002F2433" w:rsidRDefault="002F2433">
            <w:r>
              <w:rPr>
                <w:color w:val="000000"/>
                <w:sz w:val="19"/>
              </w:rPr>
              <w:t>May 2026 updated / pro-forma view</w:t>
            </w:r>
          </w:p>
        </w:tc>
        <w:tc>
          <w:tcPr>
            <w:tcW w:w="0" w:type="auto"/>
            <w:shd w:val="clear" w:color="auto" w:fill="FFFFFF"/>
            <w:tcMar>
              <w:top w:w="100" w:type="dxa"/>
              <w:left w:w="105" w:type="dxa"/>
              <w:bottom w:w="100" w:type="dxa"/>
              <w:right w:w="105" w:type="dxa"/>
            </w:tcMar>
            <w:vAlign w:val="center"/>
            <w:hideMark/>
          </w:tcPr>
          <w:p w14:paraId="3C5E285A" w14:textId="77777777" w:rsidR="002F2433" w:rsidRDefault="002F2433">
            <w:r>
              <w:rPr>
                <w:color w:val="000000"/>
                <w:sz w:val="19"/>
              </w:rPr>
              <w:t>Shows the dashboard after processing extracted document data</w:t>
            </w:r>
          </w:p>
        </w:tc>
      </w:tr>
      <w:tr w:rsidR="002F2433" w14:paraId="5887551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A9C110F" w14:textId="77777777" w:rsidR="002F2433" w:rsidRDefault="002F2433">
            <w:r>
              <w:rPr>
                <w:color w:val="000000"/>
                <w:sz w:val="19"/>
              </w:rPr>
              <w:t>June 2026 data</w:t>
            </w:r>
          </w:p>
        </w:tc>
        <w:tc>
          <w:tcPr>
            <w:tcW w:w="0" w:type="auto"/>
            <w:shd w:val="clear" w:color="auto" w:fill="FFFFFF"/>
            <w:tcMar>
              <w:top w:w="100" w:type="dxa"/>
              <w:left w:w="105" w:type="dxa"/>
              <w:bottom w:w="100" w:type="dxa"/>
              <w:right w:w="105" w:type="dxa"/>
            </w:tcMar>
            <w:vAlign w:val="center"/>
            <w:hideMark/>
          </w:tcPr>
          <w:p w14:paraId="704731E8" w14:textId="77777777" w:rsidR="002F2433" w:rsidRDefault="002F2433">
            <w:r>
              <w:rPr>
                <w:color w:val="000000"/>
                <w:sz w:val="19"/>
              </w:rPr>
              <w:t>Not required</w:t>
            </w:r>
          </w:p>
        </w:tc>
        <w:tc>
          <w:tcPr>
            <w:tcW w:w="0" w:type="auto"/>
            <w:shd w:val="clear" w:color="auto" w:fill="FFFFFF"/>
            <w:tcMar>
              <w:top w:w="100" w:type="dxa"/>
              <w:left w:w="105" w:type="dxa"/>
              <w:bottom w:w="100" w:type="dxa"/>
              <w:right w:w="105" w:type="dxa"/>
            </w:tcMar>
            <w:vAlign w:val="center"/>
            <w:hideMark/>
          </w:tcPr>
          <w:p w14:paraId="765290BB" w14:textId="77777777" w:rsidR="002F2433" w:rsidRDefault="002F2433">
            <w:r>
              <w:rPr>
                <w:color w:val="000000"/>
                <w:sz w:val="19"/>
              </w:rPr>
              <w:t>The project is completed before June data is available</w:t>
            </w:r>
          </w:p>
        </w:tc>
      </w:tr>
    </w:tbl>
    <w:p w14:paraId="5AD81045" w14:textId="77777777" w:rsidR="002F2433" w:rsidRDefault="002F2433" w:rsidP="002A4A1E">
      <w:pPr>
        <w:pStyle w:val="NormalWeb"/>
      </w:pPr>
      <w:r>
        <w:rPr>
          <w:sz w:val="24"/>
        </w:rPr>
        <w:t>This design reflects a realistic reporting workflow. The dashboard begins with portfolio data through the prior month-end. During the current month, the family office receives new private market documents such as capital call letters, distribution notices, capital statements, and investor newsletters. These documents are processed by the extraction workflow, validated against the existing portfolio data layer, and then used to update event tables, liquidity forecasts, private fund records, and review queues.</w:t>
      </w:r>
    </w:p>
    <w:p w14:paraId="2DF51AC2" w14:textId="77777777" w:rsidR="002F2433" w:rsidRDefault="002F2433" w:rsidP="002F2433">
      <w:pPr>
        <w:pStyle w:val="Heading3"/>
      </w:pPr>
      <w:r>
        <w:rPr>
          <w:rFonts w:ascii="Arial" w:hAnsi="Arial"/>
        </w:rPr>
        <w:t>3.10.2 Initial Portfolio Data Summary</w:t>
      </w:r>
    </w:p>
    <w:p w14:paraId="2F104956" w14:textId="77777777" w:rsidR="002F2433" w:rsidRDefault="002F2433" w:rsidP="002F2433">
      <w:pPr>
        <w:pStyle w:val="NormalWeb"/>
      </w:pPr>
      <w:r>
        <w:rPr>
          <w:sz w:val="24"/>
        </w:rPr>
        <w:t>The initial portfolio data is aligned with the synthetic portfolio defined above. It represents the portfolio before any May 2026 PDF document is processed.</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736"/>
        <w:gridCol w:w="1338"/>
      </w:tblGrid>
      <w:tr w:rsidR="002F2433" w14:paraId="7879A268"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EDA3F50" w14:textId="77777777" w:rsidR="002F2433" w:rsidRDefault="002F2433">
            <w:pPr>
              <w:jc w:val="center"/>
              <w:rPr>
                <w:b/>
                <w:bCs/>
              </w:rPr>
            </w:pPr>
            <w:r>
              <w:rPr>
                <w:b/>
                <w:bCs/>
                <w:color w:val="000000"/>
                <w:sz w:val="19"/>
              </w:rPr>
              <w:t>Metric</w:t>
            </w:r>
          </w:p>
        </w:tc>
        <w:tc>
          <w:tcPr>
            <w:tcW w:w="0" w:type="auto"/>
            <w:shd w:val="clear" w:color="auto" w:fill="D9EAF7"/>
            <w:tcMar>
              <w:top w:w="100" w:type="dxa"/>
              <w:left w:w="105" w:type="dxa"/>
              <w:bottom w:w="100" w:type="dxa"/>
              <w:right w:w="105" w:type="dxa"/>
            </w:tcMar>
            <w:vAlign w:val="center"/>
            <w:hideMark/>
          </w:tcPr>
          <w:p w14:paraId="35BB9616" w14:textId="77777777" w:rsidR="002F2433" w:rsidRDefault="002F2433">
            <w:pPr>
              <w:jc w:val="center"/>
              <w:rPr>
                <w:b/>
                <w:bCs/>
              </w:rPr>
            </w:pPr>
            <w:r>
              <w:rPr>
                <w:b/>
                <w:bCs/>
                <w:color w:val="000000"/>
                <w:sz w:val="19"/>
              </w:rPr>
              <w:t>Value</w:t>
            </w:r>
          </w:p>
        </w:tc>
      </w:tr>
      <w:tr w:rsidR="002F2433" w14:paraId="7E73C2D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D585681" w14:textId="77777777" w:rsidR="002F2433" w:rsidRDefault="002F2433">
            <w:r>
              <w:rPr>
                <w:color w:val="000000"/>
                <w:sz w:val="19"/>
              </w:rPr>
              <w:t>Reporting currency</w:t>
            </w:r>
          </w:p>
        </w:tc>
        <w:tc>
          <w:tcPr>
            <w:tcW w:w="0" w:type="auto"/>
            <w:shd w:val="clear" w:color="auto" w:fill="FFFFFF"/>
            <w:tcMar>
              <w:top w:w="100" w:type="dxa"/>
              <w:left w:w="105" w:type="dxa"/>
              <w:bottom w:w="100" w:type="dxa"/>
              <w:right w:w="105" w:type="dxa"/>
            </w:tcMar>
            <w:vAlign w:val="center"/>
            <w:hideMark/>
          </w:tcPr>
          <w:p w14:paraId="70FB9443" w14:textId="77777777" w:rsidR="002F2433" w:rsidRDefault="002F2433">
            <w:r>
              <w:rPr>
                <w:color w:val="000000"/>
                <w:sz w:val="19"/>
              </w:rPr>
              <w:t>USD</w:t>
            </w:r>
          </w:p>
        </w:tc>
      </w:tr>
      <w:tr w:rsidR="002F2433" w14:paraId="742646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A07106B" w14:textId="77777777" w:rsidR="002F2433" w:rsidRDefault="002F2433">
            <w:r>
              <w:rPr>
                <w:color w:val="000000"/>
                <w:sz w:val="19"/>
              </w:rPr>
              <w:t>Initial portfolio snapshot date</w:t>
            </w:r>
          </w:p>
        </w:tc>
        <w:tc>
          <w:tcPr>
            <w:tcW w:w="0" w:type="auto"/>
            <w:shd w:val="clear" w:color="auto" w:fill="FFFFFF"/>
            <w:tcMar>
              <w:top w:w="100" w:type="dxa"/>
              <w:left w:w="105" w:type="dxa"/>
              <w:bottom w:w="100" w:type="dxa"/>
              <w:right w:w="105" w:type="dxa"/>
            </w:tcMar>
            <w:vAlign w:val="center"/>
            <w:hideMark/>
          </w:tcPr>
          <w:p w14:paraId="3C0DB003" w14:textId="77777777" w:rsidR="002F2433" w:rsidRDefault="002F2433">
            <w:r>
              <w:rPr>
                <w:color w:val="000000"/>
                <w:sz w:val="19"/>
              </w:rPr>
              <w:t>2026-04-30</w:t>
            </w:r>
          </w:p>
        </w:tc>
      </w:tr>
      <w:tr w:rsidR="002F2433" w14:paraId="7D8F05F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B6957B5" w14:textId="77777777" w:rsidR="002F2433" w:rsidRDefault="002F2433">
            <w:r>
              <w:rPr>
                <w:color w:val="000000"/>
                <w:sz w:val="19"/>
              </w:rPr>
              <w:t>Historical data start date</w:t>
            </w:r>
          </w:p>
        </w:tc>
        <w:tc>
          <w:tcPr>
            <w:tcW w:w="0" w:type="auto"/>
            <w:shd w:val="clear" w:color="auto" w:fill="FFFFFF"/>
            <w:tcMar>
              <w:top w:w="100" w:type="dxa"/>
              <w:left w:w="105" w:type="dxa"/>
              <w:bottom w:w="100" w:type="dxa"/>
              <w:right w:w="105" w:type="dxa"/>
            </w:tcMar>
            <w:vAlign w:val="center"/>
            <w:hideMark/>
          </w:tcPr>
          <w:p w14:paraId="1356A1EF" w14:textId="77777777" w:rsidR="002F2433" w:rsidRDefault="002F2433">
            <w:r>
              <w:rPr>
                <w:color w:val="000000"/>
                <w:sz w:val="19"/>
              </w:rPr>
              <w:t>2023-01-31</w:t>
            </w:r>
          </w:p>
        </w:tc>
      </w:tr>
      <w:tr w:rsidR="002F2433" w14:paraId="7DEED6B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2E3F0A0" w14:textId="77777777" w:rsidR="002F2433" w:rsidRDefault="002F2433">
            <w:r>
              <w:rPr>
                <w:color w:val="000000"/>
                <w:sz w:val="19"/>
              </w:rPr>
              <w:lastRenderedPageBreak/>
              <w:t>Historical data end date</w:t>
            </w:r>
          </w:p>
        </w:tc>
        <w:tc>
          <w:tcPr>
            <w:tcW w:w="0" w:type="auto"/>
            <w:shd w:val="clear" w:color="auto" w:fill="FFFFFF"/>
            <w:tcMar>
              <w:top w:w="100" w:type="dxa"/>
              <w:left w:w="105" w:type="dxa"/>
              <w:bottom w:w="100" w:type="dxa"/>
              <w:right w:w="105" w:type="dxa"/>
            </w:tcMar>
            <w:vAlign w:val="center"/>
            <w:hideMark/>
          </w:tcPr>
          <w:p w14:paraId="2D93108E" w14:textId="77777777" w:rsidR="002F2433" w:rsidRDefault="002F2433">
            <w:r>
              <w:rPr>
                <w:color w:val="000000"/>
                <w:sz w:val="19"/>
              </w:rPr>
              <w:t>2026-04-30</w:t>
            </w:r>
          </w:p>
        </w:tc>
      </w:tr>
      <w:tr w:rsidR="002F2433" w14:paraId="7B2C928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B1624F" w14:textId="77777777" w:rsidR="002F2433" w:rsidRDefault="002F2433">
            <w:r>
              <w:rPr>
                <w:color w:val="000000"/>
                <w:sz w:val="19"/>
              </w:rPr>
              <w:t>Total AUM</w:t>
            </w:r>
          </w:p>
        </w:tc>
        <w:tc>
          <w:tcPr>
            <w:tcW w:w="0" w:type="auto"/>
            <w:shd w:val="clear" w:color="auto" w:fill="FFFFFF"/>
            <w:tcMar>
              <w:top w:w="100" w:type="dxa"/>
              <w:left w:w="105" w:type="dxa"/>
              <w:bottom w:w="100" w:type="dxa"/>
              <w:right w:w="105" w:type="dxa"/>
            </w:tcMar>
            <w:vAlign w:val="center"/>
            <w:hideMark/>
          </w:tcPr>
          <w:p w14:paraId="06155362" w14:textId="77777777" w:rsidR="002F2433" w:rsidRDefault="002F2433">
            <w:r>
              <w:rPr>
                <w:color w:val="000000"/>
                <w:sz w:val="19"/>
              </w:rPr>
              <w:t>USD 750.0m</w:t>
            </w:r>
          </w:p>
        </w:tc>
      </w:tr>
      <w:tr w:rsidR="002F2433" w14:paraId="3D19D4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FEC452" w14:textId="77777777" w:rsidR="002F2433" w:rsidRDefault="002F2433">
            <w:r>
              <w:rPr>
                <w:color w:val="000000"/>
                <w:sz w:val="19"/>
              </w:rPr>
              <w:t>Closed-end private fund NAV</w:t>
            </w:r>
          </w:p>
        </w:tc>
        <w:tc>
          <w:tcPr>
            <w:tcW w:w="0" w:type="auto"/>
            <w:shd w:val="clear" w:color="auto" w:fill="FFFFFF"/>
            <w:tcMar>
              <w:top w:w="100" w:type="dxa"/>
              <w:left w:w="105" w:type="dxa"/>
              <w:bottom w:w="100" w:type="dxa"/>
              <w:right w:w="105" w:type="dxa"/>
            </w:tcMar>
            <w:vAlign w:val="center"/>
            <w:hideMark/>
          </w:tcPr>
          <w:p w14:paraId="03BE784D" w14:textId="77777777" w:rsidR="002F2433" w:rsidRDefault="002F2433">
            <w:r>
              <w:rPr>
                <w:color w:val="000000"/>
                <w:sz w:val="19"/>
              </w:rPr>
              <w:t>USD 360.0m</w:t>
            </w:r>
          </w:p>
        </w:tc>
      </w:tr>
      <w:tr w:rsidR="002F2433" w14:paraId="6DD6BD3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3076F7C" w14:textId="77777777" w:rsidR="002F2433" w:rsidRDefault="002F2433">
            <w:r>
              <w:rPr>
                <w:color w:val="000000"/>
                <w:sz w:val="19"/>
              </w:rPr>
              <w:t>Private fund total commitments</w:t>
            </w:r>
          </w:p>
        </w:tc>
        <w:tc>
          <w:tcPr>
            <w:tcW w:w="0" w:type="auto"/>
            <w:shd w:val="clear" w:color="auto" w:fill="FFFFFF"/>
            <w:tcMar>
              <w:top w:w="100" w:type="dxa"/>
              <w:left w:w="105" w:type="dxa"/>
              <w:bottom w:w="100" w:type="dxa"/>
              <w:right w:w="105" w:type="dxa"/>
            </w:tcMar>
            <w:vAlign w:val="center"/>
            <w:hideMark/>
          </w:tcPr>
          <w:p w14:paraId="6F4CBC0A" w14:textId="77777777" w:rsidR="002F2433" w:rsidRDefault="002F2433">
            <w:r>
              <w:rPr>
                <w:color w:val="000000"/>
                <w:sz w:val="19"/>
              </w:rPr>
              <w:t>USD 500.0m</w:t>
            </w:r>
          </w:p>
        </w:tc>
      </w:tr>
      <w:tr w:rsidR="002F2433" w14:paraId="50E22F1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2261BA1" w14:textId="77777777" w:rsidR="002F2433" w:rsidRDefault="002F2433">
            <w:r>
              <w:rPr>
                <w:color w:val="000000"/>
                <w:sz w:val="19"/>
              </w:rPr>
              <w:t>Paid-in capital</w:t>
            </w:r>
          </w:p>
        </w:tc>
        <w:tc>
          <w:tcPr>
            <w:tcW w:w="0" w:type="auto"/>
            <w:shd w:val="clear" w:color="auto" w:fill="FFFFFF"/>
            <w:tcMar>
              <w:top w:w="100" w:type="dxa"/>
              <w:left w:w="105" w:type="dxa"/>
              <w:bottom w:w="100" w:type="dxa"/>
              <w:right w:w="105" w:type="dxa"/>
            </w:tcMar>
            <w:vAlign w:val="center"/>
            <w:hideMark/>
          </w:tcPr>
          <w:p w14:paraId="6AFEED4A" w14:textId="77777777" w:rsidR="002F2433" w:rsidRDefault="002F2433">
            <w:r>
              <w:rPr>
                <w:color w:val="000000"/>
                <w:sz w:val="19"/>
              </w:rPr>
              <w:t>USD 365.0m</w:t>
            </w:r>
          </w:p>
        </w:tc>
      </w:tr>
      <w:tr w:rsidR="002F2433" w14:paraId="1F6B496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362F59" w14:textId="77777777" w:rsidR="002F2433" w:rsidRDefault="002F2433">
            <w:r>
              <w:rPr>
                <w:color w:val="000000"/>
                <w:sz w:val="19"/>
              </w:rPr>
              <w:t>Unfunded commitments</w:t>
            </w:r>
          </w:p>
        </w:tc>
        <w:tc>
          <w:tcPr>
            <w:tcW w:w="0" w:type="auto"/>
            <w:shd w:val="clear" w:color="auto" w:fill="FFFFFF"/>
            <w:tcMar>
              <w:top w:w="100" w:type="dxa"/>
              <w:left w:w="105" w:type="dxa"/>
              <w:bottom w:w="100" w:type="dxa"/>
              <w:right w:w="105" w:type="dxa"/>
            </w:tcMar>
            <w:vAlign w:val="center"/>
            <w:hideMark/>
          </w:tcPr>
          <w:p w14:paraId="09C32B93" w14:textId="77777777" w:rsidR="002F2433" w:rsidRDefault="002F2433">
            <w:r>
              <w:rPr>
                <w:color w:val="000000"/>
                <w:sz w:val="19"/>
              </w:rPr>
              <w:t>USD 135.0m</w:t>
            </w:r>
          </w:p>
        </w:tc>
      </w:tr>
    </w:tbl>
    <w:p w14:paraId="71EB7ADC" w14:textId="77777777" w:rsidR="002F2433" w:rsidRDefault="002F2433" w:rsidP="002F2433">
      <w:pPr>
        <w:pStyle w:val="NormalWeb"/>
      </w:pPr>
      <w:r>
        <w:rPr>
          <w:sz w:val="24"/>
        </w:rPr>
        <w:t>Monthly data is appropriate for the dashboard because different asset classes have different reporting frequencies. Public securities may have daily observable prices, but the proof-of-concept only needs monthly values to show trends and risk indicators. Private market funds usually report officially on a quarterly basis, but the dashboard can still maintain monthly estimated or carried-forward values for monitoring purposes. Capital calls and distributions are event-driven rather than monthly, but they can be aggregated into monthly views for liquidity analysis.</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668"/>
        <w:gridCol w:w="2864"/>
        <w:gridCol w:w="5037"/>
      </w:tblGrid>
      <w:tr w:rsidR="002F2433" w14:paraId="381530A7"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1D53B96" w14:textId="77777777" w:rsidR="002F2433" w:rsidRDefault="002F2433">
            <w:pPr>
              <w:jc w:val="center"/>
              <w:rPr>
                <w:b/>
                <w:bCs/>
              </w:rPr>
            </w:pPr>
            <w:r>
              <w:rPr>
                <w:b/>
                <w:bCs/>
                <w:color w:val="000000"/>
                <w:sz w:val="19"/>
              </w:rPr>
              <w:t>Asset / Data Type</w:t>
            </w:r>
          </w:p>
        </w:tc>
        <w:tc>
          <w:tcPr>
            <w:tcW w:w="0" w:type="auto"/>
            <w:shd w:val="clear" w:color="auto" w:fill="D9EAF7"/>
            <w:tcMar>
              <w:top w:w="100" w:type="dxa"/>
              <w:left w:w="105" w:type="dxa"/>
              <w:bottom w:w="100" w:type="dxa"/>
              <w:right w:w="105" w:type="dxa"/>
            </w:tcMar>
            <w:vAlign w:val="center"/>
            <w:hideMark/>
          </w:tcPr>
          <w:p w14:paraId="1C5BD877" w14:textId="77777777" w:rsidR="002F2433" w:rsidRDefault="002F2433">
            <w:pPr>
              <w:jc w:val="center"/>
              <w:rPr>
                <w:b/>
                <w:bCs/>
              </w:rPr>
            </w:pPr>
            <w:r>
              <w:rPr>
                <w:b/>
                <w:bCs/>
                <w:color w:val="000000"/>
                <w:sz w:val="19"/>
              </w:rPr>
              <w:t>Realistic Reporting Frequency</w:t>
            </w:r>
          </w:p>
        </w:tc>
        <w:tc>
          <w:tcPr>
            <w:tcW w:w="0" w:type="auto"/>
            <w:shd w:val="clear" w:color="auto" w:fill="D9EAF7"/>
            <w:tcMar>
              <w:top w:w="100" w:type="dxa"/>
              <w:left w:w="105" w:type="dxa"/>
              <w:bottom w:w="100" w:type="dxa"/>
              <w:right w:w="105" w:type="dxa"/>
            </w:tcMar>
            <w:vAlign w:val="center"/>
            <w:hideMark/>
          </w:tcPr>
          <w:p w14:paraId="0A8C0129" w14:textId="77777777" w:rsidR="002F2433" w:rsidRDefault="002F2433">
            <w:pPr>
              <w:jc w:val="center"/>
              <w:rPr>
                <w:b/>
                <w:bCs/>
              </w:rPr>
            </w:pPr>
            <w:r>
              <w:rPr>
                <w:b/>
                <w:bCs/>
                <w:color w:val="000000"/>
                <w:sz w:val="19"/>
              </w:rPr>
              <w:t>How It Is Represented in the Synthetic Dataset</w:t>
            </w:r>
          </w:p>
        </w:tc>
      </w:tr>
      <w:tr w:rsidR="002F2433" w14:paraId="13E91A0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FF83755" w14:textId="77777777" w:rsidR="002F2433" w:rsidRDefault="002F2433">
            <w:r>
              <w:rPr>
                <w:color w:val="000000"/>
                <w:sz w:val="19"/>
              </w:rPr>
              <w:t>Public equities and ETFs</w:t>
            </w:r>
          </w:p>
        </w:tc>
        <w:tc>
          <w:tcPr>
            <w:tcW w:w="0" w:type="auto"/>
            <w:shd w:val="clear" w:color="auto" w:fill="FFFFFF"/>
            <w:tcMar>
              <w:top w:w="100" w:type="dxa"/>
              <w:left w:w="105" w:type="dxa"/>
              <w:bottom w:w="100" w:type="dxa"/>
              <w:right w:w="105" w:type="dxa"/>
            </w:tcMar>
            <w:vAlign w:val="center"/>
            <w:hideMark/>
          </w:tcPr>
          <w:p w14:paraId="106F885B" w14:textId="77777777" w:rsidR="002F2433" w:rsidRDefault="002F2433">
            <w:r>
              <w:rPr>
                <w:color w:val="000000"/>
                <w:sz w:val="19"/>
              </w:rPr>
              <w:t>Daily prices available</w:t>
            </w:r>
          </w:p>
        </w:tc>
        <w:tc>
          <w:tcPr>
            <w:tcW w:w="0" w:type="auto"/>
            <w:shd w:val="clear" w:color="auto" w:fill="FFFFFF"/>
            <w:tcMar>
              <w:top w:w="100" w:type="dxa"/>
              <w:left w:w="105" w:type="dxa"/>
              <w:bottom w:w="100" w:type="dxa"/>
              <w:right w:w="105" w:type="dxa"/>
            </w:tcMar>
            <w:vAlign w:val="center"/>
            <w:hideMark/>
          </w:tcPr>
          <w:p w14:paraId="21CEC1AF" w14:textId="77777777" w:rsidR="002F2433" w:rsidRDefault="002F2433">
            <w:r>
              <w:rPr>
                <w:color w:val="000000"/>
                <w:sz w:val="19"/>
              </w:rPr>
              <w:t>Monthly synthetic price and value history</w:t>
            </w:r>
          </w:p>
        </w:tc>
      </w:tr>
      <w:tr w:rsidR="002F2433" w14:paraId="2893EFE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097AAD8" w14:textId="77777777" w:rsidR="002F2433" w:rsidRDefault="002F2433">
            <w:r>
              <w:rPr>
                <w:color w:val="000000"/>
                <w:sz w:val="19"/>
              </w:rPr>
              <w:t>Fixed income and liquid credit</w:t>
            </w:r>
          </w:p>
        </w:tc>
        <w:tc>
          <w:tcPr>
            <w:tcW w:w="0" w:type="auto"/>
            <w:shd w:val="clear" w:color="auto" w:fill="FFFFFF"/>
            <w:tcMar>
              <w:top w:w="100" w:type="dxa"/>
              <w:left w:w="105" w:type="dxa"/>
              <w:bottom w:w="100" w:type="dxa"/>
              <w:right w:w="105" w:type="dxa"/>
            </w:tcMar>
            <w:vAlign w:val="center"/>
            <w:hideMark/>
          </w:tcPr>
          <w:p w14:paraId="058224CC" w14:textId="77777777" w:rsidR="002F2433" w:rsidRDefault="002F2433">
            <w:r>
              <w:rPr>
                <w:color w:val="000000"/>
                <w:sz w:val="19"/>
              </w:rPr>
              <w:t>Daily prices available</w:t>
            </w:r>
          </w:p>
        </w:tc>
        <w:tc>
          <w:tcPr>
            <w:tcW w:w="0" w:type="auto"/>
            <w:shd w:val="clear" w:color="auto" w:fill="FFFFFF"/>
            <w:tcMar>
              <w:top w:w="100" w:type="dxa"/>
              <w:left w:w="105" w:type="dxa"/>
              <w:bottom w:w="100" w:type="dxa"/>
              <w:right w:w="105" w:type="dxa"/>
            </w:tcMar>
            <w:vAlign w:val="center"/>
            <w:hideMark/>
          </w:tcPr>
          <w:p w14:paraId="6CCA510A" w14:textId="77777777" w:rsidR="002F2433" w:rsidRDefault="002F2433">
            <w:r>
              <w:rPr>
                <w:color w:val="000000"/>
                <w:sz w:val="19"/>
              </w:rPr>
              <w:t>Monthly synthetic price and value history</w:t>
            </w:r>
          </w:p>
        </w:tc>
      </w:tr>
      <w:tr w:rsidR="002F2433" w14:paraId="6AE5419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677A1C" w14:textId="77777777" w:rsidR="002F2433" w:rsidRDefault="002F2433">
            <w:r>
              <w:rPr>
                <w:color w:val="000000"/>
                <w:sz w:val="19"/>
              </w:rPr>
              <w:t>Private funds</w:t>
            </w:r>
          </w:p>
        </w:tc>
        <w:tc>
          <w:tcPr>
            <w:tcW w:w="0" w:type="auto"/>
            <w:shd w:val="clear" w:color="auto" w:fill="FFFFFF"/>
            <w:tcMar>
              <w:top w:w="100" w:type="dxa"/>
              <w:left w:w="105" w:type="dxa"/>
              <w:bottom w:w="100" w:type="dxa"/>
              <w:right w:w="105" w:type="dxa"/>
            </w:tcMar>
            <w:vAlign w:val="center"/>
            <w:hideMark/>
          </w:tcPr>
          <w:p w14:paraId="72C47469" w14:textId="77777777" w:rsidR="002F2433" w:rsidRDefault="002F2433">
            <w:r>
              <w:rPr>
                <w:color w:val="000000"/>
                <w:sz w:val="19"/>
              </w:rPr>
              <w:t>Usually quarterly statements</w:t>
            </w:r>
          </w:p>
        </w:tc>
        <w:tc>
          <w:tcPr>
            <w:tcW w:w="0" w:type="auto"/>
            <w:shd w:val="clear" w:color="auto" w:fill="FFFFFF"/>
            <w:tcMar>
              <w:top w:w="100" w:type="dxa"/>
              <w:left w:w="105" w:type="dxa"/>
              <w:bottom w:w="100" w:type="dxa"/>
              <w:right w:w="105" w:type="dxa"/>
            </w:tcMar>
            <w:vAlign w:val="center"/>
            <w:hideMark/>
          </w:tcPr>
          <w:p w14:paraId="75B2E417" w14:textId="77777777" w:rsidR="002F2433" w:rsidRDefault="002F2433">
            <w:r>
              <w:rPr>
                <w:color w:val="000000"/>
                <w:sz w:val="19"/>
              </w:rPr>
              <w:t>Monthly NAV path using carried-forward or estimated values</w:t>
            </w:r>
          </w:p>
        </w:tc>
      </w:tr>
      <w:tr w:rsidR="002F2433" w14:paraId="6264860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812F63A" w14:textId="77777777" w:rsidR="002F2433" w:rsidRDefault="002F2433">
            <w:r>
              <w:rPr>
                <w:color w:val="000000"/>
                <w:sz w:val="19"/>
              </w:rPr>
              <w:t>Capital calls</w:t>
            </w:r>
          </w:p>
        </w:tc>
        <w:tc>
          <w:tcPr>
            <w:tcW w:w="0" w:type="auto"/>
            <w:shd w:val="clear" w:color="auto" w:fill="FFFFFF"/>
            <w:tcMar>
              <w:top w:w="100" w:type="dxa"/>
              <w:left w:w="105" w:type="dxa"/>
              <w:bottom w:w="100" w:type="dxa"/>
              <w:right w:w="105" w:type="dxa"/>
            </w:tcMar>
            <w:vAlign w:val="center"/>
            <w:hideMark/>
          </w:tcPr>
          <w:p w14:paraId="0A7D1951" w14:textId="77777777" w:rsidR="002F2433" w:rsidRDefault="002F2433">
            <w:r>
              <w:rPr>
                <w:color w:val="000000"/>
                <w:sz w:val="19"/>
              </w:rPr>
              <w:t>Event-driven</w:t>
            </w:r>
          </w:p>
        </w:tc>
        <w:tc>
          <w:tcPr>
            <w:tcW w:w="0" w:type="auto"/>
            <w:shd w:val="clear" w:color="auto" w:fill="FFFFFF"/>
            <w:tcMar>
              <w:top w:w="100" w:type="dxa"/>
              <w:left w:w="105" w:type="dxa"/>
              <w:bottom w:w="100" w:type="dxa"/>
              <w:right w:w="105" w:type="dxa"/>
            </w:tcMar>
            <w:vAlign w:val="center"/>
            <w:hideMark/>
          </w:tcPr>
          <w:p w14:paraId="7C40F0D8" w14:textId="77777777" w:rsidR="002F2433" w:rsidRDefault="002F2433">
            <w:r>
              <w:rPr>
                <w:color w:val="000000"/>
                <w:sz w:val="19"/>
              </w:rPr>
              <w:t>Event table with monthly aggregation</w:t>
            </w:r>
          </w:p>
        </w:tc>
      </w:tr>
      <w:tr w:rsidR="002F2433" w14:paraId="3B133DB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5779D07" w14:textId="77777777" w:rsidR="002F2433" w:rsidRDefault="002F2433">
            <w:r>
              <w:rPr>
                <w:color w:val="000000"/>
                <w:sz w:val="19"/>
              </w:rPr>
              <w:t>Distributions</w:t>
            </w:r>
          </w:p>
        </w:tc>
        <w:tc>
          <w:tcPr>
            <w:tcW w:w="0" w:type="auto"/>
            <w:shd w:val="clear" w:color="auto" w:fill="FFFFFF"/>
            <w:tcMar>
              <w:top w:w="100" w:type="dxa"/>
              <w:left w:w="105" w:type="dxa"/>
              <w:bottom w:w="100" w:type="dxa"/>
              <w:right w:w="105" w:type="dxa"/>
            </w:tcMar>
            <w:vAlign w:val="center"/>
            <w:hideMark/>
          </w:tcPr>
          <w:p w14:paraId="18CFFC7F" w14:textId="77777777" w:rsidR="002F2433" w:rsidRDefault="002F2433">
            <w:r>
              <w:rPr>
                <w:color w:val="000000"/>
                <w:sz w:val="19"/>
              </w:rPr>
              <w:t>Event-driven</w:t>
            </w:r>
          </w:p>
        </w:tc>
        <w:tc>
          <w:tcPr>
            <w:tcW w:w="0" w:type="auto"/>
            <w:shd w:val="clear" w:color="auto" w:fill="FFFFFF"/>
            <w:tcMar>
              <w:top w:w="100" w:type="dxa"/>
              <w:left w:w="105" w:type="dxa"/>
              <w:bottom w:w="100" w:type="dxa"/>
              <w:right w:w="105" w:type="dxa"/>
            </w:tcMar>
            <w:vAlign w:val="center"/>
            <w:hideMark/>
          </w:tcPr>
          <w:p w14:paraId="7E165DA3" w14:textId="77777777" w:rsidR="002F2433" w:rsidRDefault="002F2433">
            <w:r>
              <w:rPr>
                <w:color w:val="000000"/>
                <w:sz w:val="19"/>
              </w:rPr>
              <w:t>Event table with monthly aggregation</w:t>
            </w:r>
          </w:p>
        </w:tc>
      </w:tr>
      <w:tr w:rsidR="002F2433" w14:paraId="23BA63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324BFF" w14:textId="77777777" w:rsidR="002F2433" w:rsidRDefault="002F2433">
            <w:r>
              <w:rPr>
                <w:color w:val="000000"/>
                <w:sz w:val="19"/>
              </w:rPr>
              <w:t>Cash and liquidity</w:t>
            </w:r>
          </w:p>
        </w:tc>
        <w:tc>
          <w:tcPr>
            <w:tcW w:w="0" w:type="auto"/>
            <w:shd w:val="clear" w:color="auto" w:fill="FFFFFF"/>
            <w:tcMar>
              <w:top w:w="100" w:type="dxa"/>
              <w:left w:w="105" w:type="dxa"/>
              <w:bottom w:w="100" w:type="dxa"/>
              <w:right w:w="105" w:type="dxa"/>
            </w:tcMar>
            <w:vAlign w:val="center"/>
            <w:hideMark/>
          </w:tcPr>
          <w:p w14:paraId="609A6547" w14:textId="77777777" w:rsidR="002F2433" w:rsidRDefault="002F2433">
            <w:r>
              <w:rPr>
                <w:color w:val="000000"/>
                <w:sz w:val="19"/>
              </w:rPr>
              <w:t>Daily or monthly internal records</w:t>
            </w:r>
          </w:p>
        </w:tc>
        <w:tc>
          <w:tcPr>
            <w:tcW w:w="0" w:type="auto"/>
            <w:shd w:val="clear" w:color="auto" w:fill="FFFFFF"/>
            <w:tcMar>
              <w:top w:w="100" w:type="dxa"/>
              <w:left w:w="105" w:type="dxa"/>
              <w:bottom w:w="100" w:type="dxa"/>
              <w:right w:w="105" w:type="dxa"/>
            </w:tcMar>
            <w:vAlign w:val="center"/>
            <w:hideMark/>
          </w:tcPr>
          <w:p w14:paraId="1E2C475C" w14:textId="77777777" w:rsidR="002F2433" w:rsidRDefault="002F2433">
            <w:r>
              <w:rPr>
                <w:color w:val="000000"/>
                <w:sz w:val="19"/>
              </w:rPr>
              <w:t>Monthly cash balance history</w:t>
            </w:r>
          </w:p>
        </w:tc>
      </w:tr>
      <w:tr w:rsidR="002F2433" w14:paraId="6670581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09543FD" w14:textId="77777777" w:rsidR="002F2433" w:rsidRDefault="002F2433">
            <w:r>
              <w:rPr>
                <w:color w:val="000000"/>
                <w:sz w:val="19"/>
              </w:rPr>
              <w:t>Investor newsletters</w:t>
            </w:r>
          </w:p>
        </w:tc>
        <w:tc>
          <w:tcPr>
            <w:tcW w:w="0" w:type="auto"/>
            <w:shd w:val="clear" w:color="auto" w:fill="FFFFFF"/>
            <w:tcMar>
              <w:top w:w="100" w:type="dxa"/>
              <w:left w:w="105" w:type="dxa"/>
              <w:bottom w:w="100" w:type="dxa"/>
              <w:right w:w="105" w:type="dxa"/>
            </w:tcMar>
            <w:vAlign w:val="center"/>
            <w:hideMark/>
          </w:tcPr>
          <w:p w14:paraId="395E17AE" w14:textId="77777777" w:rsidR="002F2433" w:rsidRDefault="002F2433">
            <w:r>
              <w:rPr>
                <w:color w:val="000000"/>
                <w:sz w:val="19"/>
              </w:rPr>
              <w:t>Usually quarterly</w:t>
            </w:r>
          </w:p>
        </w:tc>
        <w:tc>
          <w:tcPr>
            <w:tcW w:w="0" w:type="auto"/>
            <w:shd w:val="clear" w:color="auto" w:fill="FFFFFF"/>
            <w:tcMar>
              <w:top w:w="100" w:type="dxa"/>
              <w:left w:w="105" w:type="dxa"/>
              <w:bottom w:w="100" w:type="dxa"/>
              <w:right w:w="105" w:type="dxa"/>
            </w:tcMar>
            <w:vAlign w:val="center"/>
            <w:hideMark/>
          </w:tcPr>
          <w:p w14:paraId="69BF2EB9" w14:textId="77777777" w:rsidR="002F2433" w:rsidRDefault="002F2433">
            <w:r>
              <w:rPr>
                <w:color w:val="000000"/>
                <w:sz w:val="19"/>
              </w:rPr>
              <w:t>Quarterly qualitative update records</w:t>
            </w:r>
          </w:p>
        </w:tc>
      </w:tr>
    </w:tbl>
    <w:p w14:paraId="7EF0E908" w14:textId="77777777" w:rsidR="002F2433" w:rsidRDefault="00BB19E9" w:rsidP="002F2433">
      <w:pPr>
        <w:spacing w:before="120" w:after="120"/>
        <w:jc w:val="center"/>
      </w:pPr>
      <w:r>
        <w:rPr>
          <w:noProof/>
        </w:rPr>
        <w:pict w14:anchorId="57E096A9">
          <v:rect id="_x0000_i1026" alt="" style="width:451.3pt;height:.05pt;mso-width-percent:0;mso-height-percent:0;mso-width-percent:0;mso-height-percent:0" o:hralign="center" o:hrstd="t" o:hr="t" fillcolor="#a0a0a0" stroked="f"/>
        </w:pict>
      </w:r>
    </w:p>
    <w:p w14:paraId="7B28E751" w14:textId="77777777" w:rsidR="002F2433" w:rsidRDefault="002F2433" w:rsidP="002F2433">
      <w:pPr>
        <w:pStyle w:val="Heading3"/>
      </w:pPr>
      <w:r>
        <w:rPr>
          <w:rFonts w:ascii="Arial" w:hAnsi="Arial"/>
        </w:rPr>
        <w:t>3.10.3 Data Package Overview</w:t>
      </w:r>
    </w:p>
    <w:p w14:paraId="6B3F0197" w14:textId="77777777" w:rsidR="002F2433" w:rsidRDefault="002F2433" w:rsidP="002F2433">
      <w:pPr>
        <w:pStyle w:val="NormalWeb"/>
      </w:pPr>
      <w:r>
        <w:rPr>
          <w:sz w:val="24"/>
        </w:rPr>
        <w:t>The data package contains both historical data and update-ready event tables. The historical data gives the dashboard a time series from January 2023 to April 2026. The May 2026 document update tables represent the structured records that should be created after the mock PDFs are processed.</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1536"/>
        <w:gridCol w:w="6381"/>
        <w:gridCol w:w="2945"/>
      </w:tblGrid>
      <w:tr w:rsidR="002F2433" w14:paraId="3A953EE6"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6B2CDEBC" w14:textId="77777777" w:rsidR="002F2433" w:rsidRDefault="002F2433">
            <w:pPr>
              <w:jc w:val="center"/>
              <w:rPr>
                <w:b/>
                <w:bCs/>
              </w:rPr>
            </w:pPr>
            <w:r>
              <w:rPr>
                <w:b/>
                <w:bCs/>
                <w:color w:val="000000"/>
                <w:sz w:val="19"/>
              </w:rPr>
              <w:t>Data Category</w:t>
            </w:r>
          </w:p>
        </w:tc>
        <w:tc>
          <w:tcPr>
            <w:tcW w:w="0" w:type="auto"/>
            <w:shd w:val="clear" w:color="auto" w:fill="D9EAF7"/>
            <w:tcMar>
              <w:top w:w="100" w:type="dxa"/>
              <w:left w:w="105" w:type="dxa"/>
              <w:bottom w:w="100" w:type="dxa"/>
              <w:right w:w="105" w:type="dxa"/>
            </w:tcMar>
            <w:vAlign w:val="center"/>
            <w:hideMark/>
          </w:tcPr>
          <w:p w14:paraId="3369CD41" w14:textId="77777777" w:rsidR="002F2433" w:rsidRDefault="002F2433">
            <w:pPr>
              <w:jc w:val="center"/>
              <w:rPr>
                <w:b/>
                <w:bCs/>
              </w:rPr>
            </w:pPr>
            <w:r>
              <w:rPr>
                <w:b/>
                <w:bCs/>
                <w:color w:val="000000"/>
                <w:sz w:val="19"/>
              </w:rPr>
              <w:t>Included Tables</w:t>
            </w:r>
          </w:p>
        </w:tc>
        <w:tc>
          <w:tcPr>
            <w:tcW w:w="0" w:type="auto"/>
            <w:shd w:val="clear" w:color="auto" w:fill="D9EAF7"/>
            <w:tcMar>
              <w:top w:w="100" w:type="dxa"/>
              <w:left w:w="105" w:type="dxa"/>
              <w:bottom w:w="100" w:type="dxa"/>
              <w:right w:w="105" w:type="dxa"/>
            </w:tcMar>
            <w:vAlign w:val="center"/>
            <w:hideMark/>
          </w:tcPr>
          <w:p w14:paraId="7CF4134C" w14:textId="77777777" w:rsidR="002F2433" w:rsidRDefault="002F2433">
            <w:pPr>
              <w:jc w:val="center"/>
              <w:rPr>
                <w:b/>
                <w:bCs/>
              </w:rPr>
            </w:pPr>
            <w:r>
              <w:rPr>
                <w:b/>
                <w:bCs/>
                <w:color w:val="000000"/>
                <w:sz w:val="19"/>
              </w:rPr>
              <w:t>Purpose</w:t>
            </w:r>
          </w:p>
        </w:tc>
      </w:tr>
      <w:tr w:rsidR="002F2433" w14:paraId="296A4EE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9AD3CD" w14:textId="77777777" w:rsidR="002F2433" w:rsidRDefault="002F2433">
            <w:r>
              <w:rPr>
                <w:color w:val="000000"/>
                <w:sz w:val="19"/>
              </w:rPr>
              <w:t>Master Data</w:t>
            </w:r>
          </w:p>
        </w:tc>
        <w:tc>
          <w:tcPr>
            <w:tcW w:w="0" w:type="auto"/>
            <w:shd w:val="clear" w:color="auto" w:fill="FFFFFF"/>
            <w:tcMar>
              <w:top w:w="100" w:type="dxa"/>
              <w:left w:w="105" w:type="dxa"/>
              <w:bottom w:w="100" w:type="dxa"/>
              <w:right w:w="105" w:type="dxa"/>
            </w:tcMar>
            <w:vAlign w:val="center"/>
            <w:hideMark/>
          </w:tcPr>
          <w:p w14:paraId="70BC1591" w14:textId="77777777" w:rsidR="002F2433" w:rsidRDefault="002F2433">
            <w:r>
              <w:rPr>
                <w:rStyle w:val="HTMLCode"/>
                <w:rFonts w:ascii="Times New Roman" w:hAnsi="Times New Roman"/>
                <w:color w:val="000000"/>
                <w:sz w:val="19"/>
              </w:rPr>
              <w:t>family_entities</w:t>
            </w:r>
            <w:r>
              <w:rPr>
                <w:color w:val="000000"/>
                <w:sz w:val="19"/>
              </w:rPr>
              <w:t xml:space="preserve">, </w:t>
            </w:r>
            <w:r>
              <w:rPr>
                <w:rStyle w:val="HTMLCode"/>
                <w:rFonts w:ascii="Times New Roman" w:hAnsi="Times New Roman"/>
                <w:color w:val="000000"/>
                <w:sz w:val="19"/>
              </w:rPr>
              <w:t>portfolio_holdings</w:t>
            </w:r>
            <w:r>
              <w:rPr>
                <w:color w:val="000000"/>
                <w:sz w:val="19"/>
              </w:rPr>
              <w:t xml:space="preserve">, </w:t>
            </w:r>
            <w:r>
              <w:rPr>
                <w:rStyle w:val="HTMLCode"/>
                <w:rFonts w:ascii="Times New Roman" w:hAnsi="Times New Roman"/>
                <w:color w:val="000000"/>
                <w:sz w:val="19"/>
              </w:rPr>
              <w:t>private_fund_master</w:t>
            </w:r>
            <w:r>
              <w:rPr>
                <w:color w:val="000000"/>
                <w:sz w:val="19"/>
              </w:rPr>
              <w:t xml:space="preserve">, </w:t>
            </w:r>
            <w:r>
              <w:rPr>
                <w:rStyle w:val="HTMLCode"/>
                <w:rFonts w:ascii="Times New Roman" w:hAnsi="Times New Roman"/>
                <w:color w:val="000000"/>
                <w:sz w:val="19"/>
              </w:rPr>
              <w:lastRenderedPageBreak/>
              <w:t>private_positions_pre_ingestion</w:t>
            </w:r>
            <w:r>
              <w:rPr>
                <w:color w:val="000000"/>
                <w:sz w:val="19"/>
              </w:rPr>
              <w:t xml:space="preserve">, </w:t>
            </w:r>
            <w:r>
              <w:rPr>
                <w:rStyle w:val="HTMLCode"/>
                <w:rFonts w:ascii="Times New Roman" w:hAnsi="Times New Roman"/>
                <w:color w:val="000000"/>
                <w:sz w:val="19"/>
              </w:rPr>
              <w:t>cash_accounts_pre_ingestion</w:t>
            </w:r>
            <w:r>
              <w:rPr>
                <w:color w:val="000000"/>
                <w:sz w:val="19"/>
              </w:rPr>
              <w:t xml:space="preserve">, </w:t>
            </w:r>
            <w:r>
              <w:rPr>
                <w:rStyle w:val="HTMLCode"/>
                <w:rFonts w:ascii="Times New Roman" w:hAnsi="Times New Roman"/>
                <w:color w:val="000000"/>
                <w:sz w:val="19"/>
              </w:rPr>
              <w:t>fund_aliases</w:t>
            </w:r>
          </w:p>
        </w:tc>
        <w:tc>
          <w:tcPr>
            <w:tcW w:w="0" w:type="auto"/>
            <w:shd w:val="clear" w:color="auto" w:fill="FFFFFF"/>
            <w:tcMar>
              <w:top w:w="100" w:type="dxa"/>
              <w:left w:w="105" w:type="dxa"/>
              <w:bottom w:w="100" w:type="dxa"/>
              <w:right w:w="105" w:type="dxa"/>
            </w:tcMar>
            <w:vAlign w:val="center"/>
            <w:hideMark/>
          </w:tcPr>
          <w:p w14:paraId="7A94616B" w14:textId="77777777" w:rsidR="002F2433" w:rsidRDefault="002F2433">
            <w:r>
              <w:rPr>
                <w:color w:val="000000"/>
                <w:sz w:val="19"/>
              </w:rPr>
              <w:lastRenderedPageBreak/>
              <w:t xml:space="preserve">Defines the current portfolio state </w:t>
            </w:r>
            <w:r>
              <w:rPr>
                <w:color w:val="000000"/>
                <w:sz w:val="19"/>
              </w:rPr>
              <w:lastRenderedPageBreak/>
              <w:t>and reference records as of April 30, 2026</w:t>
            </w:r>
          </w:p>
        </w:tc>
      </w:tr>
      <w:tr w:rsidR="002F2433" w14:paraId="5798BE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E624963" w14:textId="77777777" w:rsidR="002F2433" w:rsidRDefault="002F2433">
            <w:r>
              <w:rPr>
                <w:color w:val="000000"/>
                <w:sz w:val="19"/>
              </w:rPr>
              <w:t>Historical Data</w:t>
            </w:r>
          </w:p>
        </w:tc>
        <w:tc>
          <w:tcPr>
            <w:tcW w:w="0" w:type="auto"/>
            <w:shd w:val="clear" w:color="auto" w:fill="FFFFFF"/>
            <w:tcMar>
              <w:top w:w="100" w:type="dxa"/>
              <w:left w:w="105" w:type="dxa"/>
              <w:bottom w:w="100" w:type="dxa"/>
              <w:right w:w="105" w:type="dxa"/>
            </w:tcMar>
            <w:vAlign w:val="center"/>
            <w:hideMark/>
          </w:tcPr>
          <w:p w14:paraId="4BA647C3" w14:textId="77777777" w:rsidR="002F2433" w:rsidRDefault="002F2433">
            <w:r>
              <w:rPr>
                <w:rStyle w:val="HTMLCode"/>
                <w:rFonts w:ascii="Times New Roman" w:hAnsi="Times New Roman"/>
                <w:color w:val="000000"/>
                <w:sz w:val="19"/>
              </w:rPr>
              <w:t>monthly_summary</w:t>
            </w:r>
            <w:r>
              <w:rPr>
                <w:color w:val="000000"/>
                <w:sz w:val="19"/>
              </w:rPr>
              <w:t xml:space="preserve">, </w:t>
            </w:r>
            <w:r>
              <w:rPr>
                <w:rStyle w:val="HTMLCode"/>
                <w:rFonts w:ascii="Times New Roman" w:hAnsi="Times New Roman"/>
                <w:color w:val="000000"/>
                <w:sz w:val="19"/>
              </w:rPr>
              <w:t>monthly_by_holding</w:t>
            </w:r>
            <w:r>
              <w:rPr>
                <w:color w:val="000000"/>
                <w:sz w:val="19"/>
              </w:rPr>
              <w:t xml:space="preserve">, </w:t>
            </w:r>
            <w:r>
              <w:rPr>
                <w:rStyle w:val="HTMLCode"/>
                <w:rFonts w:ascii="Times New Roman" w:hAnsi="Times New Roman"/>
                <w:color w:val="000000"/>
                <w:sz w:val="19"/>
              </w:rPr>
              <w:t>public_prices</w:t>
            </w:r>
            <w:r>
              <w:rPr>
                <w:color w:val="000000"/>
                <w:sz w:val="19"/>
              </w:rPr>
              <w:t xml:space="preserve">, </w:t>
            </w:r>
            <w:r>
              <w:rPr>
                <w:rStyle w:val="HTMLCode"/>
                <w:rFonts w:ascii="Times New Roman" w:hAnsi="Times New Roman"/>
                <w:color w:val="000000"/>
                <w:sz w:val="19"/>
              </w:rPr>
              <w:t>private_monthly</w:t>
            </w:r>
            <w:r>
              <w:rPr>
                <w:color w:val="000000"/>
                <w:sz w:val="19"/>
              </w:rPr>
              <w:t xml:space="preserve">, </w:t>
            </w:r>
            <w:r>
              <w:rPr>
                <w:rStyle w:val="HTMLCode"/>
                <w:rFonts w:ascii="Times New Roman" w:hAnsi="Times New Roman"/>
                <w:color w:val="000000"/>
                <w:sz w:val="19"/>
              </w:rPr>
              <w:t>fx_rates</w:t>
            </w:r>
          </w:p>
        </w:tc>
        <w:tc>
          <w:tcPr>
            <w:tcW w:w="0" w:type="auto"/>
            <w:shd w:val="clear" w:color="auto" w:fill="FFFFFF"/>
            <w:tcMar>
              <w:top w:w="100" w:type="dxa"/>
              <w:left w:w="105" w:type="dxa"/>
              <w:bottom w:w="100" w:type="dxa"/>
              <w:right w:w="105" w:type="dxa"/>
            </w:tcMar>
            <w:vAlign w:val="center"/>
            <w:hideMark/>
          </w:tcPr>
          <w:p w14:paraId="451BD3CA" w14:textId="77777777" w:rsidR="002F2433" w:rsidRDefault="002F2433">
            <w:r>
              <w:rPr>
                <w:color w:val="000000"/>
                <w:sz w:val="19"/>
              </w:rPr>
              <w:t>Supports historical trends, monthly dashboard charts, and risk analysis</w:t>
            </w:r>
          </w:p>
        </w:tc>
      </w:tr>
      <w:tr w:rsidR="002F2433" w14:paraId="547D77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9E276ED" w14:textId="77777777" w:rsidR="002F2433" w:rsidRDefault="002F2433">
            <w:r>
              <w:rPr>
                <w:color w:val="000000"/>
                <w:sz w:val="19"/>
              </w:rPr>
              <w:t>Historical Event Data</w:t>
            </w:r>
          </w:p>
        </w:tc>
        <w:tc>
          <w:tcPr>
            <w:tcW w:w="0" w:type="auto"/>
            <w:shd w:val="clear" w:color="auto" w:fill="FFFFFF"/>
            <w:tcMar>
              <w:top w:w="100" w:type="dxa"/>
              <w:left w:w="105" w:type="dxa"/>
              <w:bottom w:w="100" w:type="dxa"/>
              <w:right w:w="105" w:type="dxa"/>
            </w:tcMar>
            <w:vAlign w:val="center"/>
            <w:hideMark/>
          </w:tcPr>
          <w:p w14:paraId="1FF9253C" w14:textId="77777777" w:rsidR="002F2433" w:rsidRDefault="002F2433">
            <w:r>
              <w:rPr>
                <w:rStyle w:val="HTMLCode"/>
                <w:rFonts w:ascii="Times New Roman" w:hAnsi="Times New Roman"/>
                <w:color w:val="000000"/>
                <w:sz w:val="19"/>
              </w:rPr>
              <w:t>capital_calls_pre_ingestion</w:t>
            </w:r>
            <w:r>
              <w:rPr>
                <w:color w:val="000000"/>
                <w:sz w:val="19"/>
              </w:rPr>
              <w:t xml:space="preserve">, </w:t>
            </w:r>
            <w:r>
              <w:rPr>
                <w:rStyle w:val="HTMLCode"/>
                <w:rFonts w:ascii="Times New Roman" w:hAnsi="Times New Roman"/>
                <w:color w:val="000000"/>
                <w:sz w:val="19"/>
              </w:rPr>
              <w:t>distributions_pre_ingestion</w:t>
            </w:r>
            <w:r>
              <w:rPr>
                <w:color w:val="000000"/>
                <w:sz w:val="19"/>
              </w:rPr>
              <w:t xml:space="preserve">, </w:t>
            </w:r>
            <w:r>
              <w:rPr>
                <w:rStyle w:val="HTMLCode"/>
                <w:rFonts w:ascii="Times New Roman" w:hAnsi="Times New Roman"/>
                <w:color w:val="000000"/>
                <w:sz w:val="19"/>
              </w:rPr>
              <w:t>capital_statements_pre_ingestion</w:t>
            </w:r>
            <w:r>
              <w:rPr>
                <w:color w:val="000000"/>
                <w:sz w:val="19"/>
              </w:rPr>
              <w:t xml:space="preserve">, </w:t>
            </w:r>
            <w:r>
              <w:rPr>
                <w:rStyle w:val="HTMLCode"/>
                <w:rFonts w:ascii="Times New Roman" w:hAnsi="Times New Roman"/>
                <w:color w:val="000000"/>
                <w:sz w:val="19"/>
              </w:rPr>
              <w:t>newsletter_updates_pre_ingestion</w:t>
            </w:r>
          </w:p>
        </w:tc>
        <w:tc>
          <w:tcPr>
            <w:tcW w:w="0" w:type="auto"/>
            <w:shd w:val="clear" w:color="auto" w:fill="FFFFFF"/>
            <w:tcMar>
              <w:top w:w="100" w:type="dxa"/>
              <w:left w:w="105" w:type="dxa"/>
              <w:bottom w:w="100" w:type="dxa"/>
              <w:right w:w="105" w:type="dxa"/>
            </w:tcMar>
            <w:vAlign w:val="center"/>
            <w:hideMark/>
          </w:tcPr>
          <w:p w14:paraId="34163F0C" w14:textId="77777777" w:rsidR="002F2433" w:rsidRDefault="002F2433">
            <w:r>
              <w:rPr>
                <w:color w:val="000000"/>
                <w:sz w:val="19"/>
              </w:rPr>
              <w:t>Provides historical private market activity before the May document batch</w:t>
            </w:r>
          </w:p>
        </w:tc>
      </w:tr>
      <w:tr w:rsidR="002F2433" w14:paraId="01FD73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5BF9D9" w14:textId="77777777" w:rsidR="002F2433" w:rsidRDefault="002F2433">
            <w:r>
              <w:rPr>
                <w:color w:val="000000"/>
                <w:sz w:val="19"/>
              </w:rPr>
              <w:t>May Document Update Tables</w:t>
            </w:r>
          </w:p>
        </w:tc>
        <w:tc>
          <w:tcPr>
            <w:tcW w:w="0" w:type="auto"/>
            <w:shd w:val="clear" w:color="auto" w:fill="FFFFFF"/>
            <w:tcMar>
              <w:top w:w="100" w:type="dxa"/>
              <w:left w:w="105" w:type="dxa"/>
              <w:bottom w:w="100" w:type="dxa"/>
              <w:right w:w="105" w:type="dxa"/>
            </w:tcMar>
            <w:vAlign w:val="center"/>
            <w:hideMark/>
          </w:tcPr>
          <w:p w14:paraId="1F8CE4D5"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distributions_from_may_documents</w:t>
            </w:r>
            <w:r>
              <w:rPr>
                <w:color w:val="000000"/>
                <w:sz w:val="19"/>
              </w:rPr>
              <w:t xml:space="preserve">, </w:t>
            </w:r>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newsletter_updates_from_may_documents</w:t>
            </w:r>
          </w:p>
        </w:tc>
        <w:tc>
          <w:tcPr>
            <w:tcW w:w="0" w:type="auto"/>
            <w:shd w:val="clear" w:color="auto" w:fill="FFFFFF"/>
            <w:tcMar>
              <w:top w:w="100" w:type="dxa"/>
              <w:left w:w="105" w:type="dxa"/>
              <w:bottom w:w="100" w:type="dxa"/>
              <w:right w:w="105" w:type="dxa"/>
            </w:tcMar>
            <w:vAlign w:val="center"/>
            <w:hideMark/>
          </w:tcPr>
          <w:p w14:paraId="7B33818A" w14:textId="77777777" w:rsidR="002F2433" w:rsidRDefault="002F2433">
            <w:r>
              <w:rPr>
                <w:color w:val="000000"/>
                <w:sz w:val="19"/>
              </w:rPr>
              <w:t>Stores expected extracted records from May 2026 PDFs</w:t>
            </w:r>
          </w:p>
        </w:tc>
      </w:tr>
      <w:tr w:rsidR="002F2433" w14:paraId="51EAEFD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3537C64" w14:textId="77777777" w:rsidR="002F2433" w:rsidRDefault="002F2433">
            <w:r>
              <w:rPr>
                <w:color w:val="000000"/>
                <w:sz w:val="19"/>
              </w:rPr>
              <w:t>Expected Output Tables</w:t>
            </w:r>
          </w:p>
        </w:tc>
        <w:tc>
          <w:tcPr>
            <w:tcW w:w="0" w:type="auto"/>
            <w:shd w:val="clear" w:color="auto" w:fill="FFFFFF"/>
            <w:tcMar>
              <w:top w:w="100" w:type="dxa"/>
              <w:left w:w="105" w:type="dxa"/>
              <w:bottom w:w="100" w:type="dxa"/>
              <w:right w:w="105" w:type="dxa"/>
            </w:tcMar>
            <w:vAlign w:val="center"/>
            <w:hideMark/>
          </w:tcPr>
          <w:p w14:paraId="64D7F99F" w14:textId="77777777" w:rsidR="002F2433" w:rsidRDefault="002F2433">
            <w:r>
              <w:rPr>
                <w:rStyle w:val="HTMLCode"/>
                <w:rFonts w:ascii="Times New Roman" w:hAnsi="Times New Roman"/>
                <w:color w:val="000000"/>
                <w:sz w:val="19"/>
              </w:rPr>
              <w:t>expected_position_updates_after_may_documents</w:t>
            </w:r>
            <w:r>
              <w:rPr>
                <w:color w:val="000000"/>
                <w:sz w:val="19"/>
              </w:rPr>
              <w:t xml:space="preserve">, </w:t>
            </w:r>
            <w:r>
              <w:rPr>
                <w:rStyle w:val="HTMLCode"/>
                <w:rFonts w:ascii="Times New Roman" w:hAnsi="Times New Roman"/>
                <w:color w:val="000000"/>
                <w:sz w:val="19"/>
              </w:rPr>
              <w:t>cash_accounts_post_approved_may_documents</w:t>
            </w:r>
          </w:p>
        </w:tc>
        <w:tc>
          <w:tcPr>
            <w:tcW w:w="0" w:type="auto"/>
            <w:shd w:val="clear" w:color="auto" w:fill="FFFFFF"/>
            <w:tcMar>
              <w:top w:w="100" w:type="dxa"/>
              <w:left w:w="105" w:type="dxa"/>
              <w:bottom w:w="100" w:type="dxa"/>
              <w:right w:w="105" w:type="dxa"/>
            </w:tcMar>
            <w:vAlign w:val="center"/>
            <w:hideMark/>
          </w:tcPr>
          <w:p w14:paraId="4C902BBE" w14:textId="77777777" w:rsidR="002F2433" w:rsidRDefault="002F2433">
            <w:r>
              <w:rPr>
                <w:color w:val="000000"/>
                <w:sz w:val="19"/>
              </w:rPr>
              <w:t>Shows how approved May documents should change private fund positions and cash balances</w:t>
            </w:r>
          </w:p>
        </w:tc>
      </w:tr>
      <w:tr w:rsidR="002F2433" w14:paraId="379CF82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FFE073" w14:textId="77777777" w:rsidR="002F2433" w:rsidRDefault="002F2433">
            <w:r>
              <w:rPr>
                <w:color w:val="000000"/>
                <w:sz w:val="19"/>
              </w:rPr>
              <w:t>Validation Data</w:t>
            </w:r>
          </w:p>
        </w:tc>
        <w:tc>
          <w:tcPr>
            <w:tcW w:w="0" w:type="auto"/>
            <w:shd w:val="clear" w:color="auto" w:fill="FFFFFF"/>
            <w:tcMar>
              <w:top w:w="100" w:type="dxa"/>
              <w:left w:w="105" w:type="dxa"/>
              <w:bottom w:w="100" w:type="dxa"/>
              <w:right w:w="105" w:type="dxa"/>
            </w:tcMar>
            <w:vAlign w:val="center"/>
            <w:hideMark/>
          </w:tcPr>
          <w:p w14:paraId="3F527159" w14:textId="77777777" w:rsidR="002F2433" w:rsidRDefault="002F2433">
            <w:r>
              <w:rPr>
                <w:rStyle w:val="HTMLCode"/>
                <w:rFonts w:ascii="Times New Roman" w:hAnsi="Times New Roman"/>
                <w:color w:val="000000"/>
                <w:sz w:val="19"/>
              </w:rPr>
              <w:t>ground_truth_extractions</w:t>
            </w:r>
            <w:r>
              <w:rPr>
                <w:color w:val="000000"/>
                <w:sz w:val="19"/>
              </w:rPr>
              <w:t xml:space="preserve">, </w:t>
            </w:r>
            <w:r>
              <w:rPr>
                <w:rStyle w:val="HTMLCode"/>
                <w:rFonts w:ascii="Times New Roman" w:hAnsi="Times New Roman"/>
                <w:color w:val="000000"/>
                <w:sz w:val="19"/>
              </w:rPr>
              <w:t>validation_rules</w:t>
            </w:r>
            <w:r>
              <w:rPr>
                <w:color w:val="000000"/>
                <w:sz w:val="19"/>
              </w:rPr>
              <w:t xml:space="preserve">, </w:t>
            </w:r>
            <w:r>
              <w:rPr>
                <w:rStyle w:val="HTMLCode"/>
                <w:rFonts w:ascii="Times New Roman" w:hAnsi="Times New Roman"/>
                <w:color w:val="000000"/>
                <w:sz w:val="19"/>
              </w:rPr>
              <w:t>validation_results_expected</w:t>
            </w:r>
          </w:p>
        </w:tc>
        <w:tc>
          <w:tcPr>
            <w:tcW w:w="0" w:type="auto"/>
            <w:shd w:val="clear" w:color="auto" w:fill="FFFFFF"/>
            <w:tcMar>
              <w:top w:w="100" w:type="dxa"/>
              <w:left w:w="105" w:type="dxa"/>
              <w:bottom w:w="100" w:type="dxa"/>
              <w:right w:w="105" w:type="dxa"/>
            </w:tcMar>
            <w:vAlign w:val="center"/>
            <w:hideMark/>
          </w:tcPr>
          <w:p w14:paraId="58D32771" w14:textId="77777777" w:rsidR="002F2433" w:rsidRDefault="002F2433">
            <w:r>
              <w:rPr>
                <w:color w:val="000000"/>
                <w:sz w:val="19"/>
              </w:rPr>
              <w:t>Supports extraction accuracy testing and business rule validation</w:t>
            </w:r>
          </w:p>
        </w:tc>
      </w:tr>
      <w:tr w:rsidR="002F2433" w14:paraId="75E81BD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BE91C22" w14:textId="77777777" w:rsidR="002F2433" w:rsidRDefault="002F2433">
            <w:r>
              <w:rPr>
                <w:color w:val="000000"/>
                <w:sz w:val="19"/>
              </w:rPr>
              <w:t>Workflow Data</w:t>
            </w:r>
          </w:p>
        </w:tc>
        <w:tc>
          <w:tcPr>
            <w:tcW w:w="0" w:type="auto"/>
            <w:shd w:val="clear" w:color="auto" w:fill="FFFFFF"/>
            <w:tcMar>
              <w:top w:w="100" w:type="dxa"/>
              <w:left w:w="105" w:type="dxa"/>
              <w:bottom w:w="100" w:type="dxa"/>
              <w:right w:w="105" w:type="dxa"/>
            </w:tcMar>
            <w:vAlign w:val="center"/>
            <w:hideMark/>
          </w:tcPr>
          <w:p w14:paraId="58E8F2A8" w14:textId="77777777" w:rsidR="002F2433" w:rsidRDefault="002F2433">
            <w:r>
              <w:rPr>
                <w:rStyle w:val="HTMLCode"/>
                <w:rFonts w:ascii="Times New Roman" w:hAnsi="Times New Roman"/>
                <w:color w:val="000000"/>
                <w:sz w:val="19"/>
              </w:rPr>
              <w:t>document_metadata</w:t>
            </w:r>
            <w:r>
              <w:rPr>
                <w:color w:val="000000"/>
                <w:sz w:val="19"/>
              </w:rPr>
              <w:t xml:space="preserve">, </w:t>
            </w:r>
            <w:r>
              <w:rPr>
                <w:rStyle w:val="HTMLCode"/>
                <w:rFonts w:ascii="Times New Roman" w:hAnsi="Times New Roman"/>
                <w:color w:val="000000"/>
                <w:sz w:val="19"/>
              </w:rPr>
              <w:t>document_update_map</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7BB1FA9C" w14:textId="77777777" w:rsidR="002F2433" w:rsidRDefault="002F2433">
            <w:r>
              <w:rPr>
                <w:color w:val="000000"/>
                <w:sz w:val="19"/>
              </w:rPr>
              <w:t>Supports document tracking, exception management, and human review</w:t>
            </w:r>
          </w:p>
        </w:tc>
      </w:tr>
    </w:tbl>
    <w:p w14:paraId="648214BF" w14:textId="77777777" w:rsidR="002F2433" w:rsidRDefault="00BB19E9" w:rsidP="002F2433">
      <w:pPr>
        <w:spacing w:before="120" w:after="120"/>
        <w:jc w:val="center"/>
      </w:pPr>
      <w:r>
        <w:rPr>
          <w:noProof/>
        </w:rPr>
        <w:pict w14:anchorId="3F720BE9">
          <v:rect id="_x0000_i1025" alt="" style="width:451.3pt;height:.05pt;mso-width-percent:0;mso-height-percent:0;mso-width-percent:0;mso-height-percent:0" o:hralign="center" o:hrstd="t" o:hr="t" fillcolor="#a0a0a0" stroked="f"/>
        </w:pict>
      </w:r>
    </w:p>
    <w:p w14:paraId="6D62E263" w14:textId="77777777" w:rsidR="002F2433" w:rsidRDefault="002F2433" w:rsidP="002F2433">
      <w:pPr>
        <w:pStyle w:val="Heading3"/>
      </w:pPr>
      <w:r>
        <w:rPr>
          <w:rFonts w:ascii="Arial" w:hAnsi="Arial"/>
        </w:rPr>
        <w:t>3.10.4 Portfolio State vs. Document Events</w:t>
      </w:r>
    </w:p>
    <w:p w14:paraId="0593EB9A" w14:textId="77777777" w:rsidR="002F2433" w:rsidRDefault="002F2433" w:rsidP="002F2433">
      <w:pPr>
        <w:pStyle w:val="NormalWeb"/>
      </w:pPr>
      <w:r>
        <w:rPr>
          <w:sz w:val="24"/>
        </w:rPr>
        <w:t>The data model separates portfolio state from document events. This distinction is important because a document should not directly overwrite the dashboard. Instead, a document creates an event record, which is then validated before it updates the portfolio state.</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1562"/>
        <w:gridCol w:w="2390"/>
        <w:gridCol w:w="6910"/>
      </w:tblGrid>
      <w:tr w:rsidR="002F2433" w14:paraId="42495D4B"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6C21B2F" w14:textId="77777777" w:rsidR="002F2433" w:rsidRDefault="002F2433">
            <w:pPr>
              <w:jc w:val="center"/>
              <w:rPr>
                <w:b/>
                <w:bCs/>
              </w:rPr>
            </w:pPr>
            <w:r>
              <w:rPr>
                <w:b/>
                <w:bCs/>
                <w:color w:val="000000"/>
                <w:sz w:val="19"/>
              </w:rPr>
              <w:t>Data Layer</w:t>
            </w:r>
          </w:p>
        </w:tc>
        <w:tc>
          <w:tcPr>
            <w:tcW w:w="0" w:type="auto"/>
            <w:shd w:val="clear" w:color="auto" w:fill="D9EAF7"/>
            <w:tcMar>
              <w:top w:w="100" w:type="dxa"/>
              <w:left w:w="105" w:type="dxa"/>
              <w:bottom w:w="100" w:type="dxa"/>
              <w:right w:w="105" w:type="dxa"/>
            </w:tcMar>
            <w:vAlign w:val="center"/>
            <w:hideMark/>
          </w:tcPr>
          <w:p w14:paraId="2F99A24E" w14:textId="77777777" w:rsidR="002F2433" w:rsidRDefault="002F2433">
            <w:pPr>
              <w:jc w:val="center"/>
              <w:rPr>
                <w:b/>
                <w:bCs/>
              </w:rPr>
            </w:pPr>
            <w:r>
              <w:rPr>
                <w:b/>
                <w:bCs/>
                <w:color w:val="000000"/>
                <w:sz w:val="19"/>
              </w:rPr>
              <w:t>Description</w:t>
            </w:r>
          </w:p>
        </w:tc>
        <w:tc>
          <w:tcPr>
            <w:tcW w:w="0" w:type="auto"/>
            <w:shd w:val="clear" w:color="auto" w:fill="D9EAF7"/>
            <w:tcMar>
              <w:top w:w="100" w:type="dxa"/>
              <w:left w:w="105" w:type="dxa"/>
              <w:bottom w:w="100" w:type="dxa"/>
              <w:right w:w="105" w:type="dxa"/>
            </w:tcMar>
            <w:vAlign w:val="center"/>
            <w:hideMark/>
          </w:tcPr>
          <w:p w14:paraId="33F46813" w14:textId="77777777" w:rsidR="002F2433" w:rsidRDefault="002F2433">
            <w:pPr>
              <w:jc w:val="center"/>
              <w:rPr>
                <w:b/>
                <w:bCs/>
              </w:rPr>
            </w:pPr>
            <w:r>
              <w:rPr>
                <w:b/>
                <w:bCs/>
                <w:color w:val="000000"/>
                <w:sz w:val="19"/>
              </w:rPr>
              <w:t>Example Tables</w:t>
            </w:r>
          </w:p>
        </w:tc>
      </w:tr>
      <w:tr w:rsidR="002F2433" w14:paraId="288955C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38CEF86" w14:textId="77777777" w:rsidR="002F2433" w:rsidRDefault="002F2433">
            <w:r>
              <w:rPr>
                <w:color w:val="000000"/>
                <w:sz w:val="19"/>
              </w:rPr>
              <w:t>Portfolio State</w:t>
            </w:r>
          </w:p>
        </w:tc>
        <w:tc>
          <w:tcPr>
            <w:tcW w:w="0" w:type="auto"/>
            <w:shd w:val="clear" w:color="auto" w:fill="FFFFFF"/>
            <w:tcMar>
              <w:top w:w="100" w:type="dxa"/>
              <w:left w:w="105" w:type="dxa"/>
              <w:bottom w:w="100" w:type="dxa"/>
              <w:right w:w="105" w:type="dxa"/>
            </w:tcMar>
            <w:vAlign w:val="center"/>
            <w:hideMark/>
          </w:tcPr>
          <w:p w14:paraId="20CDA306" w14:textId="77777777" w:rsidR="002F2433" w:rsidRDefault="002F2433">
            <w:r>
              <w:rPr>
                <w:color w:val="000000"/>
                <w:sz w:val="19"/>
              </w:rPr>
              <w:t>Stores the current and historical state of the portfolio</w:t>
            </w:r>
          </w:p>
        </w:tc>
        <w:tc>
          <w:tcPr>
            <w:tcW w:w="0" w:type="auto"/>
            <w:shd w:val="clear" w:color="auto" w:fill="FFFFFF"/>
            <w:tcMar>
              <w:top w:w="100" w:type="dxa"/>
              <w:left w:w="105" w:type="dxa"/>
              <w:bottom w:w="100" w:type="dxa"/>
              <w:right w:w="105" w:type="dxa"/>
            </w:tcMar>
            <w:vAlign w:val="center"/>
            <w:hideMark/>
          </w:tcPr>
          <w:p w14:paraId="0BF3F1A1" w14:textId="77777777" w:rsidR="002F2433" w:rsidRDefault="002F2433">
            <w:r>
              <w:rPr>
                <w:rStyle w:val="HTMLCode"/>
                <w:rFonts w:ascii="Times New Roman" w:hAnsi="Times New Roman"/>
                <w:color w:val="000000"/>
                <w:sz w:val="19"/>
              </w:rPr>
              <w:t>portfolio_holdings</w:t>
            </w:r>
            <w:r>
              <w:rPr>
                <w:color w:val="000000"/>
                <w:sz w:val="19"/>
              </w:rPr>
              <w:t xml:space="preserve">, </w:t>
            </w:r>
            <w:r>
              <w:rPr>
                <w:rStyle w:val="HTMLCode"/>
                <w:rFonts w:ascii="Times New Roman" w:hAnsi="Times New Roman"/>
                <w:color w:val="000000"/>
                <w:sz w:val="19"/>
              </w:rPr>
              <w:t>private_positions_pre_ingestion</w:t>
            </w:r>
            <w:r>
              <w:rPr>
                <w:color w:val="000000"/>
                <w:sz w:val="19"/>
              </w:rPr>
              <w:t xml:space="preserve">, </w:t>
            </w:r>
            <w:r>
              <w:rPr>
                <w:rStyle w:val="HTMLCode"/>
                <w:rFonts w:ascii="Times New Roman" w:hAnsi="Times New Roman"/>
                <w:color w:val="000000"/>
                <w:sz w:val="19"/>
              </w:rPr>
              <w:t>cash_accounts_pre_ingestion</w:t>
            </w:r>
            <w:r>
              <w:rPr>
                <w:color w:val="000000"/>
                <w:sz w:val="19"/>
              </w:rPr>
              <w:t xml:space="preserve">, </w:t>
            </w:r>
            <w:r>
              <w:rPr>
                <w:rStyle w:val="HTMLCode"/>
                <w:rFonts w:ascii="Times New Roman" w:hAnsi="Times New Roman"/>
                <w:color w:val="000000"/>
                <w:sz w:val="19"/>
              </w:rPr>
              <w:t>monthly_summary</w:t>
            </w:r>
          </w:p>
        </w:tc>
      </w:tr>
      <w:tr w:rsidR="002F2433" w14:paraId="65427F5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AD68AC" w14:textId="77777777" w:rsidR="002F2433" w:rsidRDefault="002F2433">
            <w:r>
              <w:rPr>
                <w:color w:val="000000"/>
                <w:sz w:val="19"/>
              </w:rPr>
              <w:t>Document Events</w:t>
            </w:r>
          </w:p>
        </w:tc>
        <w:tc>
          <w:tcPr>
            <w:tcW w:w="0" w:type="auto"/>
            <w:shd w:val="clear" w:color="auto" w:fill="FFFFFF"/>
            <w:tcMar>
              <w:top w:w="100" w:type="dxa"/>
              <w:left w:w="105" w:type="dxa"/>
              <w:bottom w:w="100" w:type="dxa"/>
              <w:right w:w="105" w:type="dxa"/>
            </w:tcMar>
            <w:vAlign w:val="center"/>
            <w:hideMark/>
          </w:tcPr>
          <w:p w14:paraId="1295681A" w14:textId="77777777" w:rsidR="002F2433" w:rsidRDefault="002F2433">
            <w:r>
              <w:rPr>
                <w:color w:val="000000"/>
                <w:sz w:val="19"/>
              </w:rPr>
              <w:t>Stores information extracted from PDF documents</w:t>
            </w:r>
          </w:p>
        </w:tc>
        <w:tc>
          <w:tcPr>
            <w:tcW w:w="0" w:type="auto"/>
            <w:shd w:val="clear" w:color="auto" w:fill="FFFFFF"/>
            <w:tcMar>
              <w:top w:w="100" w:type="dxa"/>
              <w:left w:w="105" w:type="dxa"/>
              <w:bottom w:w="100" w:type="dxa"/>
              <w:right w:w="105" w:type="dxa"/>
            </w:tcMar>
            <w:vAlign w:val="center"/>
            <w:hideMark/>
          </w:tcPr>
          <w:p w14:paraId="08C76A37"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distributions_from_may_documents</w:t>
            </w:r>
            <w:r>
              <w:rPr>
                <w:color w:val="000000"/>
                <w:sz w:val="19"/>
              </w:rPr>
              <w:t xml:space="preserve">, </w:t>
            </w:r>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newsletter_updates_from_may_documents</w:t>
            </w:r>
          </w:p>
        </w:tc>
      </w:tr>
      <w:tr w:rsidR="002F2433" w14:paraId="470E67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31D2C9D" w14:textId="77777777" w:rsidR="002F2433" w:rsidRDefault="002F2433">
            <w:r>
              <w:rPr>
                <w:color w:val="000000"/>
                <w:sz w:val="19"/>
              </w:rPr>
              <w:t>Validation and Workflow</w:t>
            </w:r>
          </w:p>
        </w:tc>
        <w:tc>
          <w:tcPr>
            <w:tcW w:w="0" w:type="auto"/>
            <w:shd w:val="clear" w:color="auto" w:fill="FFFFFF"/>
            <w:tcMar>
              <w:top w:w="100" w:type="dxa"/>
              <w:left w:w="105" w:type="dxa"/>
              <w:bottom w:w="100" w:type="dxa"/>
              <w:right w:w="105" w:type="dxa"/>
            </w:tcMar>
            <w:vAlign w:val="center"/>
            <w:hideMark/>
          </w:tcPr>
          <w:p w14:paraId="5145595A" w14:textId="77777777" w:rsidR="002F2433" w:rsidRDefault="002F2433">
            <w:r>
              <w:rPr>
                <w:color w:val="000000"/>
                <w:sz w:val="19"/>
              </w:rPr>
              <w:t>Stores validation outcomes and review status</w:t>
            </w:r>
          </w:p>
        </w:tc>
        <w:tc>
          <w:tcPr>
            <w:tcW w:w="0" w:type="auto"/>
            <w:shd w:val="clear" w:color="auto" w:fill="FFFFFF"/>
            <w:tcMar>
              <w:top w:w="100" w:type="dxa"/>
              <w:left w:w="105" w:type="dxa"/>
              <w:bottom w:w="100" w:type="dxa"/>
              <w:right w:w="105" w:type="dxa"/>
            </w:tcMar>
            <w:vAlign w:val="center"/>
            <w:hideMark/>
          </w:tcPr>
          <w:p w14:paraId="6C81B51F" w14:textId="77777777" w:rsidR="002F2433" w:rsidRDefault="002F2433">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r>
              <w:rPr>
                <w:color w:val="000000"/>
                <w:sz w:val="19"/>
              </w:rPr>
              <w:t xml:space="preserve">, </w:t>
            </w:r>
            <w:r>
              <w:rPr>
                <w:rStyle w:val="HTMLCode"/>
                <w:rFonts w:ascii="Times New Roman" w:hAnsi="Times New Roman"/>
                <w:color w:val="000000"/>
                <w:sz w:val="19"/>
              </w:rPr>
              <w:t>document_update_map</w:t>
            </w:r>
          </w:p>
        </w:tc>
      </w:tr>
    </w:tbl>
    <w:p w14:paraId="0EB45273" w14:textId="77777777" w:rsidR="002F2433" w:rsidRDefault="002F2433" w:rsidP="002F2433">
      <w:pPr>
        <w:pStyle w:val="NormalWeb"/>
      </w:pPr>
      <w:r>
        <w:rPr>
          <w:sz w:val="24"/>
        </w:rPr>
        <w:t>This separation allows the prototype to show a before-and-after workflow. The dashboard can display the April 2026 baseline, process May 2026 documents, and then show a pro-forma updated view after approved events are applied.</w:t>
      </w:r>
    </w:p>
    <w:p w14:paraId="36CBB73B" w14:textId="77777777" w:rsidR="002F2433" w:rsidRDefault="002F2433" w:rsidP="002A4A1E">
      <w:pPr>
        <w:spacing w:before="120" w:after="120"/>
      </w:pPr>
    </w:p>
    <w:p w14:paraId="404127C7" w14:textId="77777777" w:rsidR="002F2433" w:rsidRDefault="002F2433" w:rsidP="002F2433">
      <w:pPr>
        <w:pStyle w:val="Heading3"/>
      </w:pPr>
      <w:r>
        <w:rPr>
          <w:rFonts w:ascii="Arial" w:hAnsi="Arial"/>
        </w:rPr>
        <w:t>3.10.5 Document-to-Data Update Logic</w:t>
      </w:r>
    </w:p>
    <w:p w14:paraId="1E9FD2DD" w14:textId="77777777" w:rsidR="002F2433" w:rsidRDefault="002F2433" w:rsidP="002F2433">
      <w:pPr>
        <w:pStyle w:val="NormalWeb"/>
      </w:pPr>
      <w:r>
        <w:rPr>
          <w:sz w:val="24"/>
        </w:rPr>
        <w:t>Each mock PDF is mapped to a specific update path. This mapping defines which event table is updated, which master records are checked, and what dashboard output is affected.</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1550"/>
        <w:gridCol w:w="4069"/>
        <w:gridCol w:w="3297"/>
        <w:gridCol w:w="1946"/>
      </w:tblGrid>
      <w:tr w:rsidR="002F2433" w14:paraId="55AA48BE"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4692C64" w14:textId="77777777" w:rsidR="002F2433" w:rsidRDefault="002F2433">
            <w:pPr>
              <w:jc w:val="center"/>
              <w:rPr>
                <w:b/>
                <w:bCs/>
              </w:rPr>
            </w:pPr>
            <w:r>
              <w:rPr>
                <w:b/>
                <w:bCs/>
                <w:color w:val="000000"/>
                <w:sz w:val="19"/>
              </w:rPr>
              <w:t>Mock PDF</w:t>
            </w:r>
          </w:p>
        </w:tc>
        <w:tc>
          <w:tcPr>
            <w:tcW w:w="0" w:type="auto"/>
            <w:shd w:val="clear" w:color="auto" w:fill="D9EAF7"/>
            <w:tcMar>
              <w:top w:w="100" w:type="dxa"/>
              <w:left w:w="105" w:type="dxa"/>
              <w:bottom w:w="100" w:type="dxa"/>
              <w:right w:w="105" w:type="dxa"/>
            </w:tcMar>
            <w:vAlign w:val="center"/>
            <w:hideMark/>
          </w:tcPr>
          <w:p w14:paraId="01D8FCCE" w14:textId="77777777" w:rsidR="002F2433" w:rsidRDefault="002F2433">
            <w:pPr>
              <w:jc w:val="center"/>
              <w:rPr>
                <w:b/>
                <w:bCs/>
              </w:rPr>
            </w:pPr>
            <w:r>
              <w:rPr>
                <w:b/>
                <w:bCs/>
                <w:color w:val="000000"/>
                <w:sz w:val="19"/>
              </w:rPr>
              <w:t>Extracted Data Written To</w:t>
            </w:r>
          </w:p>
        </w:tc>
        <w:tc>
          <w:tcPr>
            <w:tcW w:w="0" w:type="auto"/>
            <w:shd w:val="clear" w:color="auto" w:fill="D9EAF7"/>
            <w:tcMar>
              <w:top w:w="100" w:type="dxa"/>
              <w:left w:w="105" w:type="dxa"/>
              <w:bottom w:w="100" w:type="dxa"/>
              <w:right w:w="105" w:type="dxa"/>
            </w:tcMar>
            <w:vAlign w:val="center"/>
            <w:hideMark/>
          </w:tcPr>
          <w:p w14:paraId="7C6723B4" w14:textId="77777777" w:rsidR="002F2433" w:rsidRDefault="002F2433">
            <w:pPr>
              <w:jc w:val="center"/>
              <w:rPr>
                <w:b/>
                <w:bCs/>
              </w:rPr>
            </w:pPr>
            <w:r>
              <w:rPr>
                <w:b/>
                <w:bCs/>
                <w:color w:val="000000"/>
                <w:sz w:val="19"/>
              </w:rPr>
              <w:t>Validated Against</w:t>
            </w:r>
          </w:p>
        </w:tc>
        <w:tc>
          <w:tcPr>
            <w:tcW w:w="0" w:type="auto"/>
            <w:shd w:val="clear" w:color="auto" w:fill="D9EAF7"/>
            <w:tcMar>
              <w:top w:w="100" w:type="dxa"/>
              <w:left w:w="105" w:type="dxa"/>
              <w:bottom w:w="100" w:type="dxa"/>
              <w:right w:w="105" w:type="dxa"/>
            </w:tcMar>
            <w:vAlign w:val="center"/>
            <w:hideMark/>
          </w:tcPr>
          <w:p w14:paraId="1BD1AB6E" w14:textId="77777777" w:rsidR="002F2433" w:rsidRDefault="002F2433">
            <w:pPr>
              <w:jc w:val="center"/>
              <w:rPr>
                <w:b/>
                <w:bCs/>
              </w:rPr>
            </w:pPr>
            <w:r>
              <w:rPr>
                <w:b/>
                <w:bCs/>
                <w:color w:val="000000"/>
                <w:sz w:val="19"/>
              </w:rPr>
              <w:t>Dashboard Impact</w:t>
            </w:r>
          </w:p>
        </w:tc>
      </w:tr>
      <w:tr w:rsidR="002F2433" w14:paraId="011CC20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0B57A31" w14:textId="77777777" w:rsidR="002F2433" w:rsidRDefault="002F2433">
            <w:r>
              <w:rPr>
                <w:color w:val="000000"/>
                <w:sz w:val="19"/>
              </w:rPr>
              <w:t>PDF_001 Capital Call Letter</w:t>
            </w:r>
          </w:p>
        </w:tc>
        <w:tc>
          <w:tcPr>
            <w:tcW w:w="0" w:type="auto"/>
            <w:shd w:val="clear" w:color="auto" w:fill="FFFFFF"/>
            <w:tcMar>
              <w:top w:w="100" w:type="dxa"/>
              <w:left w:w="105" w:type="dxa"/>
              <w:bottom w:w="100" w:type="dxa"/>
              <w:right w:w="105" w:type="dxa"/>
            </w:tcMar>
            <w:vAlign w:val="center"/>
            <w:hideMark/>
          </w:tcPr>
          <w:p w14:paraId="4D1D631F" w14:textId="77777777" w:rsidR="002F2433" w:rsidRDefault="002F2433">
            <w:r>
              <w:rPr>
                <w:rStyle w:val="HTMLCode"/>
                <w:rFonts w:ascii="Times New Roman" w:hAnsi="Times New Roman"/>
                <w:color w:val="000000"/>
                <w:sz w:val="19"/>
              </w:rPr>
              <w:t>capital_calls_from_may_documents</w:t>
            </w:r>
          </w:p>
        </w:tc>
        <w:tc>
          <w:tcPr>
            <w:tcW w:w="0" w:type="auto"/>
            <w:shd w:val="clear" w:color="auto" w:fill="FFFFFF"/>
            <w:tcMar>
              <w:top w:w="100" w:type="dxa"/>
              <w:left w:w="105" w:type="dxa"/>
              <w:bottom w:w="100" w:type="dxa"/>
              <w:right w:w="105" w:type="dxa"/>
            </w:tcMar>
            <w:vAlign w:val="center"/>
            <w:hideMark/>
          </w:tcPr>
          <w:p w14:paraId="7B707460" w14:textId="77777777" w:rsidR="002F2433" w:rsidRDefault="002F2433">
            <w:r>
              <w:rPr>
                <w:rStyle w:val="HTMLCode"/>
                <w:rFonts w:ascii="Times New Roman" w:hAnsi="Times New Roman"/>
                <w:color w:val="000000"/>
                <w:sz w:val="19"/>
              </w:rPr>
              <w:t>private_fund_master</w:t>
            </w:r>
            <w:r>
              <w:rPr>
                <w:color w:val="000000"/>
                <w:sz w:val="19"/>
              </w:rPr>
              <w:t xml:space="preserve">, </w:t>
            </w:r>
            <w:r>
              <w:rPr>
                <w:rStyle w:val="HTMLCode"/>
                <w:rFonts w:ascii="Times New Roman" w:hAnsi="Times New Roman"/>
                <w:color w:val="000000"/>
                <w:sz w:val="19"/>
              </w:rPr>
              <w:t>private_positions_pre_ingestion</w:t>
            </w:r>
            <w:r>
              <w:rPr>
                <w:color w:val="000000"/>
                <w:sz w:val="19"/>
              </w:rPr>
              <w:t xml:space="preserve">, </w:t>
            </w:r>
            <w:r>
              <w:rPr>
                <w:rStyle w:val="HTMLCode"/>
                <w:rFonts w:ascii="Times New Roman" w:hAnsi="Times New Roman"/>
                <w:color w:val="000000"/>
                <w:sz w:val="19"/>
              </w:rPr>
              <w:t>cash_accounts_pre_ingestion</w:t>
            </w:r>
          </w:p>
        </w:tc>
        <w:tc>
          <w:tcPr>
            <w:tcW w:w="0" w:type="auto"/>
            <w:shd w:val="clear" w:color="auto" w:fill="FFFFFF"/>
            <w:tcMar>
              <w:top w:w="100" w:type="dxa"/>
              <w:left w:w="105" w:type="dxa"/>
              <w:bottom w:w="100" w:type="dxa"/>
              <w:right w:w="105" w:type="dxa"/>
            </w:tcMar>
            <w:vAlign w:val="center"/>
            <w:hideMark/>
          </w:tcPr>
          <w:p w14:paraId="242D838F" w14:textId="77777777" w:rsidR="002F2433" w:rsidRDefault="002F2433">
            <w:r>
              <w:rPr>
                <w:color w:val="000000"/>
                <w:sz w:val="19"/>
              </w:rPr>
              <w:t>Updates capital call calendar, liquidity forecast, and unfunded commitment view</w:t>
            </w:r>
          </w:p>
        </w:tc>
      </w:tr>
      <w:tr w:rsidR="002F2433" w14:paraId="1EAF7B3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74BEEB7" w14:textId="77777777" w:rsidR="002F2433" w:rsidRDefault="002F2433">
            <w:r>
              <w:rPr>
                <w:color w:val="000000"/>
                <w:sz w:val="19"/>
              </w:rPr>
              <w:t>PDF_002 Capital Call Letter with Exception</w:t>
            </w:r>
          </w:p>
        </w:tc>
        <w:tc>
          <w:tcPr>
            <w:tcW w:w="0" w:type="auto"/>
            <w:shd w:val="clear" w:color="auto" w:fill="FFFFFF"/>
            <w:tcMar>
              <w:top w:w="100" w:type="dxa"/>
              <w:left w:w="105" w:type="dxa"/>
              <w:bottom w:w="100" w:type="dxa"/>
              <w:right w:w="105" w:type="dxa"/>
            </w:tcMar>
            <w:vAlign w:val="center"/>
            <w:hideMark/>
          </w:tcPr>
          <w:p w14:paraId="4711C576"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0FD12327" w14:textId="77777777" w:rsidR="002F2433" w:rsidRDefault="002F2433">
            <w:r>
              <w:rPr>
                <w:rStyle w:val="HTMLCode"/>
                <w:rFonts w:ascii="Times New Roman" w:hAnsi="Times New Roman"/>
                <w:color w:val="000000"/>
                <w:sz w:val="19"/>
              </w:rPr>
              <w:t>fund_aliases</w:t>
            </w:r>
            <w:r>
              <w:rPr>
                <w:color w:val="000000"/>
                <w:sz w:val="19"/>
              </w:rPr>
              <w:t>, due date rules, required field rules, cash sufficiency rules</w:t>
            </w:r>
          </w:p>
        </w:tc>
        <w:tc>
          <w:tcPr>
            <w:tcW w:w="0" w:type="auto"/>
            <w:shd w:val="clear" w:color="auto" w:fill="FFFFFF"/>
            <w:tcMar>
              <w:top w:w="100" w:type="dxa"/>
              <w:left w:w="105" w:type="dxa"/>
              <w:bottom w:w="100" w:type="dxa"/>
              <w:right w:w="105" w:type="dxa"/>
            </w:tcMar>
            <w:vAlign w:val="center"/>
            <w:hideMark/>
          </w:tcPr>
          <w:p w14:paraId="653E3621" w14:textId="77777777" w:rsidR="002F2433" w:rsidRDefault="002F2433">
            <w:r>
              <w:rPr>
                <w:color w:val="000000"/>
                <w:sz w:val="19"/>
              </w:rPr>
              <w:t>Creates exception flag and pending review item</w:t>
            </w:r>
          </w:p>
        </w:tc>
      </w:tr>
      <w:tr w:rsidR="002F2433" w14:paraId="763D40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D169DAF" w14:textId="77777777" w:rsidR="002F2433" w:rsidRDefault="002F2433">
            <w:r>
              <w:rPr>
                <w:color w:val="000000"/>
                <w:sz w:val="19"/>
              </w:rPr>
              <w:t>PDF_003 Distribution Letter</w:t>
            </w:r>
          </w:p>
        </w:tc>
        <w:tc>
          <w:tcPr>
            <w:tcW w:w="0" w:type="auto"/>
            <w:shd w:val="clear" w:color="auto" w:fill="FFFFFF"/>
            <w:tcMar>
              <w:top w:w="100" w:type="dxa"/>
              <w:left w:w="105" w:type="dxa"/>
              <w:bottom w:w="100" w:type="dxa"/>
              <w:right w:w="105" w:type="dxa"/>
            </w:tcMar>
            <w:vAlign w:val="center"/>
            <w:hideMark/>
          </w:tcPr>
          <w:p w14:paraId="77AC1EF5" w14:textId="77777777" w:rsidR="002F2433" w:rsidRDefault="002F2433">
            <w:r>
              <w:rPr>
                <w:rStyle w:val="HTMLCode"/>
                <w:rFonts w:ascii="Times New Roman" w:hAnsi="Times New Roman"/>
                <w:color w:val="000000"/>
                <w:sz w:val="19"/>
              </w:rPr>
              <w:t>distributions_from_may_documents</w:t>
            </w:r>
          </w:p>
        </w:tc>
        <w:tc>
          <w:tcPr>
            <w:tcW w:w="0" w:type="auto"/>
            <w:shd w:val="clear" w:color="auto" w:fill="FFFFFF"/>
            <w:tcMar>
              <w:top w:w="100" w:type="dxa"/>
              <w:left w:w="105" w:type="dxa"/>
              <w:bottom w:w="100" w:type="dxa"/>
              <w:right w:w="105" w:type="dxa"/>
            </w:tcMar>
            <w:vAlign w:val="center"/>
            <w:hideMark/>
          </w:tcPr>
          <w:p w14:paraId="212C9BC9" w14:textId="77777777" w:rsidR="002F2433" w:rsidRDefault="002F2433">
            <w:r>
              <w:rPr>
                <w:rStyle w:val="HTMLCode"/>
                <w:rFonts w:ascii="Times New Roman" w:hAnsi="Times New Roman"/>
                <w:color w:val="000000"/>
                <w:sz w:val="19"/>
              </w:rPr>
              <w:t>private_fund_master</w:t>
            </w:r>
            <w:r>
              <w:rPr>
                <w:color w:val="000000"/>
                <w:sz w:val="19"/>
              </w:rPr>
              <w:t>, component sum rules, cash account records</w:t>
            </w:r>
          </w:p>
        </w:tc>
        <w:tc>
          <w:tcPr>
            <w:tcW w:w="0" w:type="auto"/>
            <w:shd w:val="clear" w:color="auto" w:fill="FFFFFF"/>
            <w:tcMar>
              <w:top w:w="100" w:type="dxa"/>
              <w:left w:w="105" w:type="dxa"/>
              <w:bottom w:w="100" w:type="dxa"/>
              <w:right w:w="105" w:type="dxa"/>
            </w:tcMar>
            <w:vAlign w:val="center"/>
            <w:hideMark/>
          </w:tcPr>
          <w:p w14:paraId="47612E62" w14:textId="77777777" w:rsidR="002F2433" w:rsidRDefault="002F2433">
            <w:r>
              <w:rPr>
                <w:color w:val="000000"/>
                <w:sz w:val="19"/>
              </w:rPr>
              <w:t>Updates expected cash inflow and private market cash flow view</w:t>
            </w:r>
          </w:p>
        </w:tc>
      </w:tr>
      <w:tr w:rsidR="002F2433" w14:paraId="5FBEE86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6E2C1C9" w14:textId="77777777" w:rsidR="002F2433" w:rsidRDefault="002F2433">
            <w:r>
              <w:rPr>
                <w:color w:val="000000"/>
                <w:sz w:val="19"/>
              </w:rPr>
              <w:t>PDF_004 Capital Statement / PCAP</w:t>
            </w:r>
          </w:p>
        </w:tc>
        <w:tc>
          <w:tcPr>
            <w:tcW w:w="0" w:type="auto"/>
            <w:shd w:val="clear" w:color="auto" w:fill="FFFFFF"/>
            <w:tcMar>
              <w:top w:w="100" w:type="dxa"/>
              <w:left w:w="105" w:type="dxa"/>
              <w:bottom w:w="100" w:type="dxa"/>
              <w:right w:w="105" w:type="dxa"/>
            </w:tcMar>
            <w:vAlign w:val="center"/>
            <w:hideMark/>
          </w:tcPr>
          <w:p w14:paraId="6430FE08" w14:textId="77777777" w:rsidR="002F2433" w:rsidRDefault="002F2433">
            <w:r>
              <w:rPr>
                <w:rStyle w:val="HTMLCode"/>
                <w:rFonts w:ascii="Times New Roman" w:hAnsi="Times New Roman"/>
                <w:color w:val="000000"/>
                <w:sz w:val="19"/>
              </w:rPr>
              <w:t>capital_statements_from_may_documents</w:t>
            </w:r>
          </w:p>
        </w:tc>
        <w:tc>
          <w:tcPr>
            <w:tcW w:w="0" w:type="auto"/>
            <w:shd w:val="clear" w:color="auto" w:fill="FFFFFF"/>
            <w:tcMar>
              <w:top w:w="100" w:type="dxa"/>
              <w:left w:w="105" w:type="dxa"/>
              <w:bottom w:w="100" w:type="dxa"/>
              <w:right w:w="105" w:type="dxa"/>
            </w:tcMar>
            <w:vAlign w:val="center"/>
            <w:hideMark/>
          </w:tcPr>
          <w:p w14:paraId="468E53B8" w14:textId="77777777" w:rsidR="002F2433" w:rsidRDefault="002F2433">
            <w:r>
              <w:rPr>
                <w:rStyle w:val="HTMLCode"/>
                <w:rFonts w:ascii="Times New Roman" w:hAnsi="Times New Roman"/>
                <w:color w:val="000000"/>
                <w:sz w:val="19"/>
              </w:rPr>
              <w:t>private_positions_pre_ingestion</w:t>
            </w:r>
            <w:r>
              <w:rPr>
                <w:color w:val="000000"/>
                <w:sz w:val="19"/>
              </w:rPr>
              <w:t>, NAV roll-forward rules</w:t>
            </w:r>
          </w:p>
        </w:tc>
        <w:tc>
          <w:tcPr>
            <w:tcW w:w="0" w:type="auto"/>
            <w:shd w:val="clear" w:color="auto" w:fill="FFFFFF"/>
            <w:tcMar>
              <w:top w:w="100" w:type="dxa"/>
              <w:left w:w="105" w:type="dxa"/>
              <w:bottom w:w="100" w:type="dxa"/>
              <w:right w:w="105" w:type="dxa"/>
            </w:tcMar>
            <w:vAlign w:val="center"/>
            <w:hideMark/>
          </w:tcPr>
          <w:p w14:paraId="5D2E9960" w14:textId="77777777" w:rsidR="002F2433" w:rsidRDefault="002F2433">
            <w:r>
              <w:rPr>
                <w:color w:val="000000"/>
                <w:sz w:val="19"/>
              </w:rPr>
              <w:t>Updates official NAV, paid-in capital, and unfunded commitment records</w:t>
            </w:r>
          </w:p>
        </w:tc>
      </w:tr>
      <w:tr w:rsidR="002F2433" w14:paraId="55748FF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9E723F8" w14:textId="77777777" w:rsidR="002F2433" w:rsidRDefault="002F2433">
            <w:r>
              <w:rPr>
                <w:color w:val="000000"/>
                <w:sz w:val="19"/>
              </w:rPr>
              <w:t>PDF_005 Capital Statement with Exception</w:t>
            </w:r>
          </w:p>
        </w:tc>
        <w:tc>
          <w:tcPr>
            <w:tcW w:w="0" w:type="auto"/>
            <w:shd w:val="clear" w:color="auto" w:fill="FFFFFF"/>
            <w:tcMar>
              <w:top w:w="100" w:type="dxa"/>
              <w:left w:w="105" w:type="dxa"/>
              <w:bottom w:w="100" w:type="dxa"/>
              <w:right w:w="105" w:type="dxa"/>
            </w:tcMar>
            <w:vAlign w:val="center"/>
            <w:hideMark/>
          </w:tcPr>
          <w:p w14:paraId="735BA56D" w14:textId="77777777" w:rsidR="002F2433" w:rsidRDefault="002F2433">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1DE6399D" w14:textId="77777777" w:rsidR="002F2433" w:rsidRDefault="002F2433">
            <w:r>
              <w:rPr>
                <w:rStyle w:val="HTMLCode"/>
                <w:rFonts w:ascii="Times New Roman" w:hAnsi="Times New Roman"/>
                <w:color w:val="000000"/>
                <w:sz w:val="19"/>
              </w:rPr>
              <w:t>private_positions_pre_ingestion</w:t>
            </w:r>
            <w:r>
              <w:rPr>
                <w:color w:val="000000"/>
                <w:sz w:val="19"/>
              </w:rPr>
              <w:t>, NAV roll-forward and commitment consistency rules</w:t>
            </w:r>
          </w:p>
        </w:tc>
        <w:tc>
          <w:tcPr>
            <w:tcW w:w="0" w:type="auto"/>
            <w:shd w:val="clear" w:color="auto" w:fill="FFFFFF"/>
            <w:tcMar>
              <w:top w:w="100" w:type="dxa"/>
              <w:left w:w="105" w:type="dxa"/>
              <w:bottom w:w="100" w:type="dxa"/>
              <w:right w:w="105" w:type="dxa"/>
            </w:tcMar>
            <w:vAlign w:val="center"/>
            <w:hideMark/>
          </w:tcPr>
          <w:p w14:paraId="243D0EFC" w14:textId="77777777" w:rsidR="002F2433" w:rsidRDefault="002F2433">
            <w:r>
              <w:rPr>
                <w:color w:val="000000"/>
                <w:sz w:val="19"/>
              </w:rPr>
              <w:t>Creates NAV mismatch or commitment mismatch flag</w:t>
            </w:r>
          </w:p>
        </w:tc>
      </w:tr>
      <w:tr w:rsidR="002F2433" w14:paraId="797B1C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3C30BCE" w14:textId="77777777" w:rsidR="002F2433" w:rsidRDefault="002F2433">
            <w:r>
              <w:rPr>
                <w:color w:val="000000"/>
                <w:sz w:val="19"/>
              </w:rPr>
              <w:t>PDF_006 Quarterly Investor Newsletter</w:t>
            </w:r>
          </w:p>
        </w:tc>
        <w:tc>
          <w:tcPr>
            <w:tcW w:w="0" w:type="auto"/>
            <w:shd w:val="clear" w:color="auto" w:fill="FFFFFF"/>
            <w:tcMar>
              <w:top w:w="100" w:type="dxa"/>
              <w:left w:w="105" w:type="dxa"/>
              <w:bottom w:w="100" w:type="dxa"/>
              <w:right w:w="105" w:type="dxa"/>
            </w:tcMar>
            <w:vAlign w:val="center"/>
            <w:hideMark/>
          </w:tcPr>
          <w:p w14:paraId="1CA8D653" w14:textId="77777777" w:rsidR="002F2433" w:rsidRDefault="002F2433">
            <w:r>
              <w:rPr>
                <w:rStyle w:val="HTMLCode"/>
                <w:rFonts w:ascii="Times New Roman" w:hAnsi="Times New Roman"/>
                <w:color w:val="000000"/>
                <w:sz w:val="19"/>
              </w:rPr>
              <w:t>newsletter_updates_from_may_documents</w:t>
            </w:r>
          </w:p>
        </w:tc>
        <w:tc>
          <w:tcPr>
            <w:tcW w:w="0" w:type="auto"/>
            <w:shd w:val="clear" w:color="auto" w:fill="FFFFFF"/>
            <w:tcMar>
              <w:top w:w="100" w:type="dxa"/>
              <w:left w:w="105" w:type="dxa"/>
              <w:bottom w:w="100" w:type="dxa"/>
              <w:right w:w="105" w:type="dxa"/>
            </w:tcMar>
            <w:vAlign w:val="center"/>
            <w:hideMark/>
          </w:tcPr>
          <w:p w14:paraId="1432E4A1" w14:textId="77777777" w:rsidR="002F2433" w:rsidRDefault="002F2433">
            <w:r>
              <w:rPr>
                <w:rStyle w:val="HTMLCode"/>
                <w:rFonts w:ascii="Times New Roman" w:hAnsi="Times New Roman"/>
                <w:color w:val="000000"/>
                <w:sz w:val="19"/>
              </w:rPr>
              <w:t>private_fund_master</w:t>
            </w:r>
            <w:r>
              <w:rPr>
                <w:color w:val="000000"/>
                <w:sz w:val="19"/>
              </w:rPr>
              <w:t>, qualitative review rules</w:t>
            </w:r>
          </w:p>
        </w:tc>
        <w:tc>
          <w:tcPr>
            <w:tcW w:w="0" w:type="auto"/>
            <w:shd w:val="clear" w:color="auto" w:fill="FFFFFF"/>
            <w:tcMar>
              <w:top w:w="100" w:type="dxa"/>
              <w:left w:w="105" w:type="dxa"/>
              <w:bottom w:w="100" w:type="dxa"/>
              <w:right w:w="105" w:type="dxa"/>
            </w:tcMar>
            <w:vAlign w:val="center"/>
            <w:hideMark/>
          </w:tcPr>
          <w:p w14:paraId="7F79A9FC" w14:textId="77777777" w:rsidR="002F2433" w:rsidRDefault="002F2433">
            <w:r>
              <w:rPr>
                <w:color w:val="000000"/>
                <w:sz w:val="19"/>
              </w:rPr>
              <w:t>Updates fund commentary, risk notes, and expected capital activity section</w:t>
            </w:r>
          </w:p>
        </w:tc>
      </w:tr>
    </w:tbl>
    <w:p w14:paraId="0310F3EF" w14:textId="77777777" w:rsidR="002F2433" w:rsidRDefault="002F2433" w:rsidP="002A4A1E">
      <w:pPr>
        <w:pStyle w:val="NormalWeb"/>
      </w:pPr>
      <w:r>
        <w:rPr>
          <w:sz w:val="24"/>
        </w:rPr>
        <w:t>This structure allows the prototype to demonstrate a full document-to-dashboard workflow. A PDF is not simply read and summarized; it is converted into structured data, validated against existing portfolio records, routed for review if needed, and then used to update portfolio monitoring outputs.</w:t>
      </w:r>
    </w:p>
    <w:p w14:paraId="3C6AD0D8" w14:textId="77777777" w:rsidR="002F2433" w:rsidRDefault="002F2433" w:rsidP="002F2433">
      <w:pPr>
        <w:pStyle w:val="Heading3"/>
      </w:pPr>
      <w:r>
        <w:rPr>
          <w:rFonts w:ascii="Arial" w:hAnsi="Arial"/>
        </w:rPr>
        <w:t>3.10.6 Example Update Flow</w:t>
      </w:r>
    </w:p>
    <w:p w14:paraId="68DAD113" w14:textId="77777777" w:rsidR="002F2433" w:rsidRDefault="002F2433" w:rsidP="002F2433">
      <w:pPr>
        <w:pStyle w:val="NormalWeb"/>
      </w:pPr>
      <w:r>
        <w:rPr>
          <w:sz w:val="24"/>
        </w:rPr>
        <w:t>The following example illustrates how a capital call notice updates the portfolio data layer.</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694"/>
        <w:gridCol w:w="2216"/>
        <w:gridCol w:w="7952"/>
      </w:tblGrid>
      <w:tr w:rsidR="002F2433" w14:paraId="56F03C9D"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2D93B83F" w14:textId="77777777" w:rsidR="002F2433" w:rsidRDefault="002F2433">
            <w:pPr>
              <w:jc w:val="center"/>
              <w:rPr>
                <w:b/>
                <w:bCs/>
              </w:rPr>
            </w:pPr>
            <w:r>
              <w:rPr>
                <w:b/>
                <w:bCs/>
                <w:color w:val="000000"/>
                <w:sz w:val="19"/>
              </w:rPr>
              <w:t>Step</w:t>
            </w:r>
          </w:p>
        </w:tc>
        <w:tc>
          <w:tcPr>
            <w:tcW w:w="0" w:type="auto"/>
            <w:shd w:val="clear" w:color="auto" w:fill="D9EAF7"/>
            <w:tcMar>
              <w:top w:w="100" w:type="dxa"/>
              <w:left w:w="105" w:type="dxa"/>
              <w:bottom w:w="100" w:type="dxa"/>
              <w:right w:w="105" w:type="dxa"/>
            </w:tcMar>
            <w:vAlign w:val="center"/>
            <w:hideMark/>
          </w:tcPr>
          <w:p w14:paraId="17100369" w14:textId="77777777" w:rsidR="002F2433" w:rsidRDefault="002F2433">
            <w:pPr>
              <w:jc w:val="center"/>
              <w:rPr>
                <w:b/>
                <w:bCs/>
              </w:rPr>
            </w:pPr>
            <w:r>
              <w:rPr>
                <w:b/>
                <w:bCs/>
                <w:color w:val="000000"/>
                <w:sz w:val="19"/>
              </w:rPr>
              <w:t>Process</w:t>
            </w:r>
          </w:p>
        </w:tc>
        <w:tc>
          <w:tcPr>
            <w:tcW w:w="0" w:type="auto"/>
            <w:shd w:val="clear" w:color="auto" w:fill="D9EAF7"/>
            <w:tcMar>
              <w:top w:w="100" w:type="dxa"/>
              <w:left w:w="105" w:type="dxa"/>
              <w:bottom w:w="100" w:type="dxa"/>
              <w:right w:w="105" w:type="dxa"/>
            </w:tcMar>
            <w:vAlign w:val="center"/>
            <w:hideMark/>
          </w:tcPr>
          <w:p w14:paraId="5C5F814D" w14:textId="77777777" w:rsidR="002F2433" w:rsidRDefault="002F2433">
            <w:pPr>
              <w:jc w:val="center"/>
              <w:rPr>
                <w:b/>
                <w:bCs/>
              </w:rPr>
            </w:pPr>
            <w:r>
              <w:rPr>
                <w:b/>
                <w:bCs/>
                <w:color w:val="000000"/>
                <w:sz w:val="19"/>
              </w:rPr>
              <w:t>Example</w:t>
            </w:r>
          </w:p>
        </w:tc>
      </w:tr>
      <w:tr w:rsidR="002F2433" w14:paraId="535DCB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952447A" w14:textId="77777777" w:rsidR="002F2433" w:rsidRDefault="002F2433">
            <w:r>
              <w:rPr>
                <w:color w:val="000000"/>
                <w:sz w:val="19"/>
              </w:rPr>
              <w:t>1</w:t>
            </w:r>
          </w:p>
        </w:tc>
        <w:tc>
          <w:tcPr>
            <w:tcW w:w="0" w:type="auto"/>
            <w:shd w:val="clear" w:color="auto" w:fill="FFFFFF"/>
            <w:tcMar>
              <w:top w:w="100" w:type="dxa"/>
              <w:left w:w="105" w:type="dxa"/>
              <w:bottom w:w="100" w:type="dxa"/>
              <w:right w:w="105" w:type="dxa"/>
            </w:tcMar>
            <w:vAlign w:val="center"/>
            <w:hideMark/>
          </w:tcPr>
          <w:p w14:paraId="4419D64F" w14:textId="77777777" w:rsidR="002F2433" w:rsidRDefault="002F2433">
            <w:r>
              <w:rPr>
                <w:color w:val="000000"/>
                <w:sz w:val="19"/>
              </w:rPr>
              <w:t xml:space="preserve">Initial portfolio state </w:t>
            </w:r>
            <w:r>
              <w:rPr>
                <w:color w:val="000000"/>
                <w:sz w:val="19"/>
              </w:rPr>
              <w:lastRenderedPageBreak/>
              <w:t>exists</w:t>
            </w:r>
          </w:p>
        </w:tc>
        <w:tc>
          <w:tcPr>
            <w:tcW w:w="0" w:type="auto"/>
            <w:shd w:val="clear" w:color="auto" w:fill="FFFFFF"/>
            <w:tcMar>
              <w:top w:w="100" w:type="dxa"/>
              <w:left w:w="105" w:type="dxa"/>
              <w:bottom w:w="100" w:type="dxa"/>
              <w:right w:w="105" w:type="dxa"/>
            </w:tcMar>
            <w:vAlign w:val="center"/>
            <w:hideMark/>
          </w:tcPr>
          <w:p w14:paraId="2E3F744F" w14:textId="77777777" w:rsidR="002F2433" w:rsidRDefault="002F2433">
            <w:r>
              <w:rPr>
                <w:color w:val="000000"/>
                <w:sz w:val="19"/>
              </w:rPr>
              <w:lastRenderedPageBreak/>
              <w:t xml:space="preserve">Northstar Buyout Fund IV has NAV, commitment, paid-in capital, and unfunded commitment in </w:t>
            </w:r>
            <w:r>
              <w:rPr>
                <w:rStyle w:val="HTMLCode"/>
                <w:rFonts w:ascii="Times New Roman" w:hAnsi="Times New Roman"/>
                <w:color w:val="000000"/>
                <w:sz w:val="19"/>
              </w:rPr>
              <w:lastRenderedPageBreak/>
              <w:t>private_positions_pre_ingestion</w:t>
            </w:r>
            <w:r>
              <w:rPr>
                <w:color w:val="000000"/>
                <w:sz w:val="19"/>
              </w:rPr>
              <w:t xml:space="preserve"> as of April 30, 2026</w:t>
            </w:r>
          </w:p>
        </w:tc>
      </w:tr>
      <w:tr w:rsidR="002F2433" w14:paraId="35D0C28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06212CE" w14:textId="77777777" w:rsidR="002F2433" w:rsidRDefault="002F2433">
            <w:r>
              <w:rPr>
                <w:color w:val="000000"/>
                <w:sz w:val="19"/>
              </w:rPr>
              <w:t>2</w:t>
            </w:r>
          </w:p>
        </w:tc>
        <w:tc>
          <w:tcPr>
            <w:tcW w:w="0" w:type="auto"/>
            <w:shd w:val="clear" w:color="auto" w:fill="FFFFFF"/>
            <w:tcMar>
              <w:top w:w="100" w:type="dxa"/>
              <w:left w:w="105" w:type="dxa"/>
              <w:bottom w:w="100" w:type="dxa"/>
              <w:right w:w="105" w:type="dxa"/>
            </w:tcMar>
            <w:vAlign w:val="center"/>
            <w:hideMark/>
          </w:tcPr>
          <w:p w14:paraId="5D7853E8" w14:textId="77777777" w:rsidR="002F2433" w:rsidRDefault="002F2433">
            <w:r>
              <w:rPr>
                <w:color w:val="000000"/>
                <w:sz w:val="19"/>
              </w:rPr>
              <w:t>PDF is processed</w:t>
            </w:r>
          </w:p>
        </w:tc>
        <w:tc>
          <w:tcPr>
            <w:tcW w:w="0" w:type="auto"/>
            <w:shd w:val="clear" w:color="auto" w:fill="FFFFFF"/>
            <w:tcMar>
              <w:top w:w="100" w:type="dxa"/>
              <w:left w:w="105" w:type="dxa"/>
              <w:bottom w:w="100" w:type="dxa"/>
              <w:right w:w="105" w:type="dxa"/>
            </w:tcMar>
            <w:vAlign w:val="center"/>
            <w:hideMark/>
          </w:tcPr>
          <w:p w14:paraId="6C37DAC6" w14:textId="77777777" w:rsidR="002F2433" w:rsidRDefault="002F2433">
            <w:r>
              <w:rPr>
                <w:color w:val="000000"/>
                <w:sz w:val="19"/>
              </w:rPr>
              <w:t>The system extracts fund name, due date, amount due, currency, investor entity, and transaction components from the May 2026 capital call letter</w:t>
            </w:r>
          </w:p>
        </w:tc>
      </w:tr>
      <w:tr w:rsidR="002F2433" w14:paraId="1A900ED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4C4BFB1" w14:textId="77777777" w:rsidR="002F2433" w:rsidRDefault="002F2433">
            <w:r>
              <w:rPr>
                <w:color w:val="000000"/>
                <w:sz w:val="19"/>
              </w:rPr>
              <w:t>3</w:t>
            </w:r>
          </w:p>
        </w:tc>
        <w:tc>
          <w:tcPr>
            <w:tcW w:w="0" w:type="auto"/>
            <w:shd w:val="clear" w:color="auto" w:fill="FFFFFF"/>
            <w:tcMar>
              <w:top w:w="100" w:type="dxa"/>
              <w:left w:w="105" w:type="dxa"/>
              <w:bottom w:w="100" w:type="dxa"/>
              <w:right w:w="105" w:type="dxa"/>
            </w:tcMar>
            <w:vAlign w:val="center"/>
            <w:hideMark/>
          </w:tcPr>
          <w:p w14:paraId="2AFAB7AD" w14:textId="77777777" w:rsidR="002F2433" w:rsidRDefault="002F2433">
            <w:r>
              <w:rPr>
                <w:color w:val="000000"/>
                <w:sz w:val="19"/>
              </w:rPr>
              <w:t>Event table is updated</w:t>
            </w:r>
          </w:p>
        </w:tc>
        <w:tc>
          <w:tcPr>
            <w:tcW w:w="0" w:type="auto"/>
            <w:shd w:val="clear" w:color="auto" w:fill="FFFFFF"/>
            <w:tcMar>
              <w:top w:w="100" w:type="dxa"/>
              <w:left w:w="105" w:type="dxa"/>
              <w:bottom w:w="100" w:type="dxa"/>
              <w:right w:w="105" w:type="dxa"/>
            </w:tcMar>
            <w:vAlign w:val="center"/>
            <w:hideMark/>
          </w:tcPr>
          <w:p w14:paraId="6F654189" w14:textId="77777777" w:rsidR="002F2433" w:rsidRDefault="002F2433">
            <w:r>
              <w:rPr>
                <w:color w:val="000000"/>
                <w:sz w:val="19"/>
              </w:rPr>
              <w:t xml:space="preserve">A new record is appended to </w:t>
            </w:r>
            <w:r>
              <w:rPr>
                <w:rStyle w:val="HTMLCode"/>
                <w:rFonts w:ascii="Times New Roman" w:hAnsi="Times New Roman"/>
                <w:color w:val="000000"/>
                <w:sz w:val="19"/>
              </w:rPr>
              <w:t>capital_calls_from_may_documents</w:t>
            </w:r>
          </w:p>
        </w:tc>
      </w:tr>
      <w:tr w:rsidR="002F2433" w14:paraId="1F2A7F3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3973C48" w14:textId="77777777" w:rsidR="002F2433" w:rsidRDefault="002F2433">
            <w:r>
              <w:rPr>
                <w:color w:val="000000"/>
                <w:sz w:val="19"/>
              </w:rPr>
              <w:t>4</w:t>
            </w:r>
          </w:p>
        </w:tc>
        <w:tc>
          <w:tcPr>
            <w:tcW w:w="0" w:type="auto"/>
            <w:shd w:val="clear" w:color="auto" w:fill="FFFFFF"/>
            <w:tcMar>
              <w:top w:w="100" w:type="dxa"/>
              <w:left w:w="105" w:type="dxa"/>
              <w:bottom w:w="100" w:type="dxa"/>
              <w:right w:w="105" w:type="dxa"/>
            </w:tcMar>
            <w:vAlign w:val="center"/>
            <w:hideMark/>
          </w:tcPr>
          <w:p w14:paraId="7BF063A1" w14:textId="77777777" w:rsidR="002F2433" w:rsidRDefault="002F2433">
            <w:r>
              <w:rPr>
                <w:color w:val="000000"/>
                <w:sz w:val="19"/>
              </w:rPr>
              <w:t>Validation is performed</w:t>
            </w:r>
          </w:p>
        </w:tc>
        <w:tc>
          <w:tcPr>
            <w:tcW w:w="0" w:type="auto"/>
            <w:shd w:val="clear" w:color="auto" w:fill="FFFFFF"/>
            <w:tcMar>
              <w:top w:w="100" w:type="dxa"/>
              <w:left w:w="105" w:type="dxa"/>
              <w:bottom w:w="100" w:type="dxa"/>
              <w:right w:w="105" w:type="dxa"/>
            </w:tcMar>
            <w:vAlign w:val="center"/>
            <w:hideMark/>
          </w:tcPr>
          <w:p w14:paraId="502B10A6" w14:textId="77777777" w:rsidR="002F2433" w:rsidRDefault="002F2433">
            <w:r>
              <w:rPr>
                <w:color w:val="000000"/>
                <w:sz w:val="19"/>
              </w:rPr>
              <w:t xml:space="preserve">Fund name is matched to </w:t>
            </w:r>
            <w:r>
              <w:rPr>
                <w:rStyle w:val="HTMLCode"/>
                <w:rFonts w:ascii="Times New Roman" w:hAnsi="Times New Roman"/>
                <w:color w:val="000000"/>
                <w:sz w:val="19"/>
              </w:rPr>
              <w:t>private_fund_master</w:t>
            </w:r>
            <w:r>
              <w:rPr>
                <w:color w:val="000000"/>
                <w:sz w:val="19"/>
              </w:rPr>
              <w:t xml:space="preserve">; amount due is checked against </w:t>
            </w:r>
            <w:r>
              <w:rPr>
                <w:rStyle w:val="HTMLCode"/>
                <w:rFonts w:ascii="Times New Roman" w:hAnsi="Times New Roman"/>
                <w:color w:val="000000"/>
                <w:sz w:val="19"/>
              </w:rPr>
              <w:t>cash_accounts_pre_ingestion</w:t>
            </w:r>
            <w:r>
              <w:rPr>
                <w:color w:val="000000"/>
                <w:sz w:val="19"/>
              </w:rPr>
              <w:t>; paid-in and unfunded values are checked for consistency</w:t>
            </w:r>
          </w:p>
        </w:tc>
      </w:tr>
      <w:tr w:rsidR="002F2433" w14:paraId="370926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5ED1FF" w14:textId="77777777" w:rsidR="002F2433" w:rsidRDefault="002F2433">
            <w:r>
              <w:rPr>
                <w:color w:val="000000"/>
                <w:sz w:val="19"/>
              </w:rPr>
              <w:t>5</w:t>
            </w:r>
          </w:p>
        </w:tc>
        <w:tc>
          <w:tcPr>
            <w:tcW w:w="0" w:type="auto"/>
            <w:shd w:val="clear" w:color="auto" w:fill="FFFFFF"/>
            <w:tcMar>
              <w:top w:w="100" w:type="dxa"/>
              <w:left w:w="105" w:type="dxa"/>
              <w:bottom w:w="100" w:type="dxa"/>
              <w:right w:w="105" w:type="dxa"/>
            </w:tcMar>
            <w:vAlign w:val="center"/>
            <w:hideMark/>
          </w:tcPr>
          <w:p w14:paraId="1CAAF0E4" w14:textId="77777777" w:rsidR="002F2433" w:rsidRDefault="002F2433">
            <w:r>
              <w:rPr>
                <w:color w:val="000000"/>
                <w:sz w:val="19"/>
              </w:rPr>
              <w:t>Review status is assigned</w:t>
            </w:r>
          </w:p>
        </w:tc>
        <w:tc>
          <w:tcPr>
            <w:tcW w:w="0" w:type="auto"/>
            <w:shd w:val="clear" w:color="auto" w:fill="FFFFFF"/>
            <w:tcMar>
              <w:top w:w="100" w:type="dxa"/>
              <w:left w:w="105" w:type="dxa"/>
              <w:bottom w:w="100" w:type="dxa"/>
              <w:right w:w="105" w:type="dxa"/>
            </w:tcMar>
            <w:vAlign w:val="center"/>
            <w:hideMark/>
          </w:tcPr>
          <w:p w14:paraId="64E818B8" w14:textId="77777777" w:rsidR="002F2433" w:rsidRDefault="002F2433">
            <w:r>
              <w:rPr>
                <w:color w:val="000000"/>
                <w:sz w:val="19"/>
              </w:rPr>
              <w:t xml:space="preserve">Clean records can be approved; exceptions are sent to </w:t>
            </w:r>
            <w:r>
              <w:rPr>
                <w:rStyle w:val="HTMLCode"/>
                <w:rFonts w:ascii="Times New Roman" w:hAnsi="Times New Roman"/>
                <w:color w:val="000000"/>
                <w:sz w:val="19"/>
              </w:rPr>
              <w:t>review_queue_expected</w:t>
            </w:r>
          </w:p>
        </w:tc>
      </w:tr>
      <w:tr w:rsidR="002F2433" w14:paraId="093FAF1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504DCEA" w14:textId="77777777" w:rsidR="002F2433" w:rsidRDefault="002F2433">
            <w:r>
              <w:rPr>
                <w:color w:val="000000"/>
                <w:sz w:val="19"/>
              </w:rPr>
              <w:t>6</w:t>
            </w:r>
          </w:p>
        </w:tc>
        <w:tc>
          <w:tcPr>
            <w:tcW w:w="0" w:type="auto"/>
            <w:shd w:val="clear" w:color="auto" w:fill="FFFFFF"/>
            <w:tcMar>
              <w:top w:w="100" w:type="dxa"/>
              <w:left w:w="105" w:type="dxa"/>
              <w:bottom w:w="100" w:type="dxa"/>
              <w:right w:w="105" w:type="dxa"/>
            </w:tcMar>
            <w:vAlign w:val="center"/>
            <w:hideMark/>
          </w:tcPr>
          <w:p w14:paraId="569BFF4F" w14:textId="77777777" w:rsidR="002F2433" w:rsidRDefault="002F2433">
            <w:r>
              <w:rPr>
                <w:color w:val="000000"/>
                <w:sz w:val="19"/>
              </w:rPr>
              <w:t>Portfolio state is updated after approval</w:t>
            </w:r>
          </w:p>
        </w:tc>
        <w:tc>
          <w:tcPr>
            <w:tcW w:w="0" w:type="auto"/>
            <w:shd w:val="clear" w:color="auto" w:fill="FFFFFF"/>
            <w:tcMar>
              <w:top w:w="100" w:type="dxa"/>
              <w:left w:w="105" w:type="dxa"/>
              <w:bottom w:w="100" w:type="dxa"/>
              <w:right w:w="105" w:type="dxa"/>
            </w:tcMar>
            <w:vAlign w:val="center"/>
            <w:hideMark/>
          </w:tcPr>
          <w:p w14:paraId="399E4EBE" w14:textId="77777777" w:rsidR="002F2433" w:rsidRDefault="002F2433">
            <w:r>
              <w:rPr>
                <w:color w:val="000000"/>
                <w:sz w:val="19"/>
              </w:rPr>
              <w:t>Paid-in capital increases and unfunded commitment decreases in the expected post-ingestion view</w:t>
            </w:r>
          </w:p>
        </w:tc>
      </w:tr>
      <w:tr w:rsidR="002F2433" w14:paraId="3283E9C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B2C8D38" w14:textId="77777777" w:rsidR="002F2433" w:rsidRDefault="002F2433">
            <w:r>
              <w:rPr>
                <w:color w:val="000000"/>
                <w:sz w:val="19"/>
              </w:rPr>
              <w:t>7</w:t>
            </w:r>
          </w:p>
        </w:tc>
        <w:tc>
          <w:tcPr>
            <w:tcW w:w="0" w:type="auto"/>
            <w:shd w:val="clear" w:color="auto" w:fill="FFFFFF"/>
            <w:tcMar>
              <w:top w:w="100" w:type="dxa"/>
              <w:left w:w="105" w:type="dxa"/>
              <w:bottom w:w="100" w:type="dxa"/>
              <w:right w:w="105" w:type="dxa"/>
            </w:tcMar>
            <w:vAlign w:val="center"/>
            <w:hideMark/>
          </w:tcPr>
          <w:p w14:paraId="2732A052" w14:textId="77777777" w:rsidR="002F2433" w:rsidRDefault="002F2433">
            <w:r>
              <w:rPr>
                <w:color w:val="000000"/>
                <w:sz w:val="19"/>
              </w:rPr>
              <w:t>Dashboard refreshes</w:t>
            </w:r>
          </w:p>
        </w:tc>
        <w:tc>
          <w:tcPr>
            <w:tcW w:w="0" w:type="auto"/>
            <w:shd w:val="clear" w:color="auto" w:fill="FFFFFF"/>
            <w:tcMar>
              <w:top w:w="100" w:type="dxa"/>
              <w:left w:w="105" w:type="dxa"/>
              <w:bottom w:w="100" w:type="dxa"/>
              <w:right w:w="105" w:type="dxa"/>
            </w:tcMar>
            <w:vAlign w:val="center"/>
            <w:hideMark/>
          </w:tcPr>
          <w:p w14:paraId="5C3D30BF" w14:textId="77777777" w:rsidR="002F2433" w:rsidRDefault="002F2433">
            <w:r>
              <w:rPr>
                <w:color w:val="000000"/>
                <w:sz w:val="19"/>
              </w:rPr>
              <w:t>Capital call calendar, liquidity forecast, unfunded commitment view, and exception dashboard are updated</w:t>
            </w:r>
          </w:p>
        </w:tc>
      </w:tr>
    </w:tbl>
    <w:p w14:paraId="09AB46D7" w14:textId="77777777" w:rsidR="002F2433" w:rsidRDefault="002F2433" w:rsidP="002A4A1E">
      <w:pPr>
        <w:pStyle w:val="NormalWeb"/>
      </w:pPr>
      <w:r>
        <w:rPr>
          <w:sz w:val="24"/>
        </w:rPr>
        <w:t>This update flow reflects the project’s central design principle: documents do not directly update the dashboard. They first pass through extraction, validation, and review controls.</w:t>
      </w:r>
    </w:p>
    <w:p w14:paraId="0AC962A7" w14:textId="77777777" w:rsidR="002F2433" w:rsidRDefault="002F2433" w:rsidP="002F2433">
      <w:pPr>
        <w:pStyle w:val="Heading3"/>
      </w:pPr>
      <w:r>
        <w:rPr>
          <w:rFonts w:ascii="Arial" w:hAnsi="Arial"/>
        </w:rPr>
        <w:t>3.10.7 Rationale for the Initial Data Layer</w:t>
      </w:r>
    </w:p>
    <w:p w14:paraId="6ADA4B26" w14:textId="77777777" w:rsidR="002F2433" w:rsidRDefault="002F2433" w:rsidP="002F2433">
      <w:pPr>
        <w:pStyle w:val="NormalWeb"/>
      </w:pPr>
      <w:r>
        <w:rPr>
          <w:sz w:val="24"/>
        </w:rPr>
        <w:t>The initial data layer ensures that the synthetic portfolio can be used for coding rather than remaining only a conceptual allocation. It gives the dashboard historical data, a clean baseline, fund master records, cash balances, and expected update tables. It also supports validation because extracted PDF data can be compared against known fund records and expected ground-truth values.</w:t>
      </w:r>
    </w:p>
    <w:p w14:paraId="5381F0A2" w14:textId="77777777" w:rsidR="002F2433" w:rsidRPr="007840C3" w:rsidRDefault="002F2433" w:rsidP="002A4A1E">
      <w:pPr>
        <w:pStyle w:val="NormalWeb"/>
      </w:pPr>
      <w:r>
        <w:rPr>
          <w:sz w:val="24"/>
        </w:rPr>
        <w:t>This design makes the proof-of-concept more realistic. In practice, a family office does not build a dashboard from a PDF alone. It starts with existing portfolio records, receives new documents, extracts and validates information, and then updates the relevant portfolio, liquidity, and workflow tables. The initial data layer therefore connects the synthetic portfolio design with the AI extraction workflow and dashboard implementation.</w:t>
      </w:r>
    </w:p>
    <w:p w14:paraId="3AF94C0C" w14:textId="77777777" w:rsidR="002F2433" w:rsidRDefault="002F2433" w:rsidP="002F2433">
      <w:pPr>
        <w:pStyle w:val="Heading1"/>
        <w:rPr>
          <w:sz w:val="36"/>
          <w:szCs w:val="36"/>
        </w:rPr>
      </w:pPr>
      <w:r>
        <w:rPr>
          <w:rFonts w:ascii="Arial" w:hAnsi="Arial"/>
        </w:rPr>
        <w:t>4. Design of Mock Documents</w:t>
      </w:r>
    </w:p>
    <w:p w14:paraId="08E72FFF" w14:textId="77777777" w:rsidR="002F2433" w:rsidRDefault="002F2433" w:rsidP="002F2433">
      <w:pPr>
        <w:pStyle w:val="Heading2"/>
      </w:pPr>
      <w:r>
        <w:rPr>
          <w:rFonts w:ascii="Arial" w:hAnsi="Arial"/>
        </w:rPr>
        <w:t>4.1 Purpose of the Mock Document Set</w:t>
      </w:r>
    </w:p>
    <w:p w14:paraId="2828EFA1" w14:textId="77777777" w:rsidR="002F2433" w:rsidRDefault="002F2433" w:rsidP="002F2433">
      <w:pPr>
        <w:pStyle w:val="NormalWeb"/>
      </w:pPr>
      <w:r>
        <w:rPr>
          <w:sz w:val="24"/>
        </w:rPr>
        <w:t>After constructing the synthetic portfolio and its initial data layer, the next step is to create a set of mock private market documents that can be used as inputs for the coding prototype. The purpose of this section is to define what documents will be simulated, how industry templates will be used, and what information the system should extract from each document.</w:t>
      </w:r>
    </w:p>
    <w:p w14:paraId="457DAA7C" w14:textId="77777777" w:rsidR="002F2433" w:rsidRDefault="002F2433" w:rsidP="002A4A1E">
      <w:pPr>
        <w:pStyle w:val="NormalWeb"/>
      </w:pPr>
      <w:r>
        <w:rPr>
          <w:sz w:val="24"/>
        </w:rPr>
        <w:t xml:space="preserve">The mock documents represent the type of information an investment team may receive from GPs, fund administrators, or investment managers. These include capital call letters, distribution notices, capital </w:t>
      </w:r>
      <w:r>
        <w:rPr>
          <w:sz w:val="24"/>
        </w:rPr>
        <w:lastRenderedPageBreak/>
        <w:t>statements, PCAPs, and investor newsletters. The documents are designed as PDF files because private market information is commonly received as PDF attachments or portal downloads rather than as clean structured data.</w:t>
      </w:r>
    </w:p>
    <w:p w14:paraId="01023D54" w14:textId="77777777" w:rsidR="002F2433" w:rsidRDefault="002F2433" w:rsidP="002F2433">
      <w:pPr>
        <w:pStyle w:val="Heading2"/>
      </w:pPr>
      <w:r>
        <w:rPr>
          <w:rFonts w:ascii="Arial" w:hAnsi="Arial"/>
        </w:rPr>
        <w:t>4.2 PDF-First Mock Document Design</w:t>
      </w:r>
    </w:p>
    <w:p w14:paraId="4DF770AB" w14:textId="77777777" w:rsidR="002F2433" w:rsidRDefault="002F2433" w:rsidP="002F2433">
      <w:pPr>
        <w:pStyle w:val="NormalWeb"/>
      </w:pPr>
      <w:r>
        <w:rPr>
          <w:sz w:val="24"/>
        </w:rPr>
        <w:t>The project uses PDF documents as the primary mock inputs because this reflects the practical workflow commonly observed in private fund reporting. Investment teams often receive capital call letters, distribution notices, capital statements, quarterly reports, and investor newsletters as PDF attachments or portal downloads. Therefore, the prototype should not assume that private market data arrives in a clean structured format.</w:t>
      </w:r>
    </w:p>
    <w:p w14:paraId="28AA2FF5" w14:textId="77777777" w:rsidR="002F2433" w:rsidRDefault="002F2433" w:rsidP="002F2433">
      <w:pPr>
        <w:pStyle w:val="NormalWeb"/>
      </w:pPr>
      <w:r>
        <w:rPr>
          <w:sz w:val="24"/>
        </w:rPr>
        <w:t>Industry templates are used as structural references rather than as final input files. The ILPA Capital Call &amp; Distribution Template is used to identify relevant fields and transaction classifications for capital calls and distributions. The ILPA Reporting Template is used to design the capital statement and PCAP structure, including NAV roll-forward, contributions, distributions, fees, expenses, and unfunded commitment reconciliation. The final mock documents are generated as PDFs so that the prototype can test PDF parsing, AI extraction, validation checks, and dashboard ingestion.</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124"/>
        <w:gridCol w:w="6215"/>
        <w:gridCol w:w="2523"/>
      </w:tblGrid>
      <w:tr w:rsidR="002F2433" w14:paraId="1EC1C727"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23FE9529" w14:textId="77777777" w:rsidR="002F2433" w:rsidRDefault="002F2433">
            <w:pPr>
              <w:jc w:val="center"/>
              <w:rPr>
                <w:b/>
                <w:bCs/>
              </w:rPr>
            </w:pPr>
            <w:r>
              <w:rPr>
                <w:b/>
                <w:bCs/>
                <w:color w:val="000000"/>
                <w:sz w:val="19"/>
              </w:rPr>
              <w:t>Source Template / Design Basis</w:t>
            </w:r>
          </w:p>
        </w:tc>
        <w:tc>
          <w:tcPr>
            <w:tcW w:w="0" w:type="auto"/>
            <w:shd w:val="clear" w:color="auto" w:fill="D9EAF7"/>
            <w:tcMar>
              <w:top w:w="100" w:type="dxa"/>
              <w:left w:w="105" w:type="dxa"/>
              <w:bottom w:w="100" w:type="dxa"/>
              <w:right w:w="105" w:type="dxa"/>
            </w:tcMar>
            <w:vAlign w:val="center"/>
            <w:hideMark/>
          </w:tcPr>
          <w:p w14:paraId="78AD007C" w14:textId="77777777" w:rsidR="002F2433" w:rsidRDefault="002F2433">
            <w:pPr>
              <w:jc w:val="center"/>
              <w:rPr>
                <w:b/>
                <w:bCs/>
              </w:rPr>
            </w:pPr>
            <w:r>
              <w:rPr>
                <w:b/>
                <w:bCs/>
                <w:color w:val="000000"/>
                <w:sz w:val="19"/>
              </w:rPr>
              <w:t>How It Is Used in the Project</w:t>
            </w:r>
          </w:p>
        </w:tc>
        <w:tc>
          <w:tcPr>
            <w:tcW w:w="0" w:type="auto"/>
            <w:shd w:val="clear" w:color="auto" w:fill="D9EAF7"/>
            <w:tcMar>
              <w:top w:w="100" w:type="dxa"/>
              <w:left w:w="105" w:type="dxa"/>
              <w:bottom w:w="100" w:type="dxa"/>
              <w:right w:w="105" w:type="dxa"/>
            </w:tcMar>
            <w:vAlign w:val="center"/>
            <w:hideMark/>
          </w:tcPr>
          <w:p w14:paraId="1FF896E6" w14:textId="77777777" w:rsidR="002F2433" w:rsidRDefault="002F2433">
            <w:pPr>
              <w:jc w:val="center"/>
              <w:rPr>
                <w:b/>
                <w:bCs/>
              </w:rPr>
            </w:pPr>
            <w:r>
              <w:rPr>
                <w:b/>
                <w:bCs/>
                <w:color w:val="000000"/>
                <w:sz w:val="19"/>
              </w:rPr>
              <w:t>Final Mock Document Format</w:t>
            </w:r>
          </w:p>
        </w:tc>
      </w:tr>
      <w:tr w:rsidR="002F2433" w14:paraId="7503B8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B01F598" w14:textId="77777777" w:rsidR="002F2433" w:rsidRDefault="002F2433">
            <w:r>
              <w:rPr>
                <w:color w:val="000000"/>
                <w:sz w:val="19"/>
              </w:rPr>
              <w:t>ILPA Capital Call &amp; Distribution Template</w:t>
            </w:r>
          </w:p>
        </w:tc>
        <w:tc>
          <w:tcPr>
            <w:tcW w:w="0" w:type="auto"/>
            <w:shd w:val="clear" w:color="auto" w:fill="FFFFFF"/>
            <w:tcMar>
              <w:top w:w="100" w:type="dxa"/>
              <w:left w:w="105" w:type="dxa"/>
              <w:bottom w:w="100" w:type="dxa"/>
              <w:right w:w="105" w:type="dxa"/>
            </w:tcMar>
            <w:vAlign w:val="center"/>
            <w:hideMark/>
          </w:tcPr>
          <w:p w14:paraId="65377433" w14:textId="77777777" w:rsidR="002F2433" w:rsidRDefault="002F2433">
            <w:r>
              <w:rPr>
                <w:color w:val="000000"/>
                <w:sz w:val="19"/>
              </w:rPr>
              <w:t>Used to identify capital call and distribution fields, transaction types, LP-level information, fund-level information, and unfunded commitment impact</w:t>
            </w:r>
          </w:p>
        </w:tc>
        <w:tc>
          <w:tcPr>
            <w:tcW w:w="0" w:type="auto"/>
            <w:shd w:val="clear" w:color="auto" w:fill="FFFFFF"/>
            <w:tcMar>
              <w:top w:w="100" w:type="dxa"/>
              <w:left w:w="105" w:type="dxa"/>
              <w:bottom w:w="100" w:type="dxa"/>
              <w:right w:w="105" w:type="dxa"/>
            </w:tcMar>
            <w:vAlign w:val="center"/>
            <w:hideMark/>
          </w:tcPr>
          <w:p w14:paraId="1B71BA45" w14:textId="77777777" w:rsidR="002F2433" w:rsidRDefault="002F2433">
            <w:r>
              <w:rPr>
                <w:color w:val="000000"/>
                <w:sz w:val="19"/>
              </w:rPr>
              <w:t>PDF capital call letters and PDF distribution letters</w:t>
            </w:r>
          </w:p>
        </w:tc>
      </w:tr>
      <w:tr w:rsidR="002F2433" w14:paraId="2A1DAD2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ACC61CD" w14:textId="77777777" w:rsidR="002F2433" w:rsidRDefault="002F2433">
            <w:r>
              <w:rPr>
                <w:color w:val="000000"/>
                <w:sz w:val="19"/>
              </w:rPr>
              <w:t>ILPA Capital Call Template Definitions</w:t>
            </w:r>
          </w:p>
        </w:tc>
        <w:tc>
          <w:tcPr>
            <w:tcW w:w="0" w:type="auto"/>
            <w:shd w:val="clear" w:color="auto" w:fill="FFFFFF"/>
            <w:tcMar>
              <w:top w:w="100" w:type="dxa"/>
              <w:left w:w="105" w:type="dxa"/>
              <w:bottom w:w="100" w:type="dxa"/>
              <w:right w:w="105" w:type="dxa"/>
            </w:tcMar>
            <w:vAlign w:val="center"/>
            <w:hideMark/>
          </w:tcPr>
          <w:p w14:paraId="7DD0C81D" w14:textId="77777777" w:rsidR="002F2433" w:rsidRDefault="002F2433">
            <w:r>
              <w:rPr>
                <w:color w:val="000000"/>
                <w:sz w:val="19"/>
              </w:rPr>
              <w:t>Used to classify transaction types such as investment calls, management fees, partnership expenses, income distributions, realized gains, return of capital, and negative contributions</w:t>
            </w:r>
          </w:p>
        </w:tc>
        <w:tc>
          <w:tcPr>
            <w:tcW w:w="0" w:type="auto"/>
            <w:shd w:val="clear" w:color="auto" w:fill="FFFFFF"/>
            <w:tcMar>
              <w:top w:w="100" w:type="dxa"/>
              <w:left w:w="105" w:type="dxa"/>
              <w:bottom w:w="100" w:type="dxa"/>
              <w:right w:w="105" w:type="dxa"/>
            </w:tcMar>
            <w:vAlign w:val="center"/>
            <w:hideMark/>
          </w:tcPr>
          <w:p w14:paraId="4D9A0E26" w14:textId="77777777" w:rsidR="002F2433" w:rsidRDefault="002F2433">
            <w:r>
              <w:rPr>
                <w:color w:val="000000"/>
                <w:sz w:val="19"/>
              </w:rPr>
              <w:t>Extraction schema and validation logic for PDF notices</w:t>
            </w:r>
          </w:p>
        </w:tc>
      </w:tr>
      <w:tr w:rsidR="002F2433" w14:paraId="6A70383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F89B4B2" w14:textId="77777777" w:rsidR="002F2433" w:rsidRDefault="002F2433">
            <w:r>
              <w:rPr>
                <w:color w:val="000000"/>
                <w:sz w:val="19"/>
              </w:rPr>
              <w:t>ILPA Reporting Template Version 2.0</w:t>
            </w:r>
          </w:p>
        </w:tc>
        <w:tc>
          <w:tcPr>
            <w:tcW w:w="0" w:type="auto"/>
            <w:shd w:val="clear" w:color="auto" w:fill="FFFFFF"/>
            <w:tcMar>
              <w:top w:w="100" w:type="dxa"/>
              <w:left w:w="105" w:type="dxa"/>
              <w:bottom w:w="100" w:type="dxa"/>
              <w:right w:w="105" w:type="dxa"/>
            </w:tcMar>
            <w:vAlign w:val="center"/>
            <w:hideMark/>
          </w:tcPr>
          <w:p w14:paraId="70E5FB96" w14:textId="77777777" w:rsidR="002F2433" w:rsidRDefault="002F2433">
            <w:r>
              <w:rPr>
                <w:color w:val="000000"/>
                <w:sz w:val="19"/>
              </w:rPr>
              <w:t>Used to design capital statement / PCAP fields, including Beginning NAV, contributions, distributions, fees, realized and unrealized gain/loss, Ending NAV, and commitment reconciliation</w:t>
            </w:r>
          </w:p>
        </w:tc>
        <w:tc>
          <w:tcPr>
            <w:tcW w:w="0" w:type="auto"/>
            <w:shd w:val="clear" w:color="auto" w:fill="FFFFFF"/>
            <w:tcMar>
              <w:top w:w="100" w:type="dxa"/>
              <w:left w:w="105" w:type="dxa"/>
              <w:bottom w:w="100" w:type="dxa"/>
              <w:right w:w="105" w:type="dxa"/>
            </w:tcMar>
            <w:vAlign w:val="center"/>
            <w:hideMark/>
          </w:tcPr>
          <w:p w14:paraId="41F18B0D" w14:textId="77777777" w:rsidR="002F2433" w:rsidRDefault="002F2433">
            <w:r>
              <w:rPr>
                <w:color w:val="000000"/>
                <w:sz w:val="19"/>
              </w:rPr>
              <w:t>PDF capital statements / partner capital account statements</w:t>
            </w:r>
          </w:p>
        </w:tc>
      </w:tr>
      <w:tr w:rsidR="002F2433" w14:paraId="4052C1E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E2A0659" w14:textId="77777777" w:rsidR="002F2433" w:rsidRDefault="002F2433">
            <w:r>
              <w:rPr>
                <w:color w:val="000000"/>
                <w:sz w:val="19"/>
              </w:rPr>
              <w:t>Project-designed newsletter format</w:t>
            </w:r>
          </w:p>
        </w:tc>
        <w:tc>
          <w:tcPr>
            <w:tcW w:w="0" w:type="auto"/>
            <w:shd w:val="clear" w:color="auto" w:fill="FFFFFF"/>
            <w:tcMar>
              <w:top w:w="100" w:type="dxa"/>
              <w:left w:w="105" w:type="dxa"/>
              <w:bottom w:w="100" w:type="dxa"/>
              <w:right w:w="105" w:type="dxa"/>
            </w:tcMar>
            <w:vAlign w:val="center"/>
            <w:hideMark/>
          </w:tcPr>
          <w:p w14:paraId="5D427925" w14:textId="77777777" w:rsidR="002F2433" w:rsidRDefault="002F2433">
            <w:r>
              <w:rPr>
                <w:color w:val="000000"/>
                <w:sz w:val="19"/>
              </w:rPr>
              <w:t>Used because investor newsletters do not follow a single standardized template</w:t>
            </w:r>
          </w:p>
        </w:tc>
        <w:tc>
          <w:tcPr>
            <w:tcW w:w="0" w:type="auto"/>
            <w:shd w:val="clear" w:color="auto" w:fill="FFFFFF"/>
            <w:tcMar>
              <w:top w:w="100" w:type="dxa"/>
              <w:left w:w="105" w:type="dxa"/>
              <w:bottom w:w="100" w:type="dxa"/>
              <w:right w:w="105" w:type="dxa"/>
            </w:tcMar>
            <w:vAlign w:val="center"/>
            <w:hideMark/>
          </w:tcPr>
          <w:p w14:paraId="5A2E612C" w14:textId="77777777" w:rsidR="002F2433" w:rsidRDefault="002F2433">
            <w:r>
              <w:rPr>
                <w:color w:val="000000"/>
                <w:sz w:val="19"/>
              </w:rPr>
              <w:t>PDF quarterly investor newsletter</w:t>
            </w:r>
          </w:p>
        </w:tc>
      </w:tr>
    </w:tbl>
    <w:p w14:paraId="41E6A559" w14:textId="77777777" w:rsidR="002F2433" w:rsidRDefault="002F2433" w:rsidP="002A4A1E">
      <w:pPr>
        <w:pStyle w:val="NormalWeb"/>
      </w:pPr>
      <w:r>
        <w:rPr>
          <w:sz w:val="24"/>
        </w:rPr>
        <w:t>This approach creates a realistic workflow. The family office receives PDF documents, the system extracts information from those PDFs, and the extracted data is validated against structured portfolio records.</w:t>
      </w:r>
    </w:p>
    <w:p w14:paraId="486211A9" w14:textId="77777777" w:rsidR="002F2433" w:rsidRDefault="002F2433" w:rsidP="002F2433">
      <w:pPr>
        <w:pStyle w:val="Heading2"/>
      </w:pPr>
      <w:r>
        <w:rPr>
          <w:rFonts w:ascii="Arial" w:hAnsi="Arial"/>
        </w:rPr>
        <w:t>4.3 Mock Document Inventory</w:t>
      </w:r>
    </w:p>
    <w:p w14:paraId="754C616C" w14:textId="77777777" w:rsidR="002F2433" w:rsidRDefault="002F2433" w:rsidP="002F2433">
      <w:pPr>
        <w:pStyle w:val="NormalWeb"/>
      </w:pPr>
      <w:r>
        <w:rPr>
          <w:sz w:val="24"/>
        </w:rPr>
        <w:t>The mock document set includes six May 2026 PDF documents. These documents are designed to update the April 30, 2026 portfolio baseline defined in Section 3.10.</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1064"/>
        <w:gridCol w:w="1579"/>
        <w:gridCol w:w="1606"/>
        <w:gridCol w:w="1134"/>
        <w:gridCol w:w="1506"/>
        <w:gridCol w:w="1700"/>
        <w:gridCol w:w="2273"/>
      </w:tblGrid>
      <w:tr w:rsidR="002F2433" w14:paraId="64E450C0"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E42750F" w14:textId="77777777" w:rsidR="002F2433" w:rsidRDefault="002F2433">
            <w:pPr>
              <w:jc w:val="center"/>
              <w:rPr>
                <w:b/>
                <w:bCs/>
              </w:rPr>
            </w:pPr>
            <w:r>
              <w:rPr>
                <w:b/>
                <w:bCs/>
                <w:color w:val="000000"/>
                <w:sz w:val="19"/>
              </w:rPr>
              <w:t>PDF ID</w:t>
            </w:r>
          </w:p>
        </w:tc>
        <w:tc>
          <w:tcPr>
            <w:tcW w:w="0" w:type="auto"/>
            <w:shd w:val="clear" w:color="auto" w:fill="D9EAF7"/>
            <w:tcMar>
              <w:top w:w="100" w:type="dxa"/>
              <w:left w:w="105" w:type="dxa"/>
              <w:bottom w:w="100" w:type="dxa"/>
              <w:right w:w="105" w:type="dxa"/>
            </w:tcMar>
            <w:vAlign w:val="center"/>
            <w:hideMark/>
          </w:tcPr>
          <w:p w14:paraId="2691677D" w14:textId="77777777" w:rsidR="002F2433" w:rsidRDefault="002F2433">
            <w:pPr>
              <w:jc w:val="center"/>
              <w:rPr>
                <w:b/>
                <w:bCs/>
              </w:rPr>
            </w:pPr>
            <w:r>
              <w:rPr>
                <w:b/>
                <w:bCs/>
                <w:color w:val="000000"/>
                <w:sz w:val="19"/>
              </w:rPr>
              <w:t>Mock Document</w:t>
            </w:r>
          </w:p>
        </w:tc>
        <w:tc>
          <w:tcPr>
            <w:tcW w:w="0" w:type="auto"/>
            <w:shd w:val="clear" w:color="auto" w:fill="D9EAF7"/>
            <w:tcMar>
              <w:top w:w="100" w:type="dxa"/>
              <w:left w:w="105" w:type="dxa"/>
              <w:bottom w:w="100" w:type="dxa"/>
              <w:right w:w="105" w:type="dxa"/>
            </w:tcMar>
            <w:vAlign w:val="center"/>
            <w:hideMark/>
          </w:tcPr>
          <w:p w14:paraId="333BF23D" w14:textId="77777777" w:rsidR="002F2433" w:rsidRDefault="002F2433">
            <w:pPr>
              <w:jc w:val="center"/>
              <w:rPr>
                <w:b/>
                <w:bCs/>
              </w:rPr>
            </w:pPr>
            <w:r>
              <w:rPr>
                <w:b/>
                <w:bCs/>
                <w:color w:val="000000"/>
                <w:sz w:val="19"/>
              </w:rPr>
              <w:t>Related Portfolio Holding</w:t>
            </w:r>
          </w:p>
        </w:tc>
        <w:tc>
          <w:tcPr>
            <w:tcW w:w="0" w:type="auto"/>
            <w:shd w:val="clear" w:color="auto" w:fill="D9EAF7"/>
            <w:tcMar>
              <w:top w:w="100" w:type="dxa"/>
              <w:left w:w="105" w:type="dxa"/>
              <w:bottom w:w="100" w:type="dxa"/>
              <w:right w:w="105" w:type="dxa"/>
            </w:tcMar>
            <w:vAlign w:val="center"/>
            <w:hideMark/>
          </w:tcPr>
          <w:p w14:paraId="1DC8E11C" w14:textId="77777777" w:rsidR="002F2433" w:rsidRDefault="002F2433">
            <w:pPr>
              <w:jc w:val="center"/>
              <w:rPr>
                <w:b/>
                <w:bCs/>
              </w:rPr>
            </w:pPr>
            <w:r>
              <w:rPr>
                <w:b/>
                <w:bCs/>
                <w:color w:val="000000"/>
                <w:sz w:val="19"/>
              </w:rPr>
              <w:t>Received Date</w:t>
            </w:r>
          </w:p>
        </w:tc>
        <w:tc>
          <w:tcPr>
            <w:tcW w:w="0" w:type="auto"/>
            <w:shd w:val="clear" w:color="auto" w:fill="D9EAF7"/>
            <w:tcMar>
              <w:top w:w="100" w:type="dxa"/>
              <w:left w:w="105" w:type="dxa"/>
              <w:bottom w:w="100" w:type="dxa"/>
              <w:right w:w="105" w:type="dxa"/>
            </w:tcMar>
            <w:vAlign w:val="center"/>
            <w:hideMark/>
          </w:tcPr>
          <w:p w14:paraId="3E70A592" w14:textId="77777777" w:rsidR="002F2433" w:rsidRDefault="002F2433">
            <w:pPr>
              <w:jc w:val="center"/>
              <w:rPr>
                <w:b/>
                <w:bCs/>
              </w:rPr>
            </w:pPr>
            <w:r>
              <w:rPr>
                <w:b/>
                <w:bCs/>
                <w:color w:val="000000"/>
                <w:sz w:val="19"/>
              </w:rPr>
              <w:t>Reporting / Event Period</w:t>
            </w:r>
          </w:p>
        </w:tc>
        <w:tc>
          <w:tcPr>
            <w:tcW w:w="0" w:type="auto"/>
            <w:shd w:val="clear" w:color="auto" w:fill="D9EAF7"/>
            <w:tcMar>
              <w:top w:w="100" w:type="dxa"/>
              <w:left w:w="105" w:type="dxa"/>
              <w:bottom w:w="100" w:type="dxa"/>
              <w:right w:w="105" w:type="dxa"/>
            </w:tcMar>
            <w:vAlign w:val="center"/>
            <w:hideMark/>
          </w:tcPr>
          <w:p w14:paraId="028CA6F0" w14:textId="77777777" w:rsidR="002F2433" w:rsidRDefault="002F2433">
            <w:pPr>
              <w:jc w:val="center"/>
              <w:rPr>
                <w:b/>
                <w:bCs/>
              </w:rPr>
            </w:pPr>
            <w:r>
              <w:rPr>
                <w:b/>
                <w:bCs/>
                <w:color w:val="000000"/>
                <w:sz w:val="19"/>
              </w:rPr>
              <w:t>Template / Design Basis</w:t>
            </w:r>
          </w:p>
        </w:tc>
        <w:tc>
          <w:tcPr>
            <w:tcW w:w="0" w:type="auto"/>
            <w:shd w:val="clear" w:color="auto" w:fill="D9EAF7"/>
            <w:tcMar>
              <w:top w:w="100" w:type="dxa"/>
              <w:left w:w="105" w:type="dxa"/>
              <w:bottom w:w="100" w:type="dxa"/>
              <w:right w:w="105" w:type="dxa"/>
            </w:tcMar>
            <w:vAlign w:val="center"/>
            <w:hideMark/>
          </w:tcPr>
          <w:p w14:paraId="68ECF0F2" w14:textId="77777777" w:rsidR="002F2433" w:rsidRDefault="002F2433">
            <w:pPr>
              <w:jc w:val="center"/>
              <w:rPr>
                <w:b/>
                <w:bCs/>
              </w:rPr>
            </w:pPr>
            <w:r>
              <w:rPr>
                <w:b/>
                <w:bCs/>
                <w:color w:val="000000"/>
                <w:sz w:val="19"/>
              </w:rPr>
              <w:t>Purpose</w:t>
            </w:r>
          </w:p>
        </w:tc>
      </w:tr>
      <w:tr w:rsidR="002F2433" w14:paraId="3CA3CA1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5FAC89E" w14:textId="77777777" w:rsidR="002F2433" w:rsidRDefault="002F2433">
            <w:r>
              <w:rPr>
                <w:color w:val="000000"/>
                <w:sz w:val="19"/>
              </w:rPr>
              <w:lastRenderedPageBreak/>
              <w:t>PDF_001</w:t>
            </w:r>
          </w:p>
        </w:tc>
        <w:tc>
          <w:tcPr>
            <w:tcW w:w="0" w:type="auto"/>
            <w:shd w:val="clear" w:color="auto" w:fill="FFFFFF"/>
            <w:tcMar>
              <w:top w:w="100" w:type="dxa"/>
              <w:left w:w="105" w:type="dxa"/>
              <w:bottom w:w="100" w:type="dxa"/>
              <w:right w:w="105" w:type="dxa"/>
            </w:tcMar>
            <w:vAlign w:val="center"/>
            <w:hideMark/>
          </w:tcPr>
          <w:p w14:paraId="20EF1A56" w14:textId="77777777" w:rsidR="002F2433" w:rsidRDefault="002F2433">
            <w:r>
              <w:rPr>
                <w:color w:val="000000"/>
                <w:sz w:val="19"/>
              </w:rPr>
              <w:t>Capital Call Letter</w:t>
            </w:r>
          </w:p>
        </w:tc>
        <w:tc>
          <w:tcPr>
            <w:tcW w:w="0" w:type="auto"/>
            <w:shd w:val="clear" w:color="auto" w:fill="FFFFFF"/>
            <w:tcMar>
              <w:top w:w="100" w:type="dxa"/>
              <w:left w:w="105" w:type="dxa"/>
              <w:bottom w:w="100" w:type="dxa"/>
              <w:right w:w="105" w:type="dxa"/>
            </w:tcMar>
            <w:vAlign w:val="center"/>
            <w:hideMark/>
          </w:tcPr>
          <w:p w14:paraId="0FD20CEB" w14:textId="77777777" w:rsidR="002F2433" w:rsidRDefault="002F2433">
            <w:r>
              <w:rPr>
                <w:color w:val="000000"/>
                <w:sz w:val="19"/>
              </w:rPr>
              <w:t>Northstar Buyout Fund IV</w:t>
            </w:r>
          </w:p>
        </w:tc>
        <w:tc>
          <w:tcPr>
            <w:tcW w:w="0" w:type="auto"/>
            <w:shd w:val="clear" w:color="auto" w:fill="FFFFFF"/>
            <w:tcMar>
              <w:top w:w="100" w:type="dxa"/>
              <w:left w:w="105" w:type="dxa"/>
              <w:bottom w:w="100" w:type="dxa"/>
              <w:right w:w="105" w:type="dxa"/>
            </w:tcMar>
            <w:vAlign w:val="center"/>
            <w:hideMark/>
          </w:tcPr>
          <w:p w14:paraId="08464547" w14:textId="77777777" w:rsidR="002F2433" w:rsidRDefault="002F2433">
            <w:r>
              <w:rPr>
                <w:color w:val="000000"/>
                <w:sz w:val="19"/>
              </w:rPr>
              <w:t>2026-05-10</w:t>
            </w:r>
          </w:p>
        </w:tc>
        <w:tc>
          <w:tcPr>
            <w:tcW w:w="0" w:type="auto"/>
            <w:shd w:val="clear" w:color="auto" w:fill="FFFFFF"/>
            <w:tcMar>
              <w:top w:w="100" w:type="dxa"/>
              <w:left w:w="105" w:type="dxa"/>
              <w:bottom w:w="100" w:type="dxa"/>
              <w:right w:w="105" w:type="dxa"/>
            </w:tcMar>
            <w:vAlign w:val="center"/>
            <w:hideMark/>
          </w:tcPr>
          <w:p w14:paraId="0ADC6739"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4470B28D" w14:textId="77777777" w:rsidR="002F2433" w:rsidRDefault="002F2433">
            <w:r>
              <w:rPr>
                <w:color w:val="000000"/>
                <w:sz w:val="19"/>
              </w:rPr>
              <w:t>ILPA CC&amp;D-style structure</w:t>
            </w:r>
          </w:p>
        </w:tc>
        <w:tc>
          <w:tcPr>
            <w:tcW w:w="0" w:type="auto"/>
            <w:shd w:val="clear" w:color="auto" w:fill="FFFFFF"/>
            <w:tcMar>
              <w:top w:w="100" w:type="dxa"/>
              <w:left w:w="105" w:type="dxa"/>
              <w:bottom w:w="100" w:type="dxa"/>
              <w:right w:w="105" w:type="dxa"/>
            </w:tcMar>
            <w:vAlign w:val="center"/>
            <w:hideMark/>
          </w:tcPr>
          <w:p w14:paraId="327E9195" w14:textId="77777777" w:rsidR="002F2433" w:rsidRDefault="002F2433">
            <w:r>
              <w:rPr>
                <w:color w:val="000000"/>
                <w:sz w:val="19"/>
              </w:rPr>
              <w:t>Test standard capital call extraction</w:t>
            </w:r>
          </w:p>
        </w:tc>
      </w:tr>
      <w:tr w:rsidR="002F2433" w14:paraId="106ACD5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28D6ADC" w14:textId="77777777" w:rsidR="002F2433" w:rsidRDefault="002F2433">
            <w:r>
              <w:rPr>
                <w:color w:val="000000"/>
                <w:sz w:val="19"/>
              </w:rPr>
              <w:t>PDF_002</w:t>
            </w:r>
          </w:p>
        </w:tc>
        <w:tc>
          <w:tcPr>
            <w:tcW w:w="0" w:type="auto"/>
            <w:shd w:val="clear" w:color="auto" w:fill="FFFFFF"/>
            <w:tcMar>
              <w:top w:w="100" w:type="dxa"/>
              <w:left w:w="105" w:type="dxa"/>
              <w:bottom w:w="100" w:type="dxa"/>
              <w:right w:w="105" w:type="dxa"/>
            </w:tcMar>
            <w:vAlign w:val="center"/>
            <w:hideMark/>
          </w:tcPr>
          <w:p w14:paraId="36498032" w14:textId="77777777" w:rsidR="002F2433" w:rsidRDefault="002F2433">
            <w:r>
              <w:rPr>
                <w:color w:val="000000"/>
                <w:sz w:val="19"/>
              </w:rPr>
              <w:t>Capital Call Letter with Exception</w:t>
            </w:r>
          </w:p>
        </w:tc>
        <w:tc>
          <w:tcPr>
            <w:tcW w:w="0" w:type="auto"/>
            <w:shd w:val="clear" w:color="auto" w:fill="FFFFFF"/>
            <w:tcMar>
              <w:top w:w="100" w:type="dxa"/>
              <w:left w:w="105" w:type="dxa"/>
              <w:bottom w:w="100" w:type="dxa"/>
              <w:right w:w="105" w:type="dxa"/>
            </w:tcMar>
            <w:vAlign w:val="center"/>
            <w:hideMark/>
          </w:tcPr>
          <w:p w14:paraId="3CC7C4D2" w14:textId="77777777" w:rsidR="002F2433" w:rsidRDefault="002F2433">
            <w:r>
              <w:rPr>
                <w:color w:val="000000"/>
                <w:sz w:val="19"/>
              </w:rPr>
              <w:t>SeedSpring Southeast Asia VC Fund I</w:t>
            </w:r>
          </w:p>
        </w:tc>
        <w:tc>
          <w:tcPr>
            <w:tcW w:w="0" w:type="auto"/>
            <w:shd w:val="clear" w:color="auto" w:fill="FFFFFF"/>
            <w:tcMar>
              <w:top w:w="100" w:type="dxa"/>
              <w:left w:w="105" w:type="dxa"/>
              <w:bottom w:w="100" w:type="dxa"/>
              <w:right w:w="105" w:type="dxa"/>
            </w:tcMar>
            <w:vAlign w:val="center"/>
            <w:hideMark/>
          </w:tcPr>
          <w:p w14:paraId="56D69124" w14:textId="77777777" w:rsidR="002F2433" w:rsidRDefault="002F2433">
            <w:r>
              <w:rPr>
                <w:color w:val="000000"/>
                <w:sz w:val="19"/>
              </w:rPr>
              <w:t>2026-05-17</w:t>
            </w:r>
          </w:p>
        </w:tc>
        <w:tc>
          <w:tcPr>
            <w:tcW w:w="0" w:type="auto"/>
            <w:shd w:val="clear" w:color="auto" w:fill="FFFFFF"/>
            <w:tcMar>
              <w:top w:w="100" w:type="dxa"/>
              <w:left w:w="105" w:type="dxa"/>
              <w:bottom w:w="100" w:type="dxa"/>
              <w:right w:w="105" w:type="dxa"/>
            </w:tcMar>
            <w:vAlign w:val="center"/>
            <w:hideMark/>
          </w:tcPr>
          <w:p w14:paraId="008AFEA7"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6F5807B5" w14:textId="77777777" w:rsidR="002F2433" w:rsidRDefault="002F2433">
            <w:r>
              <w:rPr>
                <w:color w:val="000000"/>
                <w:sz w:val="19"/>
              </w:rPr>
              <w:t>ILPA CC&amp;D-style structure adapted</w:t>
            </w:r>
          </w:p>
        </w:tc>
        <w:tc>
          <w:tcPr>
            <w:tcW w:w="0" w:type="auto"/>
            <w:shd w:val="clear" w:color="auto" w:fill="FFFFFF"/>
            <w:tcMar>
              <w:top w:w="100" w:type="dxa"/>
              <w:left w:w="105" w:type="dxa"/>
              <w:bottom w:w="100" w:type="dxa"/>
              <w:right w:w="105" w:type="dxa"/>
            </w:tcMar>
            <w:vAlign w:val="center"/>
            <w:hideMark/>
          </w:tcPr>
          <w:p w14:paraId="1F2CB00E" w14:textId="77777777" w:rsidR="002F2433" w:rsidRDefault="002F2433">
            <w:r>
              <w:rPr>
                <w:color w:val="000000"/>
                <w:sz w:val="19"/>
              </w:rPr>
              <w:t>Test urgent due date, abbreviated fund name, and missing field handling</w:t>
            </w:r>
          </w:p>
        </w:tc>
      </w:tr>
      <w:tr w:rsidR="002F2433" w14:paraId="680430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549503" w14:textId="77777777" w:rsidR="002F2433" w:rsidRDefault="002F2433">
            <w:r>
              <w:rPr>
                <w:color w:val="000000"/>
                <w:sz w:val="19"/>
              </w:rPr>
              <w:t>PDF_003</w:t>
            </w:r>
          </w:p>
        </w:tc>
        <w:tc>
          <w:tcPr>
            <w:tcW w:w="0" w:type="auto"/>
            <w:shd w:val="clear" w:color="auto" w:fill="FFFFFF"/>
            <w:tcMar>
              <w:top w:w="100" w:type="dxa"/>
              <w:left w:w="105" w:type="dxa"/>
              <w:bottom w:w="100" w:type="dxa"/>
              <w:right w:w="105" w:type="dxa"/>
            </w:tcMar>
            <w:vAlign w:val="center"/>
            <w:hideMark/>
          </w:tcPr>
          <w:p w14:paraId="03E59173" w14:textId="77777777" w:rsidR="002F2433" w:rsidRDefault="002F2433">
            <w:r>
              <w:rPr>
                <w:color w:val="000000"/>
                <w:sz w:val="19"/>
              </w:rPr>
              <w:t>Distribution Letter</w:t>
            </w:r>
          </w:p>
        </w:tc>
        <w:tc>
          <w:tcPr>
            <w:tcW w:w="0" w:type="auto"/>
            <w:shd w:val="clear" w:color="auto" w:fill="FFFFFF"/>
            <w:tcMar>
              <w:top w:w="100" w:type="dxa"/>
              <w:left w:w="105" w:type="dxa"/>
              <w:bottom w:w="100" w:type="dxa"/>
              <w:right w:w="105" w:type="dxa"/>
            </w:tcMar>
            <w:vAlign w:val="center"/>
            <w:hideMark/>
          </w:tcPr>
          <w:p w14:paraId="190997E9" w14:textId="77777777" w:rsidR="002F2433" w:rsidRDefault="002F2433">
            <w:r>
              <w:rPr>
                <w:color w:val="000000"/>
                <w:sz w:val="19"/>
              </w:rPr>
              <w:t>Harbor Peak Partners V</w:t>
            </w:r>
          </w:p>
        </w:tc>
        <w:tc>
          <w:tcPr>
            <w:tcW w:w="0" w:type="auto"/>
            <w:shd w:val="clear" w:color="auto" w:fill="FFFFFF"/>
            <w:tcMar>
              <w:top w:w="100" w:type="dxa"/>
              <w:left w:w="105" w:type="dxa"/>
              <w:bottom w:w="100" w:type="dxa"/>
              <w:right w:w="105" w:type="dxa"/>
            </w:tcMar>
            <w:vAlign w:val="center"/>
            <w:hideMark/>
          </w:tcPr>
          <w:p w14:paraId="201582CA" w14:textId="77777777" w:rsidR="002F2433" w:rsidRDefault="002F2433">
            <w:r>
              <w:rPr>
                <w:color w:val="000000"/>
                <w:sz w:val="19"/>
              </w:rPr>
              <w:t>2026-05-21</w:t>
            </w:r>
          </w:p>
        </w:tc>
        <w:tc>
          <w:tcPr>
            <w:tcW w:w="0" w:type="auto"/>
            <w:shd w:val="clear" w:color="auto" w:fill="FFFFFF"/>
            <w:tcMar>
              <w:top w:w="100" w:type="dxa"/>
              <w:left w:w="105" w:type="dxa"/>
              <w:bottom w:w="100" w:type="dxa"/>
              <w:right w:w="105" w:type="dxa"/>
            </w:tcMar>
            <w:vAlign w:val="center"/>
            <w:hideMark/>
          </w:tcPr>
          <w:p w14:paraId="74473B3F"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6BB8E51B" w14:textId="77777777" w:rsidR="002F2433" w:rsidRDefault="002F2433">
            <w:r>
              <w:rPr>
                <w:color w:val="000000"/>
                <w:sz w:val="19"/>
              </w:rPr>
              <w:t>ILPA CC&amp;D-style structure</w:t>
            </w:r>
          </w:p>
        </w:tc>
        <w:tc>
          <w:tcPr>
            <w:tcW w:w="0" w:type="auto"/>
            <w:shd w:val="clear" w:color="auto" w:fill="FFFFFF"/>
            <w:tcMar>
              <w:top w:w="100" w:type="dxa"/>
              <w:left w:w="105" w:type="dxa"/>
              <w:bottom w:w="100" w:type="dxa"/>
              <w:right w:w="105" w:type="dxa"/>
            </w:tcMar>
            <w:vAlign w:val="center"/>
            <w:hideMark/>
          </w:tcPr>
          <w:p w14:paraId="2F3A3B5D" w14:textId="77777777" w:rsidR="002F2433" w:rsidRDefault="002F2433">
            <w:r>
              <w:rPr>
                <w:color w:val="000000"/>
                <w:sz w:val="19"/>
              </w:rPr>
              <w:t>Test distribution amount and distribution component extraction</w:t>
            </w:r>
          </w:p>
        </w:tc>
      </w:tr>
      <w:tr w:rsidR="002F2433" w14:paraId="64EE8A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3CC7182" w14:textId="77777777" w:rsidR="002F2433" w:rsidRDefault="002F2433">
            <w:r>
              <w:rPr>
                <w:color w:val="000000"/>
                <w:sz w:val="19"/>
              </w:rPr>
              <w:t>PDF_004</w:t>
            </w:r>
          </w:p>
        </w:tc>
        <w:tc>
          <w:tcPr>
            <w:tcW w:w="0" w:type="auto"/>
            <w:shd w:val="clear" w:color="auto" w:fill="FFFFFF"/>
            <w:tcMar>
              <w:top w:w="100" w:type="dxa"/>
              <w:left w:w="105" w:type="dxa"/>
              <w:bottom w:w="100" w:type="dxa"/>
              <w:right w:w="105" w:type="dxa"/>
            </w:tcMar>
            <w:vAlign w:val="center"/>
            <w:hideMark/>
          </w:tcPr>
          <w:p w14:paraId="552B4A16" w14:textId="77777777" w:rsidR="002F2433" w:rsidRDefault="002F2433">
            <w:r>
              <w:rPr>
                <w:color w:val="000000"/>
                <w:sz w:val="19"/>
              </w:rPr>
              <w:t>Capital Statement / PCAP</w:t>
            </w:r>
          </w:p>
        </w:tc>
        <w:tc>
          <w:tcPr>
            <w:tcW w:w="0" w:type="auto"/>
            <w:shd w:val="clear" w:color="auto" w:fill="FFFFFF"/>
            <w:tcMar>
              <w:top w:w="100" w:type="dxa"/>
              <w:left w:w="105" w:type="dxa"/>
              <w:bottom w:w="100" w:type="dxa"/>
              <w:right w:w="105" w:type="dxa"/>
            </w:tcMar>
            <w:vAlign w:val="center"/>
            <w:hideMark/>
          </w:tcPr>
          <w:p w14:paraId="78C6213B" w14:textId="77777777" w:rsidR="002F2433" w:rsidRDefault="002F2433">
            <w:r>
              <w:rPr>
                <w:color w:val="000000"/>
                <w:sz w:val="19"/>
              </w:rPr>
              <w:t>Northstar Buyout Fund IV</w:t>
            </w:r>
          </w:p>
        </w:tc>
        <w:tc>
          <w:tcPr>
            <w:tcW w:w="0" w:type="auto"/>
            <w:shd w:val="clear" w:color="auto" w:fill="FFFFFF"/>
            <w:tcMar>
              <w:top w:w="100" w:type="dxa"/>
              <w:left w:w="105" w:type="dxa"/>
              <w:bottom w:w="100" w:type="dxa"/>
              <w:right w:w="105" w:type="dxa"/>
            </w:tcMar>
            <w:vAlign w:val="center"/>
            <w:hideMark/>
          </w:tcPr>
          <w:p w14:paraId="63F5BC35" w14:textId="77777777" w:rsidR="002F2433" w:rsidRDefault="002F2433">
            <w:r>
              <w:rPr>
                <w:color w:val="000000"/>
                <w:sz w:val="19"/>
              </w:rPr>
              <w:t>2026-05-15</w:t>
            </w:r>
          </w:p>
        </w:tc>
        <w:tc>
          <w:tcPr>
            <w:tcW w:w="0" w:type="auto"/>
            <w:shd w:val="clear" w:color="auto" w:fill="FFFFFF"/>
            <w:tcMar>
              <w:top w:w="100" w:type="dxa"/>
              <w:left w:w="105" w:type="dxa"/>
              <w:bottom w:w="100" w:type="dxa"/>
              <w:right w:w="105" w:type="dxa"/>
            </w:tcMar>
            <w:vAlign w:val="center"/>
            <w:hideMark/>
          </w:tcPr>
          <w:p w14:paraId="65422D1F" w14:textId="77777777" w:rsidR="002F2433" w:rsidRDefault="002F2433">
            <w:r>
              <w:rPr>
                <w:color w:val="000000"/>
                <w:sz w:val="19"/>
              </w:rPr>
              <w:t>Q1 2026 period ended 2026-03-31</w:t>
            </w:r>
          </w:p>
        </w:tc>
        <w:tc>
          <w:tcPr>
            <w:tcW w:w="0" w:type="auto"/>
            <w:shd w:val="clear" w:color="auto" w:fill="FFFFFF"/>
            <w:tcMar>
              <w:top w:w="100" w:type="dxa"/>
              <w:left w:w="105" w:type="dxa"/>
              <w:bottom w:w="100" w:type="dxa"/>
              <w:right w:w="105" w:type="dxa"/>
            </w:tcMar>
            <w:vAlign w:val="center"/>
            <w:hideMark/>
          </w:tcPr>
          <w:p w14:paraId="36C9DF5F" w14:textId="77777777" w:rsidR="002F2433" w:rsidRDefault="002F2433">
            <w:r>
              <w:rPr>
                <w:color w:val="000000"/>
                <w:sz w:val="19"/>
              </w:rPr>
              <w:t>ILPA Reporting Template-style structure</w:t>
            </w:r>
          </w:p>
        </w:tc>
        <w:tc>
          <w:tcPr>
            <w:tcW w:w="0" w:type="auto"/>
            <w:shd w:val="clear" w:color="auto" w:fill="FFFFFF"/>
            <w:tcMar>
              <w:top w:w="100" w:type="dxa"/>
              <w:left w:w="105" w:type="dxa"/>
              <w:bottom w:w="100" w:type="dxa"/>
              <w:right w:w="105" w:type="dxa"/>
            </w:tcMar>
            <w:vAlign w:val="center"/>
            <w:hideMark/>
          </w:tcPr>
          <w:p w14:paraId="798B0292" w14:textId="77777777" w:rsidR="002F2433" w:rsidRDefault="002F2433">
            <w:r>
              <w:rPr>
                <w:color w:val="000000"/>
                <w:sz w:val="19"/>
              </w:rPr>
              <w:t>Test NAV roll-forward and commitment reconciliation extraction</w:t>
            </w:r>
          </w:p>
        </w:tc>
      </w:tr>
      <w:tr w:rsidR="002F2433" w14:paraId="2D72551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E4B27C7" w14:textId="77777777" w:rsidR="002F2433" w:rsidRDefault="002F2433">
            <w:r>
              <w:rPr>
                <w:color w:val="000000"/>
                <w:sz w:val="19"/>
              </w:rPr>
              <w:t>PDF_005</w:t>
            </w:r>
          </w:p>
        </w:tc>
        <w:tc>
          <w:tcPr>
            <w:tcW w:w="0" w:type="auto"/>
            <w:shd w:val="clear" w:color="auto" w:fill="FFFFFF"/>
            <w:tcMar>
              <w:top w:w="100" w:type="dxa"/>
              <w:left w:w="105" w:type="dxa"/>
              <w:bottom w:w="100" w:type="dxa"/>
              <w:right w:w="105" w:type="dxa"/>
            </w:tcMar>
            <w:vAlign w:val="center"/>
            <w:hideMark/>
          </w:tcPr>
          <w:p w14:paraId="1441CCB8" w14:textId="77777777" w:rsidR="002F2433" w:rsidRDefault="002F2433">
            <w:r>
              <w:rPr>
                <w:color w:val="000000"/>
                <w:sz w:val="19"/>
              </w:rPr>
              <w:t>Capital Statement with Exception</w:t>
            </w:r>
          </w:p>
        </w:tc>
        <w:tc>
          <w:tcPr>
            <w:tcW w:w="0" w:type="auto"/>
            <w:shd w:val="clear" w:color="auto" w:fill="FFFFFF"/>
            <w:tcMar>
              <w:top w:w="100" w:type="dxa"/>
              <w:left w:w="105" w:type="dxa"/>
              <w:bottom w:w="100" w:type="dxa"/>
              <w:right w:w="105" w:type="dxa"/>
            </w:tcMar>
            <w:vAlign w:val="center"/>
            <w:hideMark/>
          </w:tcPr>
          <w:p w14:paraId="3B577700" w14:textId="77777777" w:rsidR="002F2433" w:rsidRDefault="002F2433">
            <w:r>
              <w:rPr>
                <w:color w:val="000000"/>
                <w:sz w:val="19"/>
              </w:rPr>
              <w:t>LionRock Asia Private Credit Fund</w:t>
            </w:r>
          </w:p>
        </w:tc>
        <w:tc>
          <w:tcPr>
            <w:tcW w:w="0" w:type="auto"/>
            <w:shd w:val="clear" w:color="auto" w:fill="FFFFFF"/>
            <w:tcMar>
              <w:top w:w="100" w:type="dxa"/>
              <w:left w:w="105" w:type="dxa"/>
              <w:bottom w:w="100" w:type="dxa"/>
              <w:right w:w="105" w:type="dxa"/>
            </w:tcMar>
            <w:vAlign w:val="center"/>
            <w:hideMark/>
          </w:tcPr>
          <w:p w14:paraId="257D11C5" w14:textId="77777777" w:rsidR="002F2433" w:rsidRDefault="002F2433">
            <w:r>
              <w:rPr>
                <w:color w:val="000000"/>
                <w:sz w:val="19"/>
              </w:rPr>
              <w:t>2026-05-18</w:t>
            </w:r>
          </w:p>
        </w:tc>
        <w:tc>
          <w:tcPr>
            <w:tcW w:w="0" w:type="auto"/>
            <w:shd w:val="clear" w:color="auto" w:fill="FFFFFF"/>
            <w:tcMar>
              <w:top w:w="100" w:type="dxa"/>
              <w:left w:w="105" w:type="dxa"/>
              <w:bottom w:w="100" w:type="dxa"/>
              <w:right w:w="105" w:type="dxa"/>
            </w:tcMar>
            <w:vAlign w:val="center"/>
            <w:hideMark/>
          </w:tcPr>
          <w:p w14:paraId="4A1F7314" w14:textId="77777777" w:rsidR="002F2433" w:rsidRDefault="002F2433">
            <w:r>
              <w:rPr>
                <w:color w:val="000000"/>
                <w:sz w:val="19"/>
              </w:rPr>
              <w:t>Q1 2026 period ended 2026-03-31</w:t>
            </w:r>
          </w:p>
        </w:tc>
        <w:tc>
          <w:tcPr>
            <w:tcW w:w="0" w:type="auto"/>
            <w:shd w:val="clear" w:color="auto" w:fill="FFFFFF"/>
            <w:tcMar>
              <w:top w:w="100" w:type="dxa"/>
              <w:left w:w="105" w:type="dxa"/>
              <w:bottom w:w="100" w:type="dxa"/>
              <w:right w:w="105" w:type="dxa"/>
            </w:tcMar>
            <w:vAlign w:val="center"/>
            <w:hideMark/>
          </w:tcPr>
          <w:p w14:paraId="338EAF2B" w14:textId="77777777" w:rsidR="002F2433" w:rsidRDefault="002F2433">
            <w:r>
              <w:rPr>
                <w:color w:val="000000"/>
                <w:sz w:val="19"/>
              </w:rPr>
              <w:t>ILPA Reporting Template-style structure adapted</w:t>
            </w:r>
          </w:p>
        </w:tc>
        <w:tc>
          <w:tcPr>
            <w:tcW w:w="0" w:type="auto"/>
            <w:shd w:val="clear" w:color="auto" w:fill="FFFFFF"/>
            <w:tcMar>
              <w:top w:w="100" w:type="dxa"/>
              <w:left w:w="105" w:type="dxa"/>
              <w:bottom w:w="100" w:type="dxa"/>
              <w:right w:w="105" w:type="dxa"/>
            </w:tcMar>
            <w:vAlign w:val="center"/>
            <w:hideMark/>
          </w:tcPr>
          <w:p w14:paraId="03E2C37D" w14:textId="77777777" w:rsidR="002F2433" w:rsidRDefault="002F2433">
            <w:r>
              <w:rPr>
                <w:color w:val="000000"/>
                <w:sz w:val="19"/>
              </w:rPr>
              <w:t>Test NAV and commitment inconsistency detection</w:t>
            </w:r>
          </w:p>
        </w:tc>
      </w:tr>
      <w:tr w:rsidR="002F2433" w14:paraId="76BBE3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6376CE3" w14:textId="77777777" w:rsidR="002F2433" w:rsidRDefault="002F2433">
            <w:r>
              <w:rPr>
                <w:color w:val="000000"/>
                <w:sz w:val="19"/>
              </w:rPr>
              <w:t>PDF_006</w:t>
            </w:r>
          </w:p>
        </w:tc>
        <w:tc>
          <w:tcPr>
            <w:tcW w:w="0" w:type="auto"/>
            <w:shd w:val="clear" w:color="auto" w:fill="FFFFFF"/>
            <w:tcMar>
              <w:top w:w="100" w:type="dxa"/>
              <w:left w:w="105" w:type="dxa"/>
              <w:bottom w:w="100" w:type="dxa"/>
              <w:right w:w="105" w:type="dxa"/>
            </w:tcMar>
            <w:vAlign w:val="center"/>
            <w:hideMark/>
          </w:tcPr>
          <w:p w14:paraId="6758FAE8" w14:textId="77777777" w:rsidR="002F2433" w:rsidRDefault="002F2433">
            <w:r>
              <w:rPr>
                <w:color w:val="000000"/>
                <w:sz w:val="19"/>
              </w:rPr>
              <w:t>Quarterly Investor Newsletter</w:t>
            </w:r>
          </w:p>
        </w:tc>
        <w:tc>
          <w:tcPr>
            <w:tcW w:w="0" w:type="auto"/>
            <w:shd w:val="clear" w:color="auto" w:fill="FFFFFF"/>
            <w:tcMar>
              <w:top w:w="100" w:type="dxa"/>
              <w:left w:w="105" w:type="dxa"/>
              <w:bottom w:w="100" w:type="dxa"/>
              <w:right w:w="105" w:type="dxa"/>
            </w:tcMar>
            <w:vAlign w:val="center"/>
            <w:hideMark/>
          </w:tcPr>
          <w:p w14:paraId="5B9E8A32" w14:textId="77777777" w:rsidR="002F2433" w:rsidRDefault="002F2433">
            <w:r>
              <w:rPr>
                <w:color w:val="000000"/>
                <w:sz w:val="19"/>
              </w:rPr>
              <w:t>Blue Horizon Ventures III</w:t>
            </w:r>
          </w:p>
        </w:tc>
        <w:tc>
          <w:tcPr>
            <w:tcW w:w="0" w:type="auto"/>
            <w:shd w:val="clear" w:color="auto" w:fill="FFFFFF"/>
            <w:tcMar>
              <w:top w:w="100" w:type="dxa"/>
              <w:left w:w="105" w:type="dxa"/>
              <w:bottom w:w="100" w:type="dxa"/>
              <w:right w:w="105" w:type="dxa"/>
            </w:tcMar>
            <w:vAlign w:val="center"/>
            <w:hideMark/>
          </w:tcPr>
          <w:p w14:paraId="6C2879ED" w14:textId="77777777" w:rsidR="002F2433" w:rsidRDefault="002F2433">
            <w:r>
              <w:rPr>
                <w:color w:val="000000"/>
                <w:sz w:val="19"/>
              </w:rPr>
              <w:t>2026-05-20</w:t>
            </w:r>
          </w:p>
        </w:tc>
        <w:tc>
          <w:tcPr>
            <w:tcW w:w="0" w:type="auto"/>
            <w:shd w:val="clear" w:color="auto" w:fill="FFFFFF"/>
            <w:tcMar>
              <w:top w:w="100" w:type="dxa"/>
              <w:left w:w="105" w:type="dxa"/>
              <w:bottom w:w="100" w:type="dxa"/>
              <w:right w:w="105" w:type="dxa"/>
            </w:tcMar>
            <w:vAlign w:val="center"/>
            <w:hideMark/>
          </w:tcPr>
          <w:p w14:paraId="67DA6A2A" w14:textId="77777777" w:rsidR="002F2433" w:rsidRDefault="002F2433">
            <w:r>
              <w:rPr>
                <w:color w:val="000000"/>
                <w:sz w:val="19"/>
              </w:rPr>
              <w:t>Q1 2026 / April 2026 update</w:t>
            </w:r>
          </w:p>
        </w:tc>
        <w:tc>
          <w:tcPr>
            <w:tcW w:w="0" w:type="auto"/>
            <w:shd w:val="clear" w:color="auto" w:fill="FFFFFF"/>
            <w:tcMar>
              <w:top w:w="100" w:type="dxa"/>
              <w:left w:w="105" w:type="dxa"/>
              <w:bottom w:w="100" w:type="dxa"/>
              <w:right w:w="105" w:type="dxa"/>
            </w:tcMar>
            <w:vAlign w:val="center"/>
            <w:hideMark/>
          </w:tcPr>
          <w:p w14:paraId="4127AAD8" w14:textId="77777777" w:rsidR="002F2433" w:rsidRDefault="002F2433">
            <w:r>
              <w:rPr>
                <w:color w:val="000000"/>
                <w:sz w:val="19"/>
              </w:rPr>
              <w:t>Project-designed</w:t>
            </w:r>
          </w:p>
        </w:tc>
        <w:tc>
          <w:tcPr>
            <w:tcW w:w="0" w:type="auto"/>
            <w:shd w:val="clear" w:color="auto" w:fill="FFFFFF"/>
            <w:tcMar>
              <w:top w:w="100" w:type="dxa"/>
              <w:left w:w="105" w:type="dxa"/>
              <w:bottom w:w="100" w:type="dxa"/>
              <w:right w:w="105" w:type="dxa"/>
            </w:tcMar>
            <w:vAlign w:val="center"/>
            <w:hideMark/>
          </w:tcPr>
          <w:p w14:paraId="29D1F54A" w14:textId="77777777" w:rsidR="002F2433" w:rsidRDefault="002F2433">
            <w:r>
              <w:rPr>
                <w:color w:val="000000"/>
                <w:sz w:val="19"/>
              </w:rPr>
              <w:t>Test qualitative extraction from narrative fund reporting</w:t>
            </w:r>
          </w:p>
        </w:tc>
      </w:tr>
    </w:tbl>
    <w:p w14:paraId="2101B13B" w14:textId="77777777" w:rsidR="002F2433" w:rsidRDefault="002F2433" w:rsidP="002A4A1E">
      <w:pPr>
        <w:pStyle w:val="NormalWeb"/>
      </w:pPr>
      <w:r>
        <w:rPr>
          <w:sz w:val="24"/>
        </w:rPr>
        <w:t>The document set is intentionally small enough for a proof-of-concept but broad enough to test multiple extraction challenges. It includes structured notices, semi-structured capital statements, and narrative investor updates.</w:t>
      </w:r>
    </w:p>
    <w:p w14:paraId="58F8D98E" w14:textId="77777777" w:rsidR="002F2433" w:rsidRDefault="002F2433" w:rsidP="002F2433">
      <w:pPr>
        <w:pStyle w:val="Heading2"/>
      </w:pPr>
      <w:r>
        <w:rPr>
          <w:rFonts w:ascii="Arial" w:hAnsi="Arial"/>
        </w:rPr>
        <w:t>4.4 Extraction Objectives by Document Type</w:t>
      </w:r>
    </w:p>
    <w:p w14:paraId="5DBF1478" w14:textId="77777777" w:rsidR="002F2433" w:rsidRDefault="002F2433" w:rsidP="002F2433">
      <w:pPr>
        <w:pStyle w:val="NormalWeb"/>
      </w:pPr>
      <w:r>
        <w:rPr>
          <w:sz w:val="24"/>
        </w:rPr>
        <w:t>Each mock PDF is designed with a specific extraction objective. The extraction output should be converted into structured JSON and later validated against portfolio records.</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2101"/>
        <w:gridCol w:w="3743"/>
        <w:gridCol w:w="5018"/>
      </w:tblGrid>
      <w:tr w:rsidR="002F2433" w14:paraId="1C72B3A8"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681316A" w14:textId="77777777" w:rsidR="002F2433" w:rsidRDefault="002F2433">
            <w:pPr>
              <w:jc w:val="center"/>
              <w:rPr>
                <w:b/>
                <w:bCs/>
              </w:rPr>
            </w:pPr>
            <w:r>
              <w:rPr>
                <w:b/>
                <w:bCs/>
                <w:color w:val="000000"/>
                <w:sz w:val="19"/>
              </w:rPr>
              <w:t>Mock PDF</w:t>
            </w:r>
          </w:p>
        </w:tc>
        <w:tc>
          <w:tcPr>
            <w:tcW w:w="0" w:type="auto"/>
            <w:shd w:val="clear" w:color="auto" w:fill="D9EAF7"/>
            <w:tcMar>
              <w:top w:w="100" w:type="dxa"/>
              <w:left w:w="105" w:type="dxa"/>
              <w:bottom w:w="100" w:type="dxa"/>
              <w:right w:w="105" w:type="dxa"/>
            </w:tcMar>
            <w:vAlign w:val="center"/>
            <w:hideMark/>
          </w:tcPr>
          <w:p w14:paraId="25515F9D" w14:textId="77777777" w:rsidR="002F2433" w:rsidRDefault="002F2433">
            <w:pPr>
              <w:jc w:val="center"/>
              <w:rPr>
                <w:b/>
                <w:bCs/>
              </w:rPr>
            </w:pPr>
            <w:r>
              <w:rPr>
                <w:b/>
                <w:bCs/>
                <w:color w:val="000000"/>
                <w:sz w:val="19"/>
              </w:rPr>
              <w:t>Primary Extraction Objective</w:t>
            </w:r>
          </w:p>
        </w:tc>
        <w:tc>
          <w:tcPr>
            <w:tcW w:w="0" w:type="auto"/>
            <w:shd w:val="clear" w:color="auto" w:fill="D9EAF7"/>
            <w:tcMar>
              <w:top w:w="100" w:type="dxa"/>
              <w:left w:w="105" w:type="dxa"/>
              <w:bottom w:w="100" w:type="dxa"/>
              <w:right w:w="105" w:type="dxa"/>
            </w:tcMar>
            <w:vAlign w:val="center"/>
            <w:hideMark/>
          </w:tcPr>
          <w:p w14:paraId="3DCDD50A" w14:textId="77777777" w:rsidR="002F2433" w:rsidRDefault="002F2433">
            <w:pPr>
              <w:jc w:val="center"/>
              <w:rPr>
                <w:b/>
                <w:bCs/>
              </w:rPr>
            </w:pPr>
            <w:r>
              <w:rPr>
                <w:b/>
                <w:bCs/>
                <w:color w:val="000000"/>
                <w:sz w:val="19"/>
              </w:rPr>
              <w:t>Example Structured Output</w:t>
            </w:r>
          </w:p>
        </w:tc>
      </w:tr>
      <w:tr w:rsidR="002F2433" w14:paraId="0B78AB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62F165" w14:textId="77777777" w:rsidR="002F2433" w:rsidRDefault="002F2433">
            <w:r>
              <w:rPr>
                <w:color w:val="000000"/>
                <w:sz w:val="19"/>
              </w:rPr>
              <w:t>Capital Call Letter</w:t>
            </w:r>
          </w:p>
        </w:tc>
        <w:tc>
          <w:tcPr>
            <w:tcW w:w="0" w:type="auto"/>
            <w:shd w:val="clear" w:color="auto" w:fill="FFFFFF"/>
            <w:tcMar>
              <w:top w:w="100" w:type="dxa"/>
              <w:left w:w="105" w:type="dxa"/>
              <w:bottom w:w="100" w:type="dxa"/>
              <w:right w:w="105" w:type="dxa"/>
            </w:tcMar>
            <w:vAlign w:val="center"/>
            <w:hideMark/>
          </w:tcPr>
          <w:p w14:paraId="29D3A6D4" w14:textId="77777777" w:rsidR="002F2433" w:rsidRDefault="002F2433">
            <w:r>
              <w:rPr>
                <w:color w:val="000000"/>
                <w:sz w:val="19"/>
              </w:rPr>
              <w:t>Extract funding obligation and due date</w:t>
            </w:r>
          </w:p>
        </w:tc>
        <w:tc>
          <w:tcPr>
            <w:tcW w:w="0" w:type="auto"/>
            <w:shd w:val="clear" w:color="auto" w:fill="FFFFFF"/>
            <w:tcMar>
              <w:top w:w="100" w:type="dxa"/>
              <w:left w:w="105" w:type="dxa"/>
              <w:bottom w:w="100" w:type="dxa"/>
              <w:right w:w="105" w:type="dxa"/>
            </w:tcMar>
            <w:vAlign w:val="center"/>
            <w:hideMark/>
          </w:tcPr>
          <w:p w14:paraId="37B3E583" w14:textId="77777777" w:rsidR="002F2433" w:rsidRDefault="002F2433">
            <w:r>
              <w:rPr>
                <w:color w:val="000000"/>
                <w:sz w:val="19"/>
              </w:rPr>
              <w:t>fund name, investor entity, notice date, due date, amount due, currency, transaction components</w:t>
            </w:r>
          </w:p>
        </w:tc>
      </w:tr>
      <w:tr w:rsidR="002F2433" w14:paraId="719372E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F67AA8A" w14:textId="77777777" w:rsidR="002F2433" w:rsidRDefault="002F2433">
            <w:r>
              <w:rPr>
                <w:color w:val="000000"/>
                <w:sz w:val="19"/>
              </w:rPr>
              <w:t>Capital Call Letter with Exception</w:t>
            </w:r>
          </w:p>
        </w:tc>
        <w:tc>
          <w:tcPr>
            <w:tcW w:w="0" w:type="auto"/>
            <w:shd w:val="clear" w:color="auto" w:fill="FFFFFF"/>
            <w:tcMar>
              <w:top w:w="100" w:type="dxa"/>
              <w:left w:w="105" w:type="dxa"/>
              <w:bottom w:w="100" w:type="dxa"/>
              <w:right w:w="105" w:type="dxa"/>
            </w:tcMar>
            <w:vAlign w:val="center"/>
            <w:hideMark/>
          </w:tcPr>
          <w:p w14:paraId="37064002" w14:textId="77777777" w:rsidR="002F2433" w:rsidRDefault="002F2433">
            <w:r>
              <w:rPr>
                <w:color w:val="000000"/>
                <w:sz w:val="19"/>
              </w:rPr>
              <w:t>Extract capital call fields while handling messy naming and missing values</w:t>
            </w:r>
          </w:p>
        </w:tc>
        <w:tc>
          <w:tcPr>
            <w:tcW w:w="0" w:type="auto"/>
            <w:shd w:val="clear" w:color="auto" w:fill="FFFFFF"/>
            <w:tcMar>
              <w:top w:w="100" w:type="dxa"/>
              <w:left w:w="105" w:type="dxa"/>
              <w:bottom w:w="100" w:type="dxa"/>
              <w:right w:w="105" w:type="dxa"/>
            </w:tcMar>
            <w:vAlign w:val="center"/>
            <w:hideMark/>
          </w:tcPr>
          <w:p w14:paraId="05D25855" w14:textId="77777777" w:rsidR="002F2433" w:rsidRDefault="002F2433">
            <w:r>
              <w:rPr>
                <w:color w:val="000000"/>
                <w:sz w:val="19"/>
              </w:rPr>
              <w:t>raw fund name, mapped fund name, due date, amount due, missing unfunded commitment flag</w:t>
            </w:r>
          </w:p>
        </w:tc>
      </w:tr>
      <w:tr w:rsidR="002F2433" w14:paraId="7E6626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0AC8A7F" w14:textId="77777777" w:rsidR="002F2433" w:rsidRDefault="002F2433">
            <w:r>
              <w:rPr>
                <w:color w:val="000000"/>
                <w:sz w:val="19"/>
              </w:rPr>
              <w:t>Distribution Letter</w:t>
            </w:r>
          </w:p>
        </w:tc>
        <w:tc>
          <w:tcPr>
            <w:tcW w:w="0" w:type="auto"/>
            <w:shd w:val="clear" w:color="auto" w:fill="FFFFFF"/>
            <w:tcMar>
              <w:top w:w="100" w:type="dxa"/>
              <w:left w:w="105" w:type="dxa"/>
              <w:bottom w:w="100" w:type="dxa"/>
              <w:right w:w="105" w:type="dxa"/>
            </w:tcMar>
            <w:vAlign w:val="center"/>
            <w:hideMark/>
          </w:tcPr>
          <w:p w14:paraId="3649FDFB" w14:textId="77777777" w:rsidR="002F2433" w:rsidRDefault="002F2433">
            <w:r>
              <w:rPr>
                <w:color w:val="000000"/>
                <w:sz w:val="19"/>
              </w:rPr>
              <w:t>Extract cash inflow and distribution components</w:t>
            </w:r>
          </w:p>
        </w:tc>
        <w:tc>
          <w:tcPr>
            <w:tcW w:w="0" w:type="auto"/>
            <w:shd w:val="clear" w:color="auto" w:fill="FFFFFF"/>
            <w:tcMar>
              <w:top w:w="100" w:type="dxa"/>
              <w:left w:w="105" w:type="dxa"/>
              <w:bottom w:w="100" w:type="dxa"/>
              <w:right w:w="105" w:type="dxa"/>
            </w:tcMar>
            <w:vAlign w:val="center"/>
            <w:hideMark/>
          </w:tcPr>
          <w:p w14:paraId="4FA169D6" w14:textId="77777777" w:rsidR="002F2433" w:rsidRDefault="002F2433">
            <w:r>
              <w:rPr>
                <w:color w:val="000000"/>
                <w:sz w:val="19"/>
              </w:rPr>
              <w:t>gross distribution, net distribution, return of capital, income, realized gain, payment date</w:t>
            </w:r>
          </w:p>
        </w:tc>
      </w:tr>
      <w:tr w:rsidR="002F2433" w14:paraId="6EAE7F4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FEF8F43" w14:textId="77777777" w:rsidR="002F2433" w:rsidRDefault="002F2433">
            <w:r>
              <w:rPr>
                <w:color w:val="000000"/>
                <w:sz w:val="19"/>
              </w:rPr>
              <w:t>Capital Statement / PCAP</w:t>
            </w:r>
          </w:p>
        </w:tc>
        <w:tc>
          <w:tcPr>
            <w:tcW w:w="0" w:type="auto"/>
            <w:shd w:val="clear" w:color="auto" w:fill="FFFFFF"/>
            <w:tcMar>
              <w:top w:w="100" w:type="dxa"/>
              <w:left w:w="105" w:type="dxa"/>
              <w:bottom w:w="100" w:type="dxa"/>
              <w:right w:w="105" w:type="dxa"/>
            </w:tcMar>
            <w:vAlign w:val="center"/>
            <w:hideMark/>
          </w:tcPr>
          <w:p w14:paraId="1457D648" w14:textId="77777777" w:rsidR="002F2433" w:rsidRDefault="002F2433">
            <w:r>
              <w:rPr>
                <w:color w:val="000000"/>
                <w:sz w:val="19"/>
              </w:rPr>
              <w:t>Extract capital account and NAV movement</w:t>
            </w:r>
          </w:p>
        </w:tc>
        <w:tc>
          <w:tcPr>
            <w:tcW w:w="0" w:type="auto"/>
            <w:shd w:val="clear" w:color="auto" w:fill="FFFFFF"/>
            <w:tcMar>
              <w:top w:w="100" w:type="dxa"/>
              <w:left w:w="105" w:type="dxa"/>
              <w:bottom w:w="100" w:type="dxa"/>
              <w:right w:w="105" w:type="dxa"/>
            </w:tcMar>
            <w:vAlign w:val="center"/>
            <w:hideMark/>
          </w:tcPr>
          <w:p w14:paraId="08C452F0" w14:textId="77777777" w:rsidR="002F2433" w:rsidRDefault="002F2433">
            <w:r>
              <w:rPr>
                <w:color w:val="000000"/>
                <w:sz w:val="19"/>
              </w:rPr>
              <w:t>beginning NAV, contributions, distributions, fees, gains, ending NAV, paid-in capital, unfunded commitment</w:t>
            </w:r>
          </w:p>
        </w:tc>
      </w:tr>
      <w:tr w:rsidR="002F2433" w14:paraId="352969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569D11" w14:textId="77777777" w:rsidR="002F2433" w:rsidRDefault="002F2433">
            <w:r>
              <w:rPr>
                <w:color w:val="000000"/>
                <w:sz w:val="19"/>
              </w:rPr>
              <w:t xml:space="preserve">Capital Statement with </w:t>
            </w:r>
            <w:r>
              <w:rPr>
                <w:color w:val="000000"/>
                <w:sz w:val="19"/>
              </w:rPr>
              <w:lastRenderedPageBreak/>
              <w:t>Exception</w:t>
            </w:r>
          </w:p>
        </w:tc>
        <w:tc>
          <w:tcPr>
            <w:tcW w:w="0" w:type="auto"/>
            <w:shd w:val="clear" w:color="auto" w:fill="FFFFFF"/>
            <w:tcMar>
              <w:top w:w="100" w:type="dxa"/>
              <w:left w:w="105" w:type="dxa"/>
              <w:bottom w:w="100" w:type="dxa"/>
              <w:right w:w="105" w:type="dxa"/>
            </w:tcMar>
            <w:vAlign w:val="center"/>
            <w:hideMark/>
          </w:tcPr>
          <w:p w14:paraId="10D464D4" w14:textId="77777777" w:rsidR="002F2433" w:rsidRDefault="002F2433">
            <w:r>
              <w:rPr>
                <w:color w:val="000000"/>
                <w:sz w:val="19"/>
              </w:rPr>
              <w:lastRenderedPageBreak/>
              <w:t xml:space="preserve">Extract capital account data and detect </w:t>
            </w:r>
            <w:r>
              <w:rPr>
                <w:color w:val="000000"/>
                <w:sz w:val="19"/>
              </w:rPr>
              <w:lastRenderedPageBreak/>
              <w:t>inconsistencies</w:t>
            </w:r>
          </w:p>
        </w:tc>
        <w:tc>
          <w:tcPr>
            <w:tcW w:w="0" w:type="auto"/>
            <w:shd w:val="clear" w:color="auto" w:fill="FFFFFF"/>
            <w:tcMar>
              <w:top w:w="100" w:type="dxa"/>
              <w:left w:w="105" w:type="dxa"/>
              <w:bottom w:w="100" w:type="dxa"/>
              <w:right w:w="105" w:type="dxa"/>
            </w:tcMar>
            <w:vAlign w:val="center"/>
            <w:hideMark/>
          </w:tcPr>
          <w:p w14:paraId="3F2CCFB7" w14:textId="77777777" w:rsidR="002F2433" w:rsidRDefault="002F2433">
            <w:r>
              <w:rPr>
                <w:color w:val="000000"/>
                <w:sz w:val="19"/>
              </w:rPr>
              <w:lastRenderedPageBreak/>
              <w:t xml:space="preserve">NAV roll-forward variance, commitment mismatch flag, </w:t>
            </w:r>
            <w:r>
              <w:rPr>
                <w:color w:val="000000"/>
                <w:sz w:val="19"/>
              </w:rPr>
              <w:lastRenderedPageBreak/>
              <w:t>review status</w:t>
            </w:r>
          </w:p>
        </w:tc>
      </w:tr>
      <w:tr w:rsidR="002F2433" w14:paraId="64D30AA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CFEB1B" w14:textId="77777777" w:rsidR="002F2433" w:rsidRDefault="002F2433">
            <w:r>
              <w:rPr>
                <w:color w:val="000000"/>
                <w:sz w:val="19"/>
              </w:rPr>
              <w:t>Quarterly Investor Newsletter</w:t>
            </w:r>
          </w:p>
        </w:tc>
        <w:tc>
          <w:tcPr>
            <w:tcW w:w="0" w:type="auto"/>
            <w:shd w:val="clear" w:color="auto" w:fill="FFFFFF"/>
            <w:tcMar>
              <w:top w:w="100" w:type="dxa"/>
              <w:left w:w="105" w:type="dxa"/>
              <w:bottom w:w="100" w:type="dxa"/>
              <w:right w:w="105" w:type="dxa"/>
            </w:tcMar>
            <w:vAlign w:val="center"/>
            <w:hideMark/>
          </w:tcPr>
          <w:p w14:paraId="137B22C8" w14:textId="77777777" w:rsidR="002F2433" w:rsidRDefault="002F2433">
            <w:r>
              <w:rPr>
                <w:color w:val="000000"/>
                <w:sz w:val="19"/>
              </w:rPr>
              <w:t>Extract qualitative fund updates</w:t>
            </w:r>
          </w:p>
        </w:tc>
        <w:tc>
          <w:tcPr>
            <w:tcW w:w="0" w:type="auto"/>
            <w:shd w:val="clear" w:color="auto" w:fill="FFFFFF"/>
            <w:tcMar>
              <w:top w:w="100" w:type="dxa"/>
              <w:left w:w="105" w:type="dxa"/>
              <w:bottom w:w="100" w:type="dxa"/>
              <w:right w:w="105" w:type="dxa"/>
            </w:tcMar>
            <w:vAlign w:val="center"/>
            <w:hideMark/>
          </w:tcPr>
          <w:p w14:paraId="75F2206E" w14:textId="77777777" w:rsidR="002F2433" w:rsidRDefault="002F2433">
            <w:r>
              <w:rPr>
                <w:color w:val="000000"/>
                <w:sz w:val="19"/>
              </w:rPr>
              <w:t>market themes, new investments, risk notes, valuation commentary, expected capital activity</w:t>
            </w:r>
          </w:p>
        </w:tc>
      </w:tr>
    </w:tbl>
    <w:p w14:paraId="0F4BA745" w14:textId="77777777" w:rsidR="002F2433" w:rsidRDefault="002F2433" w:rsidP="002A4A1E">
      <w:pPr>
        <w:pStyle w:val="NormalWeb"/>
      </w:pPr>
      <w:r>
        <w:rPr>
          <w:sz w:val="24"/>
        </w:rPr>
        <w:t>The extraction layer should not only identify text values but also map each extracted value to the project’s data model. For example, a capital call amount should update the capital call calendar and liquidity forecast, while a capital statement should update private market NAV and commitment records.</w:t>
      </w:r>
    </w:p>
    <w:p w14:paraId="645CC14E" w14:textId="77777777" w:rsidR="002F2433" w:rsidRDefault="002F2433" w:rsidP="002F2433">
      <w:pPr>
        <w:pStyle w:val="Heading2"/>
      </w:pPr>
      <w:r>
        <w:rPr>
          <w:rFonts w:ascii="Arial" w:hAnsi="Arial"/>
        </w:rPr>
        <w:t>4.5 Validation Design</w:t>
      </w:r>
    </w:p>
    <w:p w14:paraId="5570B2DD" w14:textId="77777777" w:rsidR="002F2433" w:rsidRDefault="002F2433" w:rsidP="002F2433">
      <w:pPr>
        <w:pStyle w:val="NormalWeb"/>
      </w:pPr>
      <w:r>
        <w:rPr>
          <w:sz w:val="24"/>
        </w:rPr>
        <w:t>The mock documents are designed to support validation testing. This is important because the project is not only testing whether AI can read a PDF, but also whether extracted information can be checked before it affects the dashboard.</w:t>
      </w:r>
    </w:p>
    <w:tbl>
      <w:tblPr>
        <w:tblStyle w:val="TableGrid"/>
        <w:tblW w:w="0" w:type="auto"/>
        <w:jc w:val="center"/>
        <w:tblCellSpacing w:w="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CellMar>
          <w:top w:w="15" w:type="dxa"/>
          <w:left w:w="15" w:type="dxa"/>
          <w:bottom w:w="15" w:type="dxa"/>
          <w:right w:w="15" w:type="dxa"/>
        </w:tblCellMar>
        <w:tblLook w:val="0620" w:firstRow="1" w:lastRow="0" w:firstColumn="0" w:lastColumn="0" w:noHBand="1" w:noVBand="1"/>
      </w:tblPr>
      <w:tblGrid>
        <w:gridCol w:w="1946"/>
        <w:gridCol w:w="2164"/>
        <w:gridCol w:w="4346"/>
        <w:gridCol w:w="2406"/>
      </w:tblGrid>
      <w:tr w:rsidR="002F2433" w14:paraId="5D528B25"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5F8AA6D8" w14:textId="77777777" w:rsidR="002F2433" w:rsidRDefault="002F2433">
            <w:pPr>
              <w:jc w:val="center"/>
              <w:rPr>
                <w:b/>
                <w:bCs/>
              </w:rPr>
            </w:pPr>
            <w:r>
              <w:rPr>
                <w:b/>
                <w:bCs/>
                <w:color w:val="000000"/>
                <w:sz w:val="19"/>
              </w:rPr>
              <w:t>Validation Check</w:t>
            </w:r>
          </w:p>
        </w:tc>
        <w:tc>
          <w:tcPr>
            <w:tcW w:w="0" w:type="auto"/>
            <w:shd w:val="clear" w:color="auto" w:fill="D9EAF7"/>
            <w:tcMar>
              <w:top w:w="100" w:type="dxa"/>
              <w:left w:w="105" w:type="dxa"/>
              <w:bottom w:w="100" w:type="dxa"/>
              <w:right w:w="105" w:type="dxa"/>
            </w:tcMar>
            <w:vAlign w:val="center"/>
            <w:hideMark/>
          </w:tcPr>
          <w:p w14:paraId="652F8F26" w14:textId="77777777" w:rsidR="002F2433" w:rsidRDefault="002F2433">
            <w:pPr>
              <w:jc w:val="center"/>
              <w:rPr>
                <w:b/>
                <w:bCs/>
              </w:rPr>
            </w:pPr>
            <w:r>
              <w:rPr>
                <w:b/>
                <w:bCs/>
                <w:color w:val="000000"/>
                <w:sz w:val="19"/>
              </w:rPr>
              <w:t>Applies To</w:t>
            </w:r>
          </w:p>
        </w:tc>
        <w:tc>
          <w:tcPr>
            <w:tcW w:w="0" w:type="auto"/>
            <w:shd w:val="clear" w:color="auto" w:fill="D9EAF7"/>
            <w:tcMar>
              <w:top w:w="100" w:type="dxa"/>
              <w:left w:w="105" w:type="dxa"/>
              <w:bottom w:w="100" w:type="dxa"/>
              <w:right w:w="105" w:type="dxa"/>
            </w:tcMar>
            <w:vAlign w:val="center"/>
            <w:hideMark/>
          </w:tcPr>
          <w:p w14:paraId="6C93871C" w14:textId="77777777" w:rsidR="002F2433" w:rsidRDefault="002F2433">
            <w:pPr>
              <w:jc w:val="center"/>
              <w:rPr>
                <w:b/>
                <w:bCs/>
              </w:rPr>
            </w:pPr>
            <w:r>
              <w:rPr>
                <w:b/>
                <w:bCs/>
                <w:color w:val="000000"/>
                <w:sz w:val="19"/>
              </w:rPr>
              <w:t>Logic</w:t>
            </w:r>
          </w:p>
        </w:tc>
        <w:tc>
          <w:tcPr>
            <w:tcW w:w="0" w:type="auto"/>
            <w:shd w:val="clear" w:color="auto" w:fill="D9EAF7"/>
            <w:tcMar>
              <w:top w:w="100" w:type="dxa"/>
              <w:left w:w="105" w:type="dxa"/>
              <w:bottom w:w="100" w:type="dxa"/>
              <w:right w:w="105" w:type="dxa"/>
            </w:tcMar>
            <w:vAlign w:val="center"/>
            <w:hideMark/>
          </w:tcPr>
          <w:p w14:paraId="72B322FF" w14:textId="77777777" w:rsidR="002F2433" w:rsidRDefault="002F2433">
            <w:pPr>
              <w:jc w:val="center"/>
              <w:rPr>
                <w:b/>
                <w:bCs/>
              </w:rPr>
            </w:pPr>
            <w:r>
              <w:rPr>
                <w:b/>
                <w:bCs/>
                <w:color w:val="000000"/>
                <w:sz w:val="19"/>
              </w:rPr>
              <w:t>Expected Use</w:t>
            </w:r>
          </w:p>
        </w:tc>
      </w:tr>
      <w:tr w:rsidR="002F2433" w14:paraId="7690EA8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2B0E3AE" w14:textId="77777777" w:rsidR="002F2433" w:rsidRDefault="002F2433">
            <w:r>
              <w:rPr>
                <w:color w:val="000000"/>
                <w:sz w:val="19"/>
              </w:rPr>
              <w:t>Fund master match</w:t>
            </w:r>
          </w:p>
        </w:tc>
        <w:tc>
          <w:tcPr>
            <w:tcW w:w="0" w:type="auto"/>
            <w:shd w:val="clear" w:color="auto" w:fill="FFFFFF"/>
            <w:tcMar>
              <w:top w:w="100" w:type="dxa"/>
              <w:left w:w="105" w:type="dxa"/>
              <w:bottom w:w="100" w:type="dxa"/>
              <w:right w:w="105" w:type="dxa"/>
            </w:tcMar>
            <w:vAlign w:val="center"/>
            <w:hideMark/>
          </w:tcPr>
          <w:p w14:paraId="171B70DE"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12C5A248" w14:textId="77777777" w:rsidR="002F2433" w:rsidRDefault="002F2433">
            <w:r>
              <w:rPr>
                <w:color w:val="000000"/>
                <w:sz w:val="19"/>
              </w:rPr>
              <w:t>Extracted fund name must match or fuzzy-match a fund in the fund master</w:t>
            </w:r>
          </w:p>
        </w:tc>
        <w:tc>
          <w:tcPr>
            <w:tcW w:w="0" w:type="auto"/>
            <w:shd w:val="clear" w:color="auto" w:fill="FFFFFF"/>
            <w:tcMar>
              <w:top w:w="100" w:type="dxa"/>
              <w:left w:w="105" w:type="dxa"/>
              <w:bottom w:w="100" w:type="dxa"/>
              <w:right w:w="105" w:type="dxa"/>
            </w:tcMar>
            <w:vAlign w:val="center"/>
            <w:hideMark/>
          </w:tcPr>
          <w:p w14:paraId="42EF6F62" w14:textId="77777777" w:rsidR="002F2433" w:rsidRDefault="002F2433">
            <w:r>
              <w:rPr>
                <w:color w:val="000000"/>
                <w:sz w:val="19"/>
              </w:rPr>
              <w:t>Prevent incorrect fund mapping</w:t>
            </w:r>
          </w:p>
        </w:tc>
      </w:tr>
      <w:tr w:rsidR="002F2433" w14:paraId="344228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0821469" w14:textId="77777777" w:rsidR="002F2433" w:rsidRDefault="002F2433">
            <w:r>
              <w:rPr>
                <w:color w:val="000000"/>
                <w:sz w:val="19"/>
              </w:rPr>
              <w:t>Required field completeness</w:t>
            </w:r>
          </w:p>
        </w:tc>
        <w:tc>
          <w:tcPr>
            <w:tcW w:w="0" w:type="auto"/>
            <w:shd w:val="clear" w:color="auto" w:fill="FFFFFF"/>
            <w:tcMar>
              <w:top w:w="100" w:type="dxa"/>
              <w:left w:w="105" w:type="dxa"/>
              <w:bottom w:w="100" w:type="dxa"/>
              <w:right w:w="105" w:type="dxa"/>
            </w:tcMar>
            <w:vAlign w:val="center"/>
            <w:hideMark/>
          </w:tcPr>
          <w:p w14:paraId="0955D20B"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3C67B7EE" w14:textId="77777777" w:rsidR="002F2433" w:rsidRDefault="002F2433">
            <w:r>
              <w:rPr>
                <w:color w:val="000000"/>
                <w:sz w:val="19"/>
              </w:rPr>
              <w:t>Required fields such as fund name, date, amount, and currency must be present</w:t>
            </w:r>
          </w:p>
        </w:tc>
        <w:tc>
          <w:tcPr>
            <w:tcW w:w="0" w:type="auto"/>
            <w:shd w:val="clear" w:color="auto" w:fill="FFFFFF"/>
            <w:tcMar>
              <w:top w:w="100" w:type="dxa"/>
              <w:left w:w="105" w:type="dxa"/>
              <w:bottom w:w="100" w:type="dxa"/>
              <w:right w:w="105" w:type="dxa"/>
            </w:tcMar>
            <w:vAlign w:val="center"/>
            <w:hideMark/>
          </w:tcPr>
          <w:p w14:paraId="7207E752" w14:textId="77777777" w:rsidR="002F2433" w:rsidRDefault="002F2433">
            <w:r>
              <w:rPr>
                <w:color w:val="000000"/>
                <w:sz w:val="19"/>
              </w:rPr>
              <w:t>Detect incomplete extraction</w:t>
            </w:r>
          </w:p>
        </w:tc>
      </w:tr>
      <w:tr w:rsidR="002F2433" w14:paraId="731A555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9067C51" w14:textId="77777777" w:rsidR="002F2433" w:rsidRDefault="002F2433">
            <w:r>
              <w:rPr>
                <w:color w:val="000000"/>
                <w:sz w:val="19"/>
              </w:rPr>
              <w:t>Due date urgency</w:t>
            </w:r>
          </w:p>
        </w:tc>
        <w:tc>
          <w:tcPr>
            <w:tcW w:w="0" w:type="auto"/>
            <w:shd w:val="clear" w:color="auto" w:fill="FFFFFF"/>
            <w:tcMar>
              <w:top w:w="100" w:type="dxa"/>
              <w:left w:w="105" w:type="dxa"/>
              <w:bottom w:w="100" w:type="dxa"/>
              <w:right w:w="105" w:type="dxa"/>
            </w:tcMar>
            <w:vAlign w:val="center"/>
            <w:hideMark/>
          </w:tcPr>
          <w:p w14:paraId="38DC1F38" w14:textId="77777777" w:rsidR="002F2433" w:rsidRDefault="002F2433">
            <w:r>
              <w:rPr>
                <w:color w:val="000000"/>
                <w:sz w:val="19"/>
              </w:rPr>
              <w:t>Capital call letters</w:t>
            </w:r>
          </w:p>
        </w:tc>
        <w:tc>
          <w:tcPr>
            <w:tcW w:w="0" w:type="auto"/>
            <w:shd w:val="clear" w:color="auto" w:fill="FFFFFF"/>
            <w:tcMar>
              <w:top w:w="100" w:type="dxa"/>
              <w:left w:w="105" w:type="dxa"/>
              <w:bottom w:w="100" w:type="dxa"/>
              <w:right w:w="105" w:type="dxa"/>
            </w:tcMar>
            <w:vAlign w:val="center"/>
            <w:hideMark/>
          </w:tcPr>
          <w:p w14:paraId="6FA6817B" w14:textId="77777777" w:rsidR="002F2433" w:rsidRDefault="002F2433">
            <w:r>
              <w:rPr>
                <w:color w:val="000000"/>
                <w:sz w:val="19"/>
              </w:rPr>
              <w:t>Flag capital calls due within 7 or 14 days</w:t>
            </w:r>
          </w:p>
        </w:tc>
        <w:tc>
          <w:tcPr>
            <w:tcW w:w="0" w:type="auto"/>
            <w:shd w:val="clear" w:color="auto" w:fill="FFFFFF"/>
            <w:tcMar>
              <w:top w:w="100" w:type="dxa"/>
              <w:left w:w="105" w:type="dxa"/>
              <w:bottom w:w="100" w:type="dxa"/>
              <w:right w:w="105" w:type="dxa"/>
            </w:tcMar>
            <w:vAlign w:val="center"/>
            <w:hideMark/>
          </w:tcPr>
          <w:p w14:paraId="61C2393A" w14:textId="77777777" w:rsidR="002F2433" w:rsidRDefault="002F2433">
            <w:r>
              <w:rPr>
                <w:color w:val="000000"/>
                <w:sz w:val="19"/>
              </w:rPr>
              <w:t>Support liquidity monitoring</w:t>
            </w:r>
          </w:p>
        </w:tc>
      </w:tr>
      <w:tr w:rsidR="002F2433" w14:paraId="2F34FA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448BA54" w14:textId="77777777" w:rsidR="002F2433" w:rsidRDefault="002F2433">
            <w:r>
              <w:rPr>
                <w:color w:val="000000"/>
                <w:sz w:val="19"/>
              </w:rPr>
              <w:t>Cash sufficiency</w:t>
            </w:r>
          </w:p>
        </w:tc>
        <w:tc>
          <w:tcPr>
            <w:tcW w:w="0" w:type="auto"/>
            <w:shd w:val="clear" w:color="auto" w:fill="FFFFFF"/>
            <w:tcMar>
              <w:top w:w="100" w:type="dxa"/>
              <w:left w:w="105" w:type="dxa"/>
              <w:bottom w:w="100" w:type="dxa"/>
              <w:right w:w="105" w:type="dxa"/>
            </w:tcMar>
            <w:vAlign w:val="center"/>
            <w:hideMark/>
          </w:tcPr>
          <w:p w14:paraId="05210C8C" w14:textId="77777777" w:rsidR="002F2433" w:rsidRDefault="002F2433">
            <w:r>
              <w:rPr>
                <w:color w:val="000000"/>
                <w:sz w:val="19"/>
              </w:rPr>
              <w:t>Capital call letters</w:t>
            </w:r>
          </w:p>
        </w:tc>
        <w:tc>
          <w:tcPr>
            <w:tcW w:w="0" w:type="auto"/>
            <w:shd w:val="clear" w:color="auto" w:fill="FFFFFF"/>
            <w:tcMar>
              <w:top w:w="100" w:type="dxa"/>
              <w:left w:w="105" w:type="dxa"/>
              <w:bottom w:w="100" w:type="dxa"/>
              <w:right w:w="105" w:type="dxa"/>
            </w:tcMar>
            <w:vAlign w:val="center"/>
            <w:hideMark/>
          </w:tcPr>
          <w:p w14:paraId="5FEB1D24" w14:textId="77777777" w:rsidR="002F2433" w:rsidRDefault="002F2433">
            <w:r>
              <w:rPr>
                <w:color w:val="000000"/>
                <w:sz w:val="19"/>
              </w:rPr>
              <w:t>Compare amount due with available cash for the related entity</w:t>
            </w:r>
          </w:p>
        </w:tc>
        <w:tc>
          <w:tcPr>
            <w:tcW w:w="0" w:type="auto"/>
            <w:shd w:val="clear" w:color="auto" w:fill="FFFFFF"/>
            <w:tcMar>
              <w:top w:w="100" w:type="dxa"/>
              <w:left w:w="105" w:type="dxa"/>
              <w:bottom w:w="100" w:type="dxa"/>
              <w:right w:w="105" w:type="dxa"/>
            </w:tcMar>
            <w:vAlign w:val="center"/>
            <w:hideMark/>
          </w:tcPr>
          <w:p w14:paraId="59C9D674" w14:textId="77777777" w:rsidR="002F2433" w:rsidRDefault="002F2433">
            <w:r>
              <w:rPr>
                <w:color w:val="000000"/>
                <w:sz w:val="19"/>
              </w:rPr>
              <w:t>Detect potential liquidity shortfall</w:t>
            </w:r>
          </w:p>
        </w:tc>
      </w:tr>
      <w:tr w:rsidR="002F2433" w14:paraId="49C71C2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E8C422D" w14:textId="77777777" w:rsidR="002F2433" w:rsidRDefault="002F2433">
            <w:r>
              <w:rPr>
                <w:color w:val="000000"/>
                <w:sz w:val="19"/>
              </w:rPr>
              <w:t>Commitment consistency</w:t>
            </w:r>
          </w:p>
        </w:tc>
        <w:tc>
          <w:tcPr>
            <w:tcW w:w="0" w:type="auto"/>
            <w:shd w:val="clear" w:color="auto" w:fill="FFFFFF"/>
            <w:tcMar>
              <w:top w:w="100" w:type="dxa"/>
              <w:left w:w="105" w:type="dxa"/>
              <w:bottom w:w="100" w:type="dxa"/>
              <w:right w:w="105" w:type="dxa"/>
            </w:tcMar>
            <w:vAlign w:val="center"/>
            <w:hideMark/>
          </w:tcPr>
          <w:p w14:paraId="05D38288" w14:textId="77777777" w:rsidR="002F2433" w:rsidRDefault="002F2433">
            <w:r>
              <w:rPr>
                <w:color w:val="000000"/>
                <w:sz w:val="19"/>
              </w:rPr>
              <w:t>Capital calls and capital statements</w:t>
            </w:r>
          </w:p>
        </w:tc>
        <w:tc>
          <w:tcPr>
            <w:tcW w:w="0" w:type="auto"/>
            <w:shd w:val="clear" w:color="auto" w:fill="FFFFFF"/>
            <w:tcMar>
              <w:top w:w="100" w:type="dxa"/>
              <w:left w:w="105" w:type="dxa"/>
              <w:bottom w:w="100" w:type="dxa"/>
              <w:right w:w="105" w:type="dxa"/>
            </w:tcMar>
            <w:vAlign w:val="center"/>
            <w:hideMark/>
          </w:tcPr>
          <w:p w14:paraId="1E434824" w14:textId="77777777" w:rsidR="002F2433" w:rsidRDefault="002F2433">
            <w:r>
              <w:rPr>
                <w:color w:val="000000"/>
                <w:sz w:val="19"/>
              </w:rPr>
              <w:t>Paid-in capital plus unfunded commitment should approximately equal total commitment</w:t>
            </w:r>
          </w:p>
        </w:tc>
        <w:tc>
          <w:tcPr>
            <w:tcW w:w="0" w:type="auto"/>
            <w:shd w:val="clear" w:color="auto" w:fill="FFFFFF"/>
            <w:tcMar>
              <w:top w:w="100" w:type="dxa"/>
              <w:left w:w="105" w:type="dxa"/>
              <w:bottom w:w="100" w:type="dxa"/>
              <w:right w:w="105" w:type="dxa"/>
            </w:tcMar>
            <w:vAlign w:val="center"/>
            <w:hideMark/>
          </w:tcPr>
          <w:p w14:paraId="1633516A" w14:textId="77777777" w:rsidR="002F2433" w:rsidRDefault="002F2433">
            <w:r>
              <w:rPr>
                <w:color w:val="000000"/>
                <w:sz w:val="19"/>
              </w:rPr>
              <w:t>Detect commitment record errors</w:t>
            </w:r>
          </w:p>
        </w:tc>
      </w:tr>
      <w:tr w:rsidR="002F2433" w14:paraId="489102C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69023C3" w14:textId="77777777" w:rsidR="002F2433" w:rsidRDefault="002F2433">
            <w:r>
              <w:rPr>
                <w:color w:val="000000"/>
                <w:sz w:val="19"/>
              </w:rPr>
              <w:t>NAV roll-forward check</w:t>
            </w:r>
          </w:p>
        </w:tc>
        <w:tc>
          <w:tcPr>
            <w:tcW w:w="0" w:type="auto"/>
            <w:shd w:val="clear" w:color="auto" w:fill="FFFFFF"/>
            <w:tcMar>
              <w:top w:w="100" w:type="dxa"/>
              <w:left w:w="105" w:type="dxa"/>
              <w:bottom w:w="100" w:type="dxa"/>
              <w:right w:w="105" w:type="dxa"/>
            </w:tcMar>
            <w:vAlign w:val="center"/>
            <w:hideMark/>
          </w:tcPr>
          <w:p w14:paraId="12B8EC00" w14:textId="77777777" w:rsidR="002F2433" w:rsidRDefault="002F2433">
            <w:r>
              <w:rPr>
                <w:color w:val="000000"/>
                <w:sz w:val="19"/>
              </w:rPr>
              <w:t>Capital statements</w:t>
            </w:r>
          </w:p>
        </w:tc>
        <w:tc>
          <w:tcPr>
            <w:tcW w:w="0" w:type="auto"/>
            <w:shd w:val="clear" w:color="auto" w:fill="FFFFFF"/>
            <w:tcMar>
              <w:top w:w="100" w:type="dxa"/>
              <w:left w:w="105" w:type="dxa"/>
              <w:bottom w:w="100" w:type="dxa"/>
              <w:right w:w="105" w:type="dxa"/>
            </w:tcMar>
            <w:vAlign w:val="center"/>
            <w:hideMark/>
          </w:tcPr>
          <w:p w14:paraId="5B426EBA" w14:textId="77777777" w:rsidR="002F2433" w:rsidRDefault="002F2433">
            <w:r>
              <w:rPr>
                <w:color w:val="000000"/>
                <w:sz w:val="19"/>
              </w:rPr>
              <w:t>Beginning NAV plus capital activity and gains/losses should reconcile to Ending NAV</w:t>
            </w:r>
          </w:p>
        </w:tc>
        <w:tc>
          <w:tcPr>
            <w:tcW w:w="0" w:type="auto"/>
            <w:shd w:val="clear" w:color="auto" w:fill="FFFFFF"/>
            <w:tcMar>
              <w:top w:w="100" w:type="dxa"/>
              <w:left w:w="105" w:type="dxa"/>
              <w:bottom w:w="100" w:type="dxa"/>
              <w:right w:w="105" w:type="dxa"/>
            </w:tcMar>
            <w:vAlign w:val="center"/>
            <w:hideMark/>
          </w:tcPr>
          <w:p w14:paraId="1E9EAE4A" w14:textId="77777777" w:rsidR="002F2433" w:rsidRDefault="002F2433">
            <w:r>
              <w:rPr>
                <w:color w:val="000000"/>
                <w:sz w:val="19"/>
              </w:rPr>
              <w:t>Detect statement inconsistency</w:t>
            </w:r>
          </w:p>
        </w:tc>
      </w:tr>
      <w:tr w:rsidR="002F2433" w14:paraId="1D73A11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2396F4" w14:textId="77777777" w:rsidR="002F2433" w:rsidRDefault="002F2433">
            <w:r>
              <w:rPr>
                <w:color w:val="000000"/>
                <w:sz w:val="19"/>
              </w:rPr>
              <w:t>Component sum check</w:t>
            </w:r>
          </w:p>
        </w:tc>
        <w:tc>
          <w:tcPr>
            <w:tcW w:w="0" w:type="auto"/>
            <w:shd w:val="clear" w:color="auto" w:fill="FFFFFF"/>
            <w:tcMar>
              <w:top w:w="100" w:type="dxa"/>
              <w:left w:w="105" w:type="dxa"/>
              <w:bottom w:w="100" w:type="dxa"/>
              <w:right w:w="105" w:type="dxa"/>
            </w:tcMar>
            <w:vAlign w:val="center"/>
            <w:hideMark/>
          </w:tcPr>
          <w:p w14:paraId="3662FD9C" w14:textId="77777777" w:rsidR="002F2433" w:rsidRDefault="002F2433">
            <w:r>
              <w:rPr>
                <w:color w:val="000000"/>
                <w:sz w:val="19"/>
              </w:rPr>
              <w:t>Distribution letters</w:t>
            </w:r>
          </w:p>
        </w:tc>
        <w:tc>
          <w:tcPr>
            <w:tcW w:w="0" w:type="auto"/>
            <w:shd w:val="clear" w:color="auto" w:fill="FFFFFF"/>
            <w:tcMar>
              <w:top w:w="100" w:type="dxa"/>
              <w:left w:w="105" w:type="dxa"/>
              <w:bottom w:w="100" w:type="dxa"/>
              <w:right w:w="105" w:type="dxa"/>
            </w:tcMar>
            <w:vAlign w:val="center"/>
            <w:hideMark/>
          </w:tcPr>
          <w:p w14:paraId="0EA823F7" w14:textId="77777777" w:rsidR="002F2433" w:rsidRDefault="002F2433">
            <w:r>
              <w:rPr>
                <w:color w:val="000000"/>
                <w:sz w:val="19"/>
              </w:rPr>
              <w:t>Distribution components should reconcile to gross or net distribution</w:t>
            </w:r>
          </w:p>
        </w:tc>
        <w:tc>
          <w:tcPr>
            <w:tcW w:w="0" w:type="auto"/>
            <w:shd w:val="clear" w:color="auto" w:fill="FFFFFF"/>
            <w:tcMar>
              <w:top w:w="100" w:type="dxa"/>
              <w:left w:w="105" w:type="dxa"/>
              <w:bottom w:w="100" w:type="dxa"/>
              <w:right w:w="105" w:type="dxa"/>
            </w:tcMar>
            <w:vAlign w:val="center"/>
            <w:hideMark/>
          </w:tcPr>
          <w:p w14:paraId="6378697C" w14:textId="77777777" w:rsidR="002F2433" w:rsidRDefault="002F2433">
            <w:r>
              <w:rPr>
                <w:color w:val="000000"/>
                <w:sz w:val="19"/>
              </w:rPr>
              <w:t>Detect classification or extraction errors</w:t>
            </w:r>
          </w:p>
        </w:tc>
      </w:tr>
      <w:tr w:rsidR="002F2433" w14:paraId="5DD4FB9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F7265F" w14:textId="77777777" w:rsidR="002F2433" w:rsidRDefault="002F2433">
            <w:r>
              <w:rPr>
                <w:color w:val="000000"/>
                <w:sz w:val="19"/>
              </w:rPr>
              <w:t>Fuzzy fund name warning</w:t>
            </w:r>
          </w:p>
        </w:tc>
        <w:tc>
          <w:tcPr>
            <w:tcW w:w="0" w:type="auto"/>
            <w:shd w:val="clear" w:color="auto" w:fill="FFFFFF"/>
            <w:tcMar>
              <w:top w:w="100" w:type="dxa"/>
              <w:left w:w="105" w:type="dxa"/>
              <w:bottom w:w="100" w:type="dxa"/>
              <w:right w:w="105" w:type="dxa"/>
            </w:tcMar>
            <w:vAlign w:val="center"/>
            <w:hideMark/>
          </w:tcPr>
          <w:p w14:paraId="5F880DDC" w14:textId="77777777" w:rsidR="002F2433" w:rsidRDefault="002F2433">
            <w:r>
              <w:rPr>
                <w:color w:val="000000"/>
                <w:sz w:val="19"/>
              </w:rPr>
              <w:t>Documents with abbreviated names</w:t>
            </w:r>
          </w:p>
        </w:tc>
        <w:tc>
          <w:tcPr>
            <w:tcW w:w="0" w:type="auto"/>
            <w:shd w:val="clear" w:color="auto" w:fill="FFFFFF"/>
            <w:tcMar>
              <w:top w:w="100" w:type="dxa"/>
              <w:left w:w="105" w:type="dxa"/>
              <w:bottom w:w="100" w:type="dxa"/>
              <w:right w:w="105" w:type="dxa"/>
            </w:tcMar>
            <w:vAlign w:val="center"/>
            <w:hideMark/>
          </w:tcPr>
          <w:p w14:paraId="01889ACD" w14:textId="77777777" w:rsidR="002F2433" w:rsidRDefault="002F2433">
            <w:r>
              <w:rPr>
                <w:color w:val="000000"/>
                <w:sz w:val="19"/>
              </w:rPr>
              <w:t>Raw fund name differs from master name but can be mapped</w:t>
            </w:r>
          </w:p>
        </w:tc>
        <w:tc>
          <w:tcPr>
            <w:tcW w:w="0" w:type="auto"/>
            <w:shd w:val="clear" w:color="auto" w:fill="FFFFFF"/>
            <w:tcMar>
              <w:top w:w="100" w:type="dxa"/>
              <w:left w:w="105" w:type="dxa"/>
              <w:bottom w:w="100" w:type="dxa"/>
              <w:right w:w="105" w:type="dxa"/>
            </w:tcMar>
            <w:vAlign w:val="center"/>
            <w:hideMark/>
          </w:tcPr>
          <w:p w14:paraId="70A750D5" w14:textId="77777777" w:rsidR="002F2433" w:rsidRDefault="002F2433">
            <w:r>
              <w:rPr>
                <w:color w:val="000000"/>
                <w:sz w:val="19"/>
              </w:rPr>
              <w:t>Require analyst review</w:t>
            </w:r>
          </w:p>
        </w:tc>
      </w:tr>
      <w:tr w:rsidR="002F2433" w14:paraId="6EB1016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C46044" w14:textId="77777777" w:rsidR="002F2433" w:rsidRDefault="002F2433">
            <w:r>
              <w:rPr>
                <w:color w:val="000000"/>
                <w:sz w:val="19"/>
              </w:rPr>
              <w:t>Low confidence review</w:t>
            </w:r>
          </w:p>
        </w:tc>
        <w:tc>
          <w:tcPr>
            <w:tcW w:w="0" w:type="auto"/>
            <w:shd w:val="clear" w:color="auto" w:fill="FFFFFF"/>
            <w:tcMar>
              <w:top w:w="100" w:type="dxa"/>
              <w:left w:w="105" w:type="dxa"/>
              <w:bottom w:w="100" w:type="dxa"/>
              <w:right w:w="105" w:type="dxa"/>
            </w:tcMar>
            <w:vAlign w:val="center"/>
            <w:hideMark/>
          </w:tcPr>
          <w:p w14:paraId="5EADE213"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4FC6D6C8" w14:textId="77777777" w:rsidR="002F2433" w:rsidRDefault="002F2433">
            <w:r>
              <w:rPr>
                <w:color w:val="000000"/>
                <w:sz w:val="19"/>
              </w:rPr>
              <w:t>Extraction confidence score below threshold triggers review</w:t>
            </w:r>
          </w:p>
        </w:tc>
        <w:tc>
          <w:tcPr>
            <w:tcW w:w="0" w:type="auto"/>
            <w:shd w:val="clear" w:color="auto" w:fill="FFFFFF"/>
            <w:tcMar>
              <w:top w:w="100" w:type="dxa"/>
              <w:left w:w="105" w:type="dxa"/>
              <w:bottom w:w="100" w:type="dxa"/>
              <w:right w:w="105" w:type="dxa"/>
            </w:tcMar>
            <w:vAlign w:val="center"/>
            <w:hideMark/>
          </w:tcPr>
          <w:p w14:paraId="1A2A955E" w14:textId="77777777" w:rsidR="002F2433" w:rsidRDefault="002F2433">
            <w:r>
              <w:rPr>
                <w:color w:val="000000"/>
                <w:sz w:val="19"/>
              </w:rPr>
              <w:t>Support human-in-the-loop control</w:t>
            </w:r>
          </w:p>
        </w:tc>
      </w:tr>
    </w:tbl>
    <w:p w14:paraId="178FA67C" w14:textId="77777777" w:rsidR="002F2433" w:rsidRDefault="002F2433" w:rsidP="002A4A1E">
      <w:pPr>
        <w:pStyle w:val="NormalWeb"/>
      </w:pPr>
      <w:r>
        <w:rPr>
          <w:sz w:val="24"/>
        </w:rPr>
        <w:t>The validation layer is a core part of the proof-of-concept. It prevents extracted data from flowing directly into the dashboard without review and supports exception handling.</w:t>
      </w:r>
    </w:p>
    <w:p w14:paraId="7CF2A342" w14:textId="77777777" w:rsidR="002F2433" w:rsidRDefault="002F2433" w:rsidP="002F2433">
      <w:pPr>
        <w:pStyle w:val="Heading2"/>
      </w:pPr>
      <w:r>
        <w:rPr>
          <w:rFonts w:ascii="Arial" w:hAnsi="Arial"/>
        </w:rPr>
        <w:lastRenderedPageBreak/>
        <w:t>4.6 Rationale for the Mock Document Design</w:t>
      </w:r>
    </w:p>
    <w:p w14:paraId="036E0E5F" w14:textId="77777777" w:rsidR="002F2433" w:rsidRDefault="002F2433" w:rsidP="002F2433">
      <w:pPr>
        <w:pStyle w:val="NormalWeb"/>
      </w:pPr>
      <w:r>
        <w:rPr>
          <w:sz w:val="24"/>
        </w:rPr>
        <w:t>The mock document set is designed to reflect the type of private market information an investment team may receive in practice. Capital call letters and distribution notices connect directly to cash movement and liquidity planning. Capital statements and PCAPs update private market NAV, contributions, distributions, fees, and unfunded commitments. Investor newsletters provide qualitative information about fund developments, portfolio companies, valuation drivers, and risks.</w:t>
      </w:r>
    </w:p>
    <w:p w14:paraId="3029FB80" w14:textId="77777777" w:rsidR="00AD7534" w:rsidRDefault="002F2433" w:rsidP="002F2433">
      <w:pPr>
        <w:pStyle w:val="NormalWeb"/>
      </w:pPr>
      <w:r>
        <w:rPr>
          <w:sz w:val="24"/>
        </w:rPr>
        <w:t>This design supports the project’s core document-to-dashboard workflow. The system receives PDF documents, extracts structured information, validates the output against the initial portfolio data layer described in Section 3.10, flags exceptions for human review, and updates the family office dashboard. The mock document set is therefore not only a collection of sample PDFs; it is the testing input for the AI extraction and validation pipeline.</w:t>
      </w:r>
    </w:p>
    <w:p w14:paraId="55A21EB0" w14:textId="77777777" w:rsidR="00730BCB" w:rsidRDefault="00AD7534">
      <w:pPr>
        <w:pStyle w:val="Heading1"/>
      </w:pPr>
      <w:r>
        <w:t>5. AI Extraction, Validation, and Approved Portfolio Updates</w:t>
      </w:r>
    </w:p>
    <w:p w14:paraId="478020D3" w14:textId="77777777" w:rsidR="00730BCB" w:rsidRDefault="00730BCB"/>
    <w:p w14:paraId="19782528" w14:textId="77777777" w:rsidR="006A4D66" w:rsidRDefault="00000000">
      <w:pPr>
        <w:pStyle w:val="Heading2"/>
        <w:spacing w:after="120" w:line="259" w:lineRule="auto"/>
      </w:pPr>
      <w:r>
        <w:rPr>
          <w:rFonts w:ascii="Aptos" w:eastAsia="Aptos" w:hAnsi="Aptos"/>
          <w:b w:val="0"/>
          <w:color w:val="172033"/>
          <w:sz w:val="21"/>
        </w:rPr>
        <w:t>5.1 Purpose and Design Principles</w:t>
      </w:r>
    </w:p>
    <w:p w14:paraId="31363597" w14:textId="77777777" w:rsidR="006A4D66" w:rsidRDefault="00000000">
      <w:pPr>
        <w:spacing w:after="120" w:line="259" w:lineRule="auto"/>
      </w:pPr>
      <w:r>
        <w:rPr>
          <w:rFonts w:ascii="Aptos" w:eastAsia="Aptos" w:hAnsi="Aptos"/>
          <w:color w:val="172033"/>
          <w:sz w:val="21"/>
        </w:rPr>
        <w:t>The extraction layer converts six synthetic private-market PDFs into structured, schema-conformant records that can be validated before they affect portfolio state. The design deliberately separates document reading from business approval. Extraction prepares evidence; validation and human review determine whether the evidence is safe to use.</w:t>
      </w:r>
    </w:p>
    <w:p w14:paraId="07B2B554" w14:textId="77777777" w:rsidR="006A4D66" w:rsidRDefault="00000000">
      <w:pPr>
        <w:pStyle w:val="ListBullet"/>
        <w:spacing w:line="259" w:lineRule="auto"/>
      </w:pPr>
      <w:r>
        <w:rPr>
          <w:rFonts w:ascii="Aptos" w:eastAsia="Aptos" w:hAnsi="Aptos"/>
          <w:color w:val="172033"/>
          <w:sz w:val="21"/>
        </w:rPr>
        <w:t>Deterministic baseline mode is the default demonstration path. It requires no API key and reproduces the locked expected results.</w:t>
      </w:r>
    </w:p>
    <w:p w14:paraId="6DE31853" w14:textId="77777777" w:rsidR="006A4D66" w:rsidRDefault="00000000">
      <w:pPr>
        <w:pStyle w:val="ListBullet"/>
        <w:spacing w:line="259" w:lineRule="auto"/>
      </w:pPr>
      <w:r>
        <w:rPr>
          <w:rFonts w:ascii="Aptos" w:eastAsia="Aptos" w:hAnsi="Aptos"/>
          <w:color w:val="172033"/>
          <w:sz w:val="21"/>
        </w:rPr>
        <w:t>Intake mode applies the same offline extraction logic to PDFs staged through the dashboard upload workflow.</w:t>
      </w:r>
    </w:p>
    <w:p w14:paraId="3C292CED" w14:textId="77777777" w:rsidR="006A4D66" w:rsidRDefault="00000000">
      <w:pPr>
        <w:pStyle w:val="ListBullet"/>
        <w:spacing w:line="259" w:lineRule="auto"/>
      </w:pPr>
      <w:r>
        <w:rPr>
          <w:rFonts w:ascii="Aptos" w:eastAsia="Aptos" w:hAnsi="Aptos"/>
          <w:color w:val="172033"/>
          <w:sz w:val="21"/>
        </w:rPr>
        <w:t>LLM mode is optional and exists for experimentation and field-level comparison; it is not required for the standard demo.</w:t>
      </w:r>
    </w:p>
    <w:p w14:paraId="12AD54D8" w14:textId="77777777" w:rsidR="006A4D66" w:rsidRDefault="00000000">
      <w:pPr>
        <w:pStyle w:val="ListBullet"/>
        <w:spacing w:line="259" w:lineRule="auto"/>
      </w:pPr>
      <w:r>
        <w:rPr>
          <w:rFonts w:ascii="Aptos" w:eastAsia="Aptos" w:hAnsi="Aptos"/>
          <w:color w:val="172033"/>
          <w:sz w:val="21"/>
        </w:rPr>
        <w:t>Each document type is mapped to a dedicated JSON schema so that downstream rules evaluate consistent fields rather than free-form text.</w:t>
      </w:r>
    </w:p>
    <w:p w14:paraId="1E9CA6A8" w14:textId="77777777" w:rsidR="006A4D66" w:rsidRDefault="00000000">
      <w:pPr>
        <w:pStyle w:val="ListBullet"/>
        <w:spacing w:line="259" w:lineRule="auto"/>
      </w:pPr>
      <w:r>
        <w:rPr>
          <w:rFonts w:ascii="Aptos" w:eastAsia="Aptos" w:hAnsi="Aptos"/>
          <w:color w:val="172033"/>
          <w:sz w:val="21"/>
        </w:rPr>
        <w:t>Source document IDs, raw fund names, mapped fund names, extraction mode, and confidence remain available for traceability.</w:t>
      </w:r>
    </w:p>
    <w:p w14:paraId="7AB239BE" w14:textId="77777777" w:rsidR="006A4D66" w:rsidRDefault="00000000">
      <w:pPr>
        <w:pStyle w:val="Heading2"/>
        <w:spacing w:after="120" w:line="259" w:lineRule="auto"/>
      </w:pPr>
      <w:r>
        <w:rPr>
          <w:rFonts w:ascii="Aptos" w:eastAsia="Aptos" w:hAnsi="Aptos"/>
          <w:b w:val="0"/>
          <w:color w:val="172033"/>
          <w:sz w:val="21"/>
        </w:rPr>
        <w:t>5.2 Document Classification and Schema Routing</w:t>
      </w:r>
    </w:p>
    <w:p w14:paraId="225E2F80" w14:textId="77777777" w:rsidR="006A4D66" w:rsidRDefault="00000000">
      <w:pPr>
        <w:spacing w:after="120" w:line="259" w:lineRule="auto"/>
      </w:pPr>
      <w:r>
        <w:rPr>
          <w:rFonts w:ascii="Aptos" w:eastAsia="Aptos" w:hAnsi="Aptos"/>
          <w:color w:val="172033"/>
          <w:sz w:val="21"/>
        </w:rPr>
        <w:t>The classifier distinguishes capital calls, distributions, capital statements / PCAPs, and investor newsletters. Classification is not cosmetic: it determines which fields are required, which reconciliation checks apply, and which processed dataset may be updated.</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160"/>
        <w:gridCol w:w="4320"/>
        <w:gridCol w:w="3456"/>
      </w:tblGrid>
      <w:tr w:rsidR="006A4D66" w14:paraId="58BFAF52" w14:textId="77777777">
        <w:trPr>
          <w:tblHeader/>
          <w:jc w:val="center"/>
        </w:trPr>
        <w:tc>
          <w:tcPr>
            <w:tcW w:w="2160" w:type="dxa"/>
            <w:shd w:val="clear" w:color="auto" w:fill="D9EAF7"/>
            <w:tcMar>
              <w:top w:w="100" w:type="dxa"/>
              <w:left w:w="105" w:type="dxa"/>
              <w:bottom w:w="100" w:type="dxa"/>
              <w:right w:w="105" w:type="dxa"/>
            </w:tcMar>
            <w:vAlign w:val="center"/>
          </w:tcPr>
          <w:p w14:paraId="1251168C" w14:textId="77777777" w:rsidR="006A4D66" w:rsidRDefault="00000000">
            <w:pPr>
              <w:jc w:val="center"/>
            </w:pPr>
            <w:r>
              <w:rPr>
                <w:b/>
                <w:color w:val="000000"/>
                <w:sz w:val="19"/>
              </w:rPr>
              <w:t>Document type</w:t>
            </w:r>
          </w:p>
        </w:tc>
        <w:tc>
          <w:tcPr>
            <w:tcW w:w="4320" w:type="dxa"/>
            <w:shd w:val="clear" w:color="auto" w:fill="D9EAF7"/>
            <w:tcMar>
              <w:top w:w="100" w:type="dxa"/>
              <w:left w:w="105" w:type="dxa"/>
              <w:bottom w:w="100" w:type="dxa"/>
              <w:right w:w="105" w:type="dxa"/>
            </w:tcMar>
            <w:vAlign w:val="center"/>
          </w:tcPr>
          <w:p w14:paraId="4BDAB28E" w14:textId="77777777" w:rsidR="006A4D66" w:rsidRDefault="00000000">
            <w:pPr>
              <w:jc w:val="center"/>
            </w:pPr>
            <w:r>
              <w:rPr>
                <w:b/>
                <w:color w:val="000000"/>
                <w:sz w:val="19"/>
              </w:rPr>
              <w:t>Primary extracted fields</w:t>
            </w:r>
          </w:p>
        </w:tc>
        <w:tc>
          <w:tcPr>
            <w:tcW w:w="3456" w:type="dxa"/>
            <w:shd w:val="clear" w:color="auto" w:fill="D9EAF7"/>
            <w:tcMar>
              <w:top w:w="100" w:type="dxa"/>
              <w:left w:w="105" w:type="dxa"/>
              <w:bottom w:w="100" w:type="dxa"/>
              <w:right w:w="105" w:type="dxa"/>
            </w:tcMar>
            <w:vAlign w:val="center"/>
          </w:tcPr>
          <w:p w14:paraId="2000C62F" w14:textId="77777777" w:rsidR="006A4D66" w:rsidRDefault="00000000">
            <w:pPr>
              <w:jc w:val="center"/>
            </w:pPr>
            <w:r>
              <w:rPr>
                <w:b/>
                <w:color w:val="000000"/>
                <w:sz w:val="19"/>
              </w:rPr>
              <w:t>Downstream consequence</w:t>
            </w:r>
          </w:p>
        </w:tc>
      </w:tr>
      <w:tr w:rsidR="006A4D66" w14:paraId="389C098A" w14:textId="77777777">
        <w:trPr>
          <w:jc w:val="center"/>
        </w:trPr>
        <w:tc>
          <w:tcPr>
            <w:tcW w:w="2160" w:type="dxa"/>
            <w:shd w:val="clear" w:color="auto" w:fill="FFFFFF"/>
            <w:tcMar>
              <w:top w:w="100" w:type="dxa"/>
              <w:left w:w="105" w:type="dxa"/>
              <w:bottom w:w="100" w:type="dxa"/>
              <w:right w:w="105" w:type="dxa"/>
            </w:tcMar>
            <w:vAlign w:val="center"/>
          </w:tcPr>
          <w:p w14:paraId="4CB5CA1C" w14:textId="77777777" w:rsidR="006A4D66" w:rsidRDefault="00000000">
            <w:r>
              <w:rPr>
                <w:color w:val="000000"/>
                <w:sz w:val="19"/>
              </w:rPr>
              <w:t>Capital call</w:t>
            </w:r>
          </w:p>
        </w:tc>
        <w:tc>
          <w:tcPr>
            <w:tcW w:w="4320" w:type="dxa"/>
            <w:shd w:val="clear" w:color="auto" w:fill="FFFFFF"/>
            <w:tcMar>
              <w:top w:w="100" w:type="dxa"/>
              <w:left w:w="105" w:type="dxa"/>
              <w:bottom w:w="100" w:type="dxa"/>
              <w:right w:w="105" w:type="dxa"/>
            </w:tcMar>
            <w:vAlign w:val="center"/>
          </w:tcPr>
          <w:p w14:paraId="75176E88" w14:textId="77777777" w:rsidR="006A4D66" w:rsidRDefault="00000000">
            <w:r>
              <w:rPr>
                <w:color w:val="000000"/>
                <w:sz w:val="19"/>
              </w:rPr>
              <w:t>Fund, investor, amount due, due date, currency, components, unfunded commitment</w:t>
            </w:r>
          </w:p>
        </w:tc>
        <w:tc>
          <w:tcPr>
            <w:tcW w:w="3456" w:type="dxa"/>
            <w:shd w:val="clear" w:color="auto" w:fill="FFFFFF"/>
            <w:tcMar>
              <w:top w:w="100" w:type="dxa"/>
              <w:left w:w="105" w:type="dxa"/>
              <w:bottom w:w="100" w:type="dxa"/>
              <w:right w:w="105" w:type="dxa"/>
            </w:tcMar>
            <w:vAlign w:val="center"/>
          </w:tcPr>
          <w:p w14:paraId="1EF859DC" w14:textId="77777777" w:rsidR="006A4D66" w:rsidRDefault="00000000">
            <w:r>
              <w:rPr>
                <w:color w:val="000000"/>
                <w:sz w:val="19"/>
              </w:rPr>
              <w:t>Liquidity forecast, capital-call calendar, commitment tracking</w:t>
            </w:r>
          </w:p>
        </w:tc>
      </w:tr>
      <w:tr w:rsidR="006A4D66" w14:paraId="14404EFE" w14:textId="77777777">
        <w:trPr>
          <w:jc w:val="center"/>
        </w:trPr>
        <w:tc>
          <w:tcPr>
            <w:tcW w:w="2160" w:type="dxa"/>
            <w:shd w:val="clear" w:color="auto" w:fill="FFFFFF"/>
            <w:tcMar>
              <w:top w:w="100" w:type="dxa"/>
              <w:left w:w="105" w:type="dxa"/>
              <w:bottom w:w="100" w:type="dxa"/>
              <w:right w:w="105" w:type="dxa"/>
            </w:tcMar>
            <w:vAlign w:val="center"/>
          </w:tcPr>
          <w:p w14:paraId="5526CAF3" w14:textId="77777777" w:rsidR="006A4D66" w:rsidRDefault="00000000">
            <w:r>
              <w:rPr>
                <w:color w:val="000000"/>
                <w:sz w:val="19"/>
              </w:rPr>
              <w:t>Distribution</w:t>
            </w:r>
          </w:p>
        </w:tc>
        <w:tc>
          <w:tcPr>
            <w:tcW w:w="4320" w:type="dxa"/>
            <w:shd w:val="clear" w:color="auto" w:fill="FFFFFF"/>
            <w:tcMar>
              <w:top w:w="100" w:type="dxa"/>
              <w:left w:w="105" w:type="dxa"/>
              <w:bottom w:w="100" w:type="dxa"/>
              <w:right w:w="105" w:type="dxa"/>
            </w:tcMar>
            <w:vAlign w:val="center"/>
          </w:tcPr>
          <w:p w14:paraId="4C44A19F" w14:textId="77777777" w:rsidR="006A4D66" w:rsidRDefault="00000000">
            <w:r>
              <w:rPr>
                <w:color w:val="000000"/>
                <w:sz w:val="19"/>
              </w:rPr>
              <w:t>Gross/net amount, payment date, return of capital, income, realized gain</w:t>
            </w:r>
          </w:p>
        </w:tc>
        <w:tc>
          <w:tcPr>
            <w:tcW w:w="3456" w:type="dxa"/>
            <w:shd w:val="clear" w:color="auto" w:fill="FFFFFF"/>
            <w:tcMar>
              <w:top w:w="100" w:type="dxa"/>
              <w:left w:w="105" w:type="dxa"/>
              <w:bottom w:w="100" w:type="dxa"/>
              <w:right w:w="105" w:type="dxa"/>
            </w:tcMar>
            <w:vAlign w:val="center"/>
          </w:tcPr>
          <w:p w14:paraId="7FF92654" w14:textId="77777777" w:rsidR="006A4D66" w:rsidRDefault="00000000">
            <w:r>
              <w:rPr>
                <w:color w:val="000000"/>
                <w:sz w:val="19"/>
              </w:rPr>
              <w:t>Projected cash inflow and private-market cash-flow history</w:t>
            </w:r>
          </w:p>
        </w:tc>
      </w:tr>
      <w:tr w:rsidR="006A4D66" w14:paraId="4584FF1D" w14:textId="77777777">
        <w:trPr>
          <w:jc w:val="center"/>
        </w:trPr>
        <w:tc>
          <w:tcPr>
            <w:tcW w:w="2160" w:type="dxa"/>
            <w:shd w:val="clear" w:color="auto" w:fill="FFFFFF"/>
            <w:tcMar>
              <w:top w:w="100" w:type="dxa"/>
              <w:left w:w="105" w:type="dxa"/>
              <w:bottom w:w="100" w:type="dxa"/>
              <w:right w:w="105" w:type="dxa"/>
            </w:tcMar>
            <w:vAlign w:val="center"/>
          </w:tcPr>
          <w:p w14:paraId="02231E19" w14:textId="77777777" w:rsidR="006A4D66" w:rsidRDefault="00000000">
            <w:r>
              <w:rPr>
                <w:color w:val="000000"/>
                <w:sz w:val="19"/>
              </w:rPr>
              <w:t>Capital statement / PCAP</w:t>
            </w:r>
          </w:p>
        </w:tc>
        <w:tc>
          <w:tcPr>
            <w:tcW w:w="4320" w:type="dxa"/>
            <w:shd w:val="clear" w:color="auto" w:fill="FFFFFF"/>
            <w:tcMar>
              <w:top w:w="100" w:type="dxa"/>
              <w:left w:w="105" w:type="dxa"/>
              <w:bottom w:w="100" w:type="dxa"/>
              <w:right w:w="105" w:type="dxa"/>
            </w:tcMar>
            <w:vAlign w:val="center"/>
          </w:tcPr>
          <w:p w14:paraId="184664EC" w14:textId="77777777" w:rsidR="006A4D66" w:rsidRDefault="00000000">
            <w:r>
              <w:rPr>
                <w:color w:val="000000"/>
                <w:sz w:val="19"/>
              </w:rPr>
              <w:t>Beginning NAV, contributions, distributions, fees, gains/losses, ending NAV, paid-in, unfunded</w:t>
            </w:r>
          </w:p>
        </w:tc>
        <w:tc>
          <w:tcPr>
            <w:tcW w:w="3456" w:type="dxa"/>
            <w:shd w:val="clear" w:color="auto" w:fill="FFFFFF"/>
            <w:tcMar>
              <w:top w:w="100" w:type="dxa"/>
              <w:left w:w="105" w:type="dxa"/>
              <w:bottom w:w="100" w:type="dxa"/>
              <w:right w:w="105" w:type="dxa"/>
            </w:tcMar>
            <w:vAlign w:val="center"/>
          </w:tcPr>
          <w:p w14:paraId="5F9A8248" w14:textId="77777777" w:rsidR="006A4D66" w:rsidRDefault="00000000">
            <w:r>
              <w:rPr>
                <w:color w:val="000000"/>
                <w:sz w:val="19"/>
              </w:rPr>
              <w:t>Position NAV and commitment reconciliation</w:t>
            </w:r>
          </w:p>
        </w:tc>
      </w:tr>
      <w:tr w:rsidR="006A4D66" w14:paraId="7032FDFA" w14:textId="77777777">
        <w:trPr>
          <w:jc w:val="center"/>
        </w:trPr>
        <w:tc>
          <w:tcPr>
            <w:tcW w:w="2160" w:type="dxa"/>
            <w:shd w:val="clear" w:color="auto" w:fill="FFFFFF"/>
            <w:tcMar>
              <w:top w:w="100" w:type="dxa"/>
              <w:left w:w="105" w:type="dxa"/>
              <w:bottom w:w="100" w:type="dxa"/>
              <w:right w:w="105" w:type="dxa"/>
            </w:tcMar>
            <w:vAlign w:val="center"/>
          </w:tcPr>
          <w:p w14:paraId="1A3BD826" w14:textId="77777777" w:rsidR="006A4D66" w:rsidRDefault="00000000">
            <w:r>
              <w:rPr>
                <w:color w:val="000000"/>
                <w:sz w:val="19"/>
              </w:rPr>
              <w:t>Investor newsletter</w:t>
            </w:r>
          </w:p>
        </w:tc>
        <w:tc>
          <w:tcPr>
            <w:tcW w:w="4320" w:type="dxa"/>
            <w:shd w:val="clear" w:color="auto" w:fill="FFFFFF"/>
            <w:tcMar>
              <w:top w:w="100" w:type="dxa"/>
              <w:left w:w="105" w:type="dxa"/>
              <w:bottom w:w="100" w:type="dxa"/>
              <w:right w:w="105" w:type="dxa"/>
            </w:tcMar>
            <w:vAlign w:val="center"/>
          </w:tcPr>
          <w:p w14:paraId="04DFF0C4" w14:textId="77777777" w:rsidR="006A4D66" w:rsidRDefault="00000000">
            <w:r>
              <w:rPr>
                <w:color w:val="000000"/>
                <w:sz w:val="19"/>
              </w:rPr>
              <w:t xml:space="preserve">Narrative themes, investments, valuation </w:t>
            </w:r>
            <w:r>
              <w:rPr>
                <w:color w:val="000000"/>
                <w:sz w:val="19"/>
              </w:rPr>
              <w:lastRenderedPageBreak/>
              <w:t>commentary, risks, expected activity</w:t>
            </w:r>
          </w:p>
        </w:tc>
        <w:tc>
          <w:tcPr>
            <w:tcW w:w="3456" w:type="dxa"/>
            <w:shd w:val="clear" w:color="auto" w:fill="FFFFFF"/>
            <w:tcMar>
              <w:top w:w="100" w:type="dxa"/>
              <w:left w:w="105" w:type="dxa"/>
              <w:bottom w:w="100" w:type="dxa"/>
              <w:right w:w="105" w:type="dxa"/>
            </w:tcMar>
            <w:vAlign w:val="center"/>
          </w:tcPr>
          <w:p w14:paraId="1E244335" w14:textId="77777777" w:rsidR="006A4D66" w:rsidRDefault="00000000">
            <w:r>
              <w:rPr>
                <w:color w:val="000000"/>
                <w:sz w:val="19"/>
              </w:rPr>
              <w:lastRenderedPageBreak/>
              <w:t xml:space="preserve">Fund commentary and qualitative </w:t>
            </w:r>
            <w:r>
              <w:rPr>
                <w:color w:val="000000"/>
                <w:sz w:val="19"/>
              </w:rPr>
              <w:lastRenderedPageBreak/>
              <w:t>monitoring</w:t>
            </w:r>
          </w:p>
        </w:tc>
      </w:tr>
    </w:tbl>
    <w:p w14:paraId="6F4642B9" w14:textId="77777777" w:rsidR="006A4D66" w:rsidRDefault="006A4D66">
      <w:pPr>
        <w:spacing w:after="120" w:line="259" w:lineRule="auto"/>
      </w:pPr>
    </w:p>
    <w:p w14:paraId="757AAA6A" w14:textId="77777777" w:rsidR="006A4D66" w:rsidRDefault="00000000">
      <w:pPr>
        <w:pStyle w:val="Heading2"/>
        <w:spacing w:after="120" w:line="259" w:lineRule="auto"/>
      </w:pPr>
      <w:r>
        <w:rPr>
          <w:rFonts w:ascii="Aptos" w:eastAsia="Aptos" w:hAnsi="Aptos"/>
          <w:b w:val="0"/>
          <w:color w:val="172033"/>
          <w:sz w:val="21"/>
        </w:rPr>
        <w:t>5.3 Baseline Processing Sequence</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008"/>
        <w:gridCol w:w="4032"/>
        <w:gridCol w:w="4896"/>
      </w:tblGrid>
      <w:tr w:rsidR="006A4D66" w14:paraId="3780AC1B" w14:textId="77777777">
        <w:trPr>
          <w:tblHeader/>
          <w:jc w:val="center"/>
        </w:trPr>
        <w:tc>
          <w:tcPr>
            <w:tcW w:w="1008" w:type="dxa"/>
            <w:shd w:val="clear" w:color="auto" w:fill="D9EAF7"/>
            <w:tcMar>
              <w:top w:w="100" w:type="dxa"/>
              <w:left w:w="105" w:type="dxa"/>
              <w:bottom w:w="100" w:type="dxa"/>
              <w:right w:w="105" w:type="dxa"/>
            </w:tcMar>
            <w:vAlign w:val="center"/>
          </w:tcPr>
          <w:p w14:paraId="7DE8A468" w14:textId="77777777" w:rsidR="006A4D66" w:rsidRDefault="00000000">
            <w:pPr>
              <w:jc w:val="center"/>
            </w:pPr>
            <w:r>
              <w:rPr>
                <w:b/>
                <w:color w:val="000000"/>
                <w:sz w:val="19"/>
              </w:rPr>
              <w:t>Step</w:t>
            </w:r>
          </w:p>
        </w:tc>
        <w:tc>
          <w:tcPr>
            <w:tcW w:w="4032" w:type="dxa"/>
            <w:shd w:val="clear" w:color="auto" w:fill="D9EAF7"/>
            <w:tcMar>
              <w:top w:w="100" w:type="dxa"/>
              <w:left w:w="105" w:type="dxa"/>
              <w:bottom w:w="100" w:type="dxa"/>
              <w:right w:w="105" w:type="dxa"/>
            </w:tcMar>
            <w:vAlign w:val="center"/>
          </w:tcPr>
          <w:p w14:paraId="60F82C61" w14:textId="77777777" w:rsidR="006A4D66" w:rsidRDefault="00000000">
            <w:pPr>
              <w:jc w:val="center"/>
            </w:pPr>
            <w:r>
              <w:rPr>
                <w:b/>
                <w:color w:val="000000"/>
                <w:sz w:val="19"/>
              </w:rPr>
              <w:t>Implementation</w:t>
            </w:r>
          </w:p>
        </w:tc>
        <w:tc>
          <w:tcPr>
            <w:tcW w:w="4896" w:type="dxa"/>
            <w:shd w:val="clear" w:color="auto" w:fill="D9EAF7"/>
            <w:tcMar>
              <w:top w:w="100" w:type="dxa"/>
              <w:left w:w="105" w:type="dxa"/>
              <w:bottom w:w="100" w:type="dxa"/>
              <w:right w:w="105" w:type="dxa"/>
            </w:tcMar>
            <w:vAlign w:val="center"/>
          </w:tcPr>
          <w:p w14:paraId="2BCB7628" w14:textId="77777777" w:rsidR="006A4D66" w:rsidRDefault="00000000">
            <w:pPr>
              <w:jc w:val="center"/>
            </w:pPr>
            <w:r>
              <w:rPr>
                <w:b/>
                <w:color w:val="000000"/>
                <w:sz w:val="19"/>
              </w:rPr>
              <w:t>Control purpose</w:t>
            </w:r>
          </w:p>
        </w:tc>
      </w:tr>
      <w:tr w:rsidR="006A4D66" w14:paraId="111629B5" w14:textId="77777777">
        <w:trPr>
          <w:jc w:val="center"/>
        </w:trPr>
        <w:tc>
          <w:tcPr>
            <w:tcW w:w="1008" w:type="dxa"/>
            <w:shd w:val="clear" w:color="auto" w:fill="FFFFFF"/>
            <w:tcMar>
              <w:top w:w="100" w:type="dxa"/>
              <w:left w:w="105" w:type="dxa"/>
              <w:bottom w:w="100" w:type="dxa"/>
              <w:right w:w="105" w:type="dxa"/>
            </w:tcMar>
            <w:vAlign w:val="center"/>
          </w:tcPr>
          <w:p w14:paraId="5E575DE6" w14:textId="77777777" w:rsidR="006A4D66" w:rsidRDefault="00000000">
            <w:r>
              <w:rPr>
                <w:color w:val="000000"/>
                <w:sz w:val="19"/>
              </w:rPr>
              <w:t>1. Read PDF</w:t>
            </w:r>
          </w:p>
        </w:tc>
        <w:tc>
          <w:tcPr>
            <w:tcW w:w="4032" w:type="dxa"/>
            <w:shd w:val="clear" w:color="auto" w:fill="FFFFFF"/>
            <w:tcMar>
              <w:top w:w="100" w:type="dxa"/>
              <w:left w:w="105" w:type="dxa"/>
              <w:bottom w:w="100" w:type="dxa"/>
              <w:right w:w="105" w:type="dxa"/>
            </w:tcMar>
            <w:vAlign w:val="center"/>
          </w:tcPr>
          <w:p w14:paraId="58BA3571" w14:textId="77777777" w:rsidR="006A4D66" w:rsidRDefault="00000000">
            <w:r>
              <w:rPr>
                <w:color w:val="000000"/>
                <w:sz w:val="19"/>
              </w:rPr>
              <w:t>Extract text from committed mock document</w:t>
            </w:r>
          </w:p>
        </w:tc>
        <w:tc>
          <w:tcPr>
            <w:tcW w:w="4896" w:type="dxa"/>
            <w:shd w:val="clear" w:color="auto" w:fill="FFFFFF"/>
            <w:tcMar>
              <w:top w:w="100" w:type="dxa"/>
              <w:left w:w="105" w:type="dxa"/>
              <w:bottom w:w="100" w:type="dxa"/>
              <w:right w:w="105" w:type="dxa"/>
            </w:tcMar>
            <w:vAlign w:val="center"/>
          </w:tcPr>
          <w:p w14:paraId="7AA117AC" w14:textId="77777777" w:rsidR="006A4D66" w:rsidRDefault="00000000">
            <w:r>
              <w:rPr>
                <w:color w:val="000000"/>
                <w:sz w:val="19"/>
              </w:rPr>
              <w:t>Preserve a repeatable source input</w:t>
            </w:r>
          </w:p>
        </w:tc>
      </w:tr>
      <w:tr w:rsidR="006A4D66" w14:paraId="4E2DA3DE" w14:textId="77777777">
        <w:trPr>
          <w:jc w:val="center"/>
        </w:trPr>
        <w:tc>
          <w:tcPr>
            <w:tcW w:w="1008" w:type="dxa"/>
            <w:shd w:val="clear" w:color="auto" w:fill="FFFFFF"/>
            <w:tcMar>
              <w:top w:w="100" w:type="dxa"/>
              <w:left w:w="105" w:type="dxa"/>
              <w:bottom w:w="100" w:type="dxa"/>
              <w:right w:w="105" w:type="dxa"/>
            </w:tcMar>
            <w:vAlign w:val="center"/>
          </w:tcPr>
          <w:p w14:paraId="1A4AC0C6" w14:textId="77777777" w:rsidR="006A4D66" w:rsidRDefault="00000000">
            <w:r>
              <w:rPr>
                <w:color w:val="000000"/>
                <w:sz w:val="19"/>
              </w:rPr>
              <w:t>2. Classify</w:t>
            </w:r>
          </w:p>
        </w:tc>
        <w:tc>
          <w:tcPr>
            <w:tcW w:w="4032" w:type="dxa"/>
            <w:shd w:val="clear" w:color="auto" w:fill="FFFFFF"/>
            <w:tcMar>
              <w:top w:w="100" w:type="dxa"/>
              <w:left w:w="105" w:type="dxa"/>
              <w:bottom w:w="100" w:type="dxa"/>
              <w:right w:w="105" w:type="dxa"/>
            </w:tcMar>
            <w:vAlign w:val="center"/>
          </w:tcPr>
          <w:p w14:paraId="40D2325D" w14:textId="77777777" w:rsidR="006A4D66" w:rsidRDefault="00000000">
            <w:r>
              <w:rPr>
                <w:color w:val="000000"/>
                <w:sz w:val="19"/>
              </w:rPr>
              <w:t>Select document type and schema</w:t>
            </w:r>
          </w:p>
        </w:tc>
        <w:tc>
          <w:tcPr>
            <w:tcW w:w="4896" w:type="dxa"/>
            <w:shd w:val="clear" w:color="auto" w:fill="FFFFFF"/>
            <w:tcMar>
              <w:top w:w="100" w:type="dxa"/>
              <w:left w:w="105" w:type="dxa"/>
              <w:bottom w:w="100" w:type="dxa"/>
              <w:right w:w="105" w:type="dxa"/>
            </w:tcMar>
            <w:vAlign w:val="center"/>
          </w:tcPr>
          <w:p w14:paraId="5AE2E9BB" w14:textId="77777777" w:rsidR="006A4D66" w:rsidRDefault="00000000">
            <w:r>
              <w:rPr>
                <w:color w:val="000000"/>
                <w:sz w:val="19"/>
              </w:rPr>
              <w:t>Prevent cross-document field confusion</w:t>
            </w:r>
          </w:p>
        </w:tc>
      </w:tr>
      <w:tr w:rsidR="006A4D66" w14:paraId="0E66807C" w14:textId="77777777">
        <w:trPr>
          <w:jc w:val="center"/>
        </w:trPr>
        <w:tc>
          <w:tcPr>
            <w:tcW w:w="1008" w:type="dxa"/>
            <w:shd w:val="clear" w:color="auto" w:fill="FFFFFF"/>
            <w:tcMar>
              <w:top w:w="100" w:type="dxa"/>
              <w:left w:w="105" w:type="dxa"/>
              <w:bottom w:w="100" w:type="dxa"/>
              <w:right w:w="105" w:type="dxa"/>
            </w:tcMar>
            <w:vAlign w:val="center"/>
          </w:tcPr>
          <w:p w14:paraId="47F45BEE" w14:textId="77777777" w:rsidR="006A4D66" w:rsidRDefault="00000000">
            <w:r>
              <w:rPr>
                <w:color w:val="000000"/>
                <w:sz w:val="19"/>
              </w:rPr>
              <w:t>3. Parse fields</w:t>
            </w:r>
          </w:p>
        </w:tc>
        <w:tc>
          <w:tcPr>
            <w:tcW w:w="4032" w:type="dxa"/>
            <w:shd w:val="clear" w:color="auto" w:fill="FFFFFF"/>
            <w:tcMar>
              <w:top w:w="100" w:type="dxa"/>
              <w:left w:w="105" w:type="dxa"/>
              <w:bottom w:w="100" w:type="dxa"/>
              <w:right w:w="105" w:type="dxa"/>
            </w:tcMar>
            <w:vAlign w:val="center"/>
          </w:tcPr>
          <w:p w14:paraId="0477A2F7" w14:textId="77777777" w:rsidR="006A4D66" w:rsidRDefault="00000000">
            <w:r>
              <w:rPr>
                <w:color w:val="000000"/>
                <w:sz w:val="19"/>
              </w:rPr>
              <w:t>Normalize dates, amounts, names, and narrative sections</w:t>
            </w:r>
          </w:p>
        </w:tc>
        <w:tc>
          <w:tcPr>
            <w:tcW w:w="4896" w:type="dxa"/>
            <w:shd w:val="clear" w:color="auto" w:fill="FFFFFF"/>
            <w:tcMar>
              <w:top w:w="100" w:type="dxa"/>
              <w:left w:w="105" w:type="dxa"/>
              <w:bottom w:w="100" w:type="dxa"/>
              <w:right w:w="105" w:type="dxa"/>
            </w:tcMar>
            <w:vAlign w:val="center"/>
          </w:tcPr>
          <w:p w14:paraId="7CB3879D" w14:textId="77777777" w:rsidR="006A4D66" w:rsidRDefault="00000000">
            <w:r>
              <w:rPr>
                <w:color w:val="000000"/>
                <w:sz w:val="19"/>
              </w:rPr>
              <w:t>Create machine-readable records</w:t>
            </w:r>
          </w:p>
        </w:tc>
      </w:tr>
      <w:tr w:rsidR="006A4D66" w14:paraId="2220DB0C" w14:textId="77777777">
        <w:trPr>
          <w:jc w:val="center"/>
        </w:trPr>
        <w:tc>
          <w:tcPr>
            <w:tcW w:w="1008" w:type="dxa"/>
            <w:shd w:val="clear" w:color="auto" w:fill="FFFFFF"/>
            <w:tcMar>
              <w:top w:w="100" w:type="dxa"/>
              <w:left w:w="105" w:type="dxa"/>
              <w:bottom w:w="100" w:type="dxa"/>
              <w:right w:w="105" w:type="dxa"/>
            </w:tcMar>
            <w:vAlign w:val="center"/>
          </w:tcPr>
          <w:p w14:paraId="0D5BBE7C" w14:textId="77777777" w:rsidR="006A4D66" w:rsidRDefault="00000000">
            <w:r>
              <w:rPr>
                <w:color w:val="000000"/>
                <w:sz w:val="19"/>
              </w:rPr>
              <w:t>4. Write JSON</w:t>
            </w:r>
          </w:p>
        </w:tc>
        <w:tc>
          <w:tcPr>
            <w:tcW w:w="4032" w:type="dxa"/>
            <w:shd w:val="clear" w:color="auto" w:fill="FFFFFF"/>
            <w:tcMar>
              <w:top w:w="100" w:type="dxa"/>
              <w:left w:w="105" w:type="dxa"/>
              <w:bottom w:w="100" w:type="dxa"/>
              <w:right w:w="105" w:type="dxa"/>
            </w:tcMar>
            <w:vAlign w:val="center"/>
          </w:tcPr>
          <w:p w14:paraId="13A75FAF" w14:textId="77777777" w:rsidR="006A4D66" w:rsidRDefault="00000000">
            <w:r>
              <w:rPr>
                <w:color w:val="000000"/>
                <w:sz w:val="19"/>
              </w:rPr>
              <w:t>Save one structured record per document</w:t>
            </w:r>
          </w:p>
        </w:tc>
        <w:tc>
          <w:tcPr>
            <w:tcW w:w="4896" w:type="dxa"/>
            <w:shd w:val="clear" w:color="auto" w:fill="FFFFFF"/>
            <w:tcMar>
              <w:top w:w="100" w:type="dxa"/>
              <w:left w:w="105" w:type="dxa"/>
              <w:bottom w:w="100" w:type="dxa"/>
              <w:right w:w="105" w:type="dxa"/>
            </w:tcMar>
            <w:vAlign w:val="center"/>
          </w:tcPr>
          <w:p w14:paraId="170E7EBD" w14:textId="77777777" w:rsidR="006A4D66" w:rsidRDefault="00000000">
            <w:r>
              <w:rPr>
                <w:color w:val="000000"/>
                <w:sz w:val="19"/>
              </w:rPr>
              <w:t>Create an auditable intermediate output</w:t>
            </w:r>
          </w:p>
        </w:tc>
      </w:tr>
      <w:tr w:rsidR="006A4D66" w14:paraId="342476B4" w14:textId="77777777">
        <w:trPr>
          <w:jc w:val="center"/>
        </w:trPr>
        <w:tc>
          <w:tcPr>
            <w:tcW w:w="1008" w:type="dxa"/>
            <w:shd w:val="clear" w:color="auto" w:fill="FFFFFF"/>
            <w:tcMar>
              <w:top w:w="100" w:type="dxa"/>
              <w:left w:w="105" w:type="dxa"/>
              <w:bottom w:w="100" w:type="dxa"/>
              <w:right w:w="105" w:type="dxa"/>
            </w:tcMar>
            <w:vAlign w:val="center"/>
          </w:tcPr>
          <w:p w14:paraId="618032A6" w14:textId="77777777" w:rsidR="006A4D66" w:rsidRDefault="00000000">
            <w:r>
              <w:rPr>
                <w:color w:val="000000"/>
                <w:sz w:val="19"/>
              </w:rPr>
              <w:t>5. Measure accuracy</w:t>
            </w:r>
          </w:p>
        </w:tc>
        <w:tc>
          <w:tcPr>
            <w:tcW w:w="4032" w:type="dxa"/>
            <w:shd w:val="clear" w:color="auto" w:fill="FFFFFF"/>
            <w:tcMar>
              <w:top w:w="100" w:type="dxa"/>
              <w:left w:w="105" w:type="dxa"/>
              <w:bottom w:w="100" w:type="dxa"/>
              <w:right w:w="105" w:type="dxa"/>
            </w:tcMar>
            <w:vAlign w:val="center"/>
          </w:tcPr>
          <w:p w14:paraId="0E23FB9A" w14:textId="77777777" w:rsidR="006A4D66" w:rsidRDefault="00000000">
            <w:r>
              <w:rPr>
                <w:color w:val="000000"/>
                <w:sz w:val="19"/>
              </w:rPr>
              <w:t>Compare baseline / LLM outputs with ground truth when applicable</w:t>
            </w:r>
          </w:p>
        </w:tc>
        <w:tc>
          <w:tcPr>
            <w:tcW w:w="4896" w:type="dxa"/>
            <w:shd w:val="clear" w:color="auto" w:fill="FFFFFF"/>
            <w:tcMar>
              <w:top w:w="100" w:type="dxa"/>
              <w:left w:w="105" w:type="dxa"/>
              <w:bottom w:w="100" w:type="dxa"/>
              <w:right w:w="105" w:type="dxa"/>
            </w:tcMar>
            <w:vAlign w:val="center"/>
          </w:tcPr>
          <w:p w14:paraId="1577E8A3" w14:textId="77777777" w:rsidR="006A4D66" w:rsidRDefault="00000000">
            <w:r>
              <w:rPr>
                <w:color w:val="000000"/>
                <w:sz w:val="19"/>
              </w:rPr>
              <w:t>Separate extraction quality from business validity</w:t>
            </w:r>
          </w:p>
        </w:tc>
      </w:tr>
      <w:tr w:rsidR="006A4D66" w14:paraId="364A5034" w14:textId="77777777">
        <w:trPr>
          <w:jc w:val="center"/>
        </w:trPr>
        <w:tc>
          <w:tcPr>
            <w:tcW w:w="1008" w:type="dxa"/>
            <w:shd w:val="clear" w:color="auto" w:fill="FFFFFF"/>
            <w:tcMar>
              <w:top w:w="100" w:type="dxa"/>
              <w:left w:w="105" w:type="dxa"/>
              <w:bottom w:w="100" w:type="dxa"/>
              <w:right w:w="105" w:type="dxa"/>
            </w:tcMar>
            <w:vAlign w:val="center"/>
          </w:tcPr>
          <w:p w14:paraId="75EAA7C9" w14:textId="77777777" w:rsidR="006A4D66" w:rsidRDefault="00000000">
            <w:r>
              <w:rPr>
                <w:color w:val="000000"/>
                <w:sz w:val="19"/>
              </w:rPr>
              <w:t>6. Validate</w:t>
            </w:r>
          </w:p>
        </w:tc>
        <w:tc>
          <w:tcPr>
            <w:tcW w:w="4032" w:type="dxa"/>
            <w:shd w:val="clear" w:color="auto" w:fill="FFFFFF"/>
            <w:tcMar>
              <w:top w:w="100" w:type="dxa"/>
              <w:left w:w="105" w:type="dxa"/>
              <w:bottom w:w="100" w:type="dxa"/>
              <w:right w:w="105" w:type="dxa"/>
            </w:tcMar>
            <w:vAlign w:val="center"/>
          </w:tcPr>
          <w:p w14:paraId="4633C667" w14:textId="77777777" w:rsidR="006A4D66" w:rsidRDefault="00000000">
            <w:r>
              <w:rPr>
                <w:color w:val="000000"/>
                <w:sz w:val="19"/>
              </w:rPr>
              <w:t>Run document-specific and cross-record rules</w:t>
            </w:r>
          </w:p>
        </w:tc>
        <w:tc>
          <w:tcPr>
            <w:tcW w:w="4896" w:type="dxa"/>
            <w:shd w:val="clear" w:color="auto" w:fill="FFFFFF"/>
            <w:tcMar>
              <w:top w:w="100" w:type="dxa"/>
              <w:left w:w="105" w:type="dxa"/>
              <w:bottom w:w="100" w:type="dxa"/>
              <w:right w:w="105" w:type="dxa"/>
            </w:tcMar>
            <w:vAlign w:val="center"/>
          </w:tcPr>
          <w:p w14:paraId="4B4F24F9" w14:textId="77777777" w:rsidR="006A4D66" w:rsidRDefault="00000000">
            <w:r>
              <w:rPr>
                <w:color w:val="000000"/>
                <w:sz w:val="19"/>
              </w:rPr>
              <w:t>Detect business exceptions before update</w:t>
            </w:r>
          </w:p>
        </w:tc>
      </w:tr>
    </w:tbl>
    <w:p w14:paraId="5BF3BC5F" w14:textId="77777777" w:rsidR="006A4D66" w:rsidRDefault="006A4D66">
      <w:pPr>
        <w:spacing w:after="120" w:line="259" w:lineRule="auto"/>
      </w:pPr>
    </w:p>
    <w:p w14:paraId="308E6E6A" w14:textId="77777777" w:rsidR="006A4D66" w:rsidRDefault="00000000">
      <w:pPr>
        <w:pStyle w:val="Heading2"/>
        <w:spacing w:after="120" w:line="259" w:lineRule="auto"/>
      </w:pPr>
      <w:r>
        <w:rPr>
          <w:rFonts w:ascii="Aptos" w:eastAsia="Aptos" w:hAnsi="Aptos"/>
          <w:b w:val="0"/>
          <w:color w:val="172033"/>
          <w:sz w:val="21"/>
        </w:rPr>
        <w:t>5.4 Six-Document Demonstration Batch</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008"/>
        <w:gridCol w:w="2880"/>
        <w:gridCol w:w="4464"/>
        <w:gridCol w:w="1584"/>
      </w:tblGrid>
      <w:tr w:rsidR="006A4D66" w14:paraId="1CE32E44" w14:textId="77777777">
        <w:trPr>
          <w:tblHeader/>
          <w:jc w:val="center"/>
        </w:trPr>
        <w:tc>
          <w:tcPr>
            <w:tcW w:w="1008" w:type="dxa"/>
            <w:shd w:val="clear" w:color="auto" w:fill="D9EAF7"/>
            <w:tcMar>
              <w:top w:w="100" w:type="dxa"/>
              <w:left w:w="105" w:type="dxa"/>
              <w:bottom w:w="100" w:type="dxa"/>
              <w:right w:w="105" w:type="dxa"/>
            </w:tcMar>
            <w:vAlign w:val="center"/>
          </w:tcPr>
          <w:p w14:paraId="632EB38B" w14:textId="77777777" w:rsidR="006A4D66" w:rsidRDefault="00000000">
            <w:pPr>
              <w:jc w:val="center"/>
            </w:pPr>
            <w:r>
              <w:rPr>
                <w:b/>
                <w:color w:val="000000"/>
                <w:sz w:val="19"/>
              </w:rPr>
              <w:t>ID</w:t>
            </w:r>
          </w:p>
        </w:tc>
        <w:tc>
          <w:tcPr>
            <w:tcW w:w="2880" w:type="dxa"/>
            <w:shd w:val="clear" w:color="auto" w:fill="D9EAF7"/>
            <w:tcMar>
              <w:top w:w="100" w:type="dxa"/>
              <w:left w:w="105" w:type="dxa"/>
              <w:bottom w:w="100" w:type="dxa"/>
              <w:right w:w="105" w:type="dxa"/>
            </w:tcMar>
            <w:vAlign w:val="center"/>
          </w:tcPr>
          <w:p w14:paraId="11AACFF0" w14:textId="77777777" w:rsidR="006A4D66" w:rsidRDefault="00000000">
            <w:pPr>
              <w:jc w:val="center"/>
            </w:pPr>
            <w:r>
              <w:rPr>
                <w:b/>
                <w:color w:val="000000"/>
                <w:sz w:val="19"/>
              </w:rPr>
              <w:t>Document</w:t>
            </w:r>
          </w:p>
        </w:tc>
        <w:tc>
          <w:tcPr>
            <w:tcW w:w="4464" w:type="dxa"/>
            <w:shd w:val="clear" w:color="auto" w:fill="D9EAF7"/>
            <w:tcMar>
              <w:top w:w="100" w:type="dxa"/>
              <w:left w:w="105" w:type="dxa"/>
              <w:bottom w:w="100" w:type="dxa"/>
              <w:right w:w="105" w:type="dxa"/>
            </w:tcMar>
            <w:vAlign w:val="center"/>
          </w:tcPr>
          <w:p w14:paraId="60F7E800" w14:textId="77777777" w:rsidR="006A4D66" w:rsidRDefault="00000000">
            <w:pPr>
              <w:jc w:val="center"/>
            </w:pPr>
            <w:r>
              <w:rPr>
                <w:b/>
                <w:color w:val="000000"/>
                <w:sz w:val="19"/>
              </w:rPr>
              <w:t>Extraction objective</w:t>
            </w:r>
          </w:p>
        </w:tc>
        <w:tc>
          <w:tcPr>
            <w:tcW w:w="1584" w:type="dxa"/>
            <w:shd w:val="clear" w:color="auto" w:fill="D9EAF7"/>
            <w:tcMar>
              <w:top w:w="100" w:type="dxa"/>
              <w:left w:w="105" w:type="dxa"/>
              <w:bottom w:w="100" w:type="dxa"/>
              <w:right w:w="105" w:type="dxa"/>
            </w:tcMar>
            <w:vAlign w:val="center"/>
          </w:tcPr>
          <w:p w14:paraId="218C4296" w14:textId="77777777" w:rsidR="006A4D66" w:rsidRDefault="00000000">
            <w:pPr>
              <w:jc w:val="center"/>
            </w:pPr>
            <w:r>
              <w:rPr>
                <w:b/>
                <w:color w:val="000000"/>
                <w:sz w:val="19"/>
              </w:rPr>
              <w:t>Final status</w:t>
            </w:r>
          </w:p>
        </w:tc>
      </w:tr>
      <w:tr w:rsidR="006A4D66" w14:paraId="512009BD" w14:textId="77777777">
        <w:trPr>
          <w:jc w:val="center"/>
        </w:trPr>
        <w:tc>
          <w:tcPr>
            <w:tcW w:w="1008" w:type="dxa"/>
            <w:shd w:val="clear" w:color="auto" w:fill="FFFFFF"/>
            <w:tcMar>
              <w:top w:w="100" w:type="dxa"/>
              <w:left w:w="105" w:type="dxa"/>
              <w:bottom w:w="100" w:type="dxa"/>
              <w:right w:w="105" w:type="dxa"/>
            </w:tcMar>
            <w:vAlign w:val="center"/>
          </w:tcPr>
          <w:p w14:paraId="52729BE7" w14:textId="77777777" w:rsidR="006A4D66" w:rsidRDefault="00000000">
            <w:r>
              <w:rPr>
                <w:color w:val="000000"/>
                <w:sz w:val="19"/>
              </w:rPr>
              <w:t>PDF_001</w:t>
            </w:r>
          </w:p>
        </w:tc>
        <w:tc>
          <w:tcPr>
            <w:tcW w:w="2880" w:type="dxa"/>
            <w:shd w:val="clear" w:color="auto" w:fill="FFFFFF"/>
            <w:tcMar>
              <w:top w:w="100" w:type="dxa"/>
              <w:left w:w="105" w:type="dxa"/>
              <w:bottom w:w="100" w:type="dxa"/>
              <w:right w:w="105" w:type="dxa"/>
            </w:tcMar>
            <w:vAlign w:val="center"/>
          </w:tcPr>
          <w:p w14:paraId="11D3C569" w14:textId="77777777" w:rsidR="006A4D66" w:rsidRDefault="00000000">
            <w:r>
              <w:rPr>
                <w:color w:val="000000"/>
                <w:sz w:val="19"/>
              </w:rPr>
              <w:t>Northstar capital call</w:t>
            </w:r>
          </w:p>
        </w:tc>
        <w:tc>
          <w:tcPr>
            <w:tcW w:w="4464" w:type="dxa"/>
            <w:shd w:val="clear" w:color="auto" w:fill="FFFFFF"/>
            <w:tcMar>
              <w:top w:w="100" w:type="dxa"/>
              <w:left w:w="105" w:type="dxa"/>
              <w:bottom w:w="100" w:type="dxa"/>
              <w:right w:w="105" w:type="dxa"/>
            </w:tcMar>
            <w:vAlign w:val="center"/>
          </w:tcPr>
          <w:p w14:paraId="0449147B" w14:textId="77777777" w:rsidR="006A4D66" w:rsidRDefault="00000000">
            <w:r>
              <w:rPr>
                <w:color w:val="000000"/>
                <w:sz w:val="19"/>
              </w:rPr>
              <w:t>Standard call fields and commitment context</w:t>
            </w:r>
          </w:p>
        </w:tc>
        <w:tc>
          <w:tcPr>
            <w:tcW w:w="1584" w:type="dxa"/>
            <w:shd w:val="clear" w:color="auto" w:fill="FFFFFF"/>
            <w:tcMar>
              <w:top w:w="100" w:type="dxa"/>
              <w:left w:w="105" w:type="dxa"/>
              <w:bottom w:w="100" w:type="dxa"/>
              <w:right w:w="105" w:type="dxa"/>
            </w:tcMar>
            <w:vAlign w:val="center"/>
          </w:tcPr>
          <w:p w14:paraId="02A3632B" w14:textId="77777777" w:rsidR="006A4D66" w:rsidRDefault="00000000">
            <w:r>
              <w:rPr>
                <w:color w:val="000000"/>
                <w:sz w:val="19"/>
              </w:rPr>
              <w:t>Needs review</w:t>
            </w:r>
          </w:p>
        </w:tc>
      </w:tr>
      <w:tr w:rsidR="006A4D66" w14:paraId="295C7A52" w14:textId="77777777">
        <w:trPr>
          <w:jc w:val="center"/>
        </w:trPr>
        <w:tc>
          <w:tcPr>
            <w:tcW w:w="1008" w:type="dxa"/>
            <w:shd w:val="clear" w:color="auto" w:fill="FFFFFF"/>
            <w:tcMar>
              <w:top w:w="100" w:type="dxa"/>
              <w:left w:w="105" w:type="dxa"/>
              <w:bottom w:w="100" w:type="dxa"/>
              <w:right w:w="105" w:type="dxa"/>
            </w:tcMar>
            <w:vAlign w:val="center"/>
          </w:tcPr>
          <w:p w14:paraId="55227C71" w14:textId="77777777" w:rsidR="006A4D66" w:rsidRDefault="00000000">
            <w:r>
              <w:rPr>
                <w:color w:val="000000"/>
                <w:sz w:val="19"/>
              </w:rPr>
              <w:t>PDF_002</w:t>
            </w:r>
          </w:p>
        </w:tc>
        <w:tc>
          <w:tcPr>
            <w:tcW w:w="2880" w:type="dxa"/>
            <w:shd w:val="clear" w:color="auto" w:fill="FFFFFF"/>
            <w:tcMar>
              <w:top w:w="100" w:type="dxa"/>
              <w:left w:w="105" w:type="dxa"/>
              <w:bottom w:w="100" w:type="dxa"/>
              <w:right w:w="105" w:type="dxa"/>
            </w:tcMar>
            <w:vAlign w:val="center"/>
          </w:tcPr>
          <w:p w14:paraId="270CD14C" w14:textId="77777777" w:rsidR="006A4D66" w:rsidRDefault="00000000">
            <w:r>
              <w:rPr>
                <w:color w:val="000000"/>
                <w:sz w:val="19"/>
              </w:rPr>
              <w:t>SeedSpring capital call exception</w:t>
            </w:r>
          </w:p>
        </w:tc>
        <w:tc>
          <w:tcPr>
            <w:tcW w:w="4464" w:type="dxa"/>
            <w:shd w:val="clear" w:color="auto" w:fill="FFFFFF"/>
            <w:tcMar>
              <w:top w:w="100" w:type="dxa"/>
              <w:left w:w="105" w:type="dxa"/>
              <w:bottom w:w="100" w:type="dxa"/>
              <w:right w:w="105" w:type="dxa"/>
            </w:tcMar>
            <w:vAlign w:val="center"/>
          </w:tcPr>
          <w:p w14:paraId="31C606B5" w14:textId="77777777" w:rsidR="006A4D66" w:rsidRDefault="00000000">
            <w:r>
              <w:rPr>
                <w:color w:val="000000"/>
                <w:sz w:val="19"/>
              </w:rPr>
              <w:t>Alias handling and incomplete commitment context</w:t>
            </w:r>
          </w:p>
        </w:tc>
        <w:tc>
          <w:tcPr>
            <w:tcW w:w="1584" w:type="dxa"/>
            <w:shd w:val="clear" w:color="auto" w:fill="FFFFFF"/>
            <w:tcMar>
              <w:top w:w="100" w:type="dxa"/>
              <w:left w:w="105" w:type="dxa"/>
              <w:bottom w:w="100" w:type="dxa"/>
              <w:right w:w="105" w:type="dxa"/>
            </w:tcMar>
            <w:vAlign w:val="center"/>
          </w:tcPr>
          <w:p w14:paraId="14FC2D24" w14:textId="77777777" w:rsidR="006A4D66" w:rsidRDefault="00000000">
            <w:r>
              <w:rPr>
                <w:color w:val="000000"/>
                <w:sz w:val="19"/>
              </w:rPr>
              <w:t>Needs review</w:t>
            </w:r>
          </w:p>
        </w:tc>
      </w:tr>
      <w:tr w:rsidR="006A4D66" w14:paraId="5E98D163" w14:textId="77777777">
        <w:trPr>
          <w:jc w:val="center"/>
        </w:trPr>
        <w:tc>
          <w:tcPr>
            <w:tcW w:w="1008" w:type="dxa"/>
            <w:shd w:val="clear" w:color="auto" w:fill="FFFFFF"/>
            <w:tcMar>
              <w:top w:w="100" w:type="dxa"/>
              <w:left w:w="105" w:type="dxa"/>
              <w:bottom w:w="100" w:type="dxa"/>
              <w:right w:w="105" w:type="dxa"/>
            </w:tcMar>
            <w:vAlign w:val="center"/>
          </w:tcPr>
          <w:p w14:paraId="5BCD7720" w14:textId="77777777" w:rsidR="006A4D66" w:rsidRDefault="00000000">
            <w:r>
              <w:rPr>
                <w:color w:val="000000"/>
                <w:sz w:val="19"/>
              </w:rPr>
              <w:t>PDF_003</w:t>
            </w:r>
          </w:p>
        </w:tc>
        <w:tc>
          <w:tcPr>
            <w:tcW w:w="2880" w:type="dxa"/>
            <w:shd w:val="clear" w:color="auto" w:fill="FFFFFF"/>
            <w:tcMar>
              <w:top w:w="100" w:type="dxa"/>
              <w:left w:w="105" w:type="dxa"/>
              <w:bottom w:w="100" w:type="dxa"/>
              <w:right w:w="105" w:type="dxa"/>
            </w:tcMar>
            <w:vAlign w:val="center"/>
          </w:tcPr>
          <w:p w14:paraId="745FF092" w14:textId="77777777" w:rsidR="006A4D66" w:rsidRDefault="00000000">
            <w:r>
              <w:rPr>
                <w:color w:val="000000"/>
                <w:sz w:val="19"/>
              </w:rPr>
              <w:t>Harbor Peak distribution</w:t>
            </w:r>
          </w:p>
        </w:tc>
        <w:tc>
          <w:tcPr>
            <w:tcW w:w="4464" w:type="dxa"/>
            <w:shd w:val="clear" w:color="auto" w:fill="FFFFFF"/>
            <w:tcMar>
              <w:top w:w="100" w:type="dxa"/>
              <w:left w:w="105" w:type="dxa"/>
              <w:bottom w:w="100" w:type="dxa"/>
              <w:right w:w="105" w:type="dxa"/>
            </w:tcMar>
            <w:vAlign w:val="center"/>
          </w:tcPr>
          <w:p w14:paraId="1F9D0B19" w14:textId="77777777" w:rsidR="006A4D66" w:rsidRDefault="00000000">
            <w:r>
              <w:rPr>
                <w:color w:val="000000"/>
                <w:sz w:val="19"/>
              </w:rPr>
              <w:t>Distribution amount and component reconciliation</w:t>
            </w:r>
          </w:p>
        </w:tc>
        <w:tc>
          <w:tcPr>
            <w:tcW w:w="1584" w:type="dxa"/>
            <w:shd w:val="clear" w:color="auto" w:fill="FFFFFF"/>
            <w:tcMar>
              <w:top w:w="100" w:type="dxa"/>
              <w:left w:w="105" w:type="dxa"/>
              <w:bottom w:w="100" w:type="dxa"/>
              <w:right w:w="105" w:type="dxa"/>
            </w:tcMar>
            <w:vAlign w:val="center"/>
          </w:tcPr>
          <w:p w14:paraId="66BF93DF" w14:textId="77777777" w:rsidR="006A4D66" w:rsidRDefault="00000000">
            <w:r>
              <w:rPr>
                <w:color w:val="000000"/>
                <w:sz w:val="19"/>
              </w:rPr>
              <w:t>Approved</w:t>
            </w:r>
          </w:p>
        </w:tc>
      </w:tr>
      <w:tr w:rsidR="006A4D66" w14:paraId="673415F3" w14:textId="77777777">
        <w:trPr>
          <w:jc w:val="center"/>
        </w:trPr>
        <w:tc>
          <w:tcPr>
            <w:tcW w:w="1008" w:type="dxa"/>
            <w:shd w:val="clear" w:color="auto" w:fill="FFFFFF"/>
            <w:tcMar>
              <w:top w:w="100" w:type="dxa"/>
              <w:left w:w="105" w:type="dxa"/>
              <w:bottom w:w="100" w:type="dxa"/>
              <w:right w:w="105" w:type="dxa"/>
            </w:tcMar>
            <w:vAlign w:val="center"/>
          </w:tcPr>
          <w:p w14:paraId="27A5BB14" w14:textId="77777777" w:rsidR="006A4D66" w:rsidRDefault="00000000">
            <w:r>
              <w:rPr>
                <w:color w:val="000000"/>
                <w:sz w:val="19"/>
              </w:rPr>
              <w:t>PDF_004</w:t>
            </w:r>
          </w:p>
        </w:tc>
        <w:tc>
          <w:tcPr>
            <w:tcW w:w="2880" w:type="dxa"/>
            <w:shd w:val="clear" w:color="auto" w:fill="FFFFFF"/>
            <w:tcMar>
              <w:top w:w="100" w:type="dxa"/>
              <w:left w:w="105" w:type="dxa"/>
              <w:bottom w:w="100" w:type="dxa"/>
              <w:right w:w="105" w:type="dxa"/>
            </w:tcMar>
            <w:vAlign w:val="center"/>
          </w:tcPr>
          <w:p w14:paraId="1C06A843" w14:textId="77777777" w:rsidR="006A4D66" w:rsidRDefault="00000000">
            <w:r>
              <w:rPr>
                <w:color w:val="000000"/>
                <w:sz w:val="19"/>
              </w:rPr>
              <w:t>Northstar PCAP</w:t>
            </w:r>
          </w:p>
        </w:tc>
        <w:tc>
          <w:tcPr>
            <w:tcW w:w="4464" w:type="dxa"/>
            <w:shd w:val="clear" w:color="auto" w:fill="FFFFFF"/>
            <w:tcMar>
              <w:top w:w="100" w:type="dxa"/>
              <w:left w:w="105" w:type="dxa"/>
              <w:bottom w:w="100" w:type="dxa"/>
              <w:right w:w="105" w:type="dxa"/>
            </w:tcMar>
            <w:vAlign w:val="center"/>
          </w:tcPr>
          <w:p w14:paraId="4671DC72" w14:textId="77777777" w:rsidR="006A4D66" w:rsidRDefault="00000000">
            <w:r>
              <w:rPr>
                <w:color w:val="000000"/>
                <w:sz w:val="19"/>
              </w:rPr>
              <w:t>NAV roll-forward and commitment reconciliation</w:t>
            </w:r>
          </w:p>
        </w:tc>
        <w:tc>
          <w:tcPr>
            <w:tcW w:w="1584" w:type="dxa"/>
            <w:shd w:val="clear" w:color="auto" w:fill="FFFFFF"/>
            <w:tcMar>
              <w:top w:w="100" w:type="dxa"/>
              <w:left w:w="105" w:type="dxa"/>
              <w:bottom w:w="100" w:type="dxa"/>
              <w:right w:w="105" w:type="dxa"/>
            </w:tcMar>
            <w:vAlign w:val="center"/>
          </w:tcPr>
          <w:p w14:paraId="1922CD8B" w14:textId="77777777" w:rsidR="006A4D66" w:rsidRDefault="00000000">
            <w:r>
              <w:rPr>
                <w:color w:val="000000"/>
                <w:sz w:val="19"/>
              </w:rPr>
              <w:t>Approved</w:t>
            </w:r>
          </w:p>
        </w:tc>
      </w:tr>
      <w:tr w:rsidR="006A4D66" w14:paraId="2B4EE554" w14:textId="77777777">
        <w:trPr>
          <w:jc w:val="center"/>
        </w:trPr>
        <w:tc>
          <w:tcPr>
            <w:tcW w:w="1008" w:type="dxa"/>
            <w:shd w:val="clear" w:color="auto" w:fill="FFFFFF"/>
            <w:tcMar>
              <w:top w:w="100" w:type="dxa"/>
              <w:left w:w="105" w:type="dxa"/>
              <w:bottom w:w="100" w:type="dxa"/>
              <w:right w:w="105" w:type="dxa"/>
            </w:tcMar>
            <w:vAlign w:val="center"/>
          </w:tcPr>
          <w:p w14:paraId="543AFDEB" w14:textId="77777777" w:rsidR="006A4D66" w:rsidRDefault="00000000">
            <w:r>
              <w:rPr>
                <w:color w:val="000000"/>
                <w:sz w:val="19"/>
              </w:rPr>
              <w:t>PDF_005</w:t>
            </w:r>
          </w:p>
        </w:tc>
        <w:tc>
          <w:tcPr>
            <w:tcW w:w="2880" w:type="dxa"/>
            <w:shd w:val="clear" w:color="auto" w:fill="FFFFFF"/>
            <w:tcMar>
              <w:top w:w="100" w:type="dxa"/>
              <w:left w:w="105" w:type="dxa"/>
              <w:bottom w:w="100" w:type="dxa"/>
              <w:right w:w="105" w:type="dxa"/>
            </w:tcMar>
            <w:vAlign w:val="center"/>
          </w:tcPr>
          <w:p w14:paraId="762BF6C3" w14:textId="77777777" w:rsidR="006A4D66" w:rsidRDefault="00000000">
            <w:r>
              <w:rPr>
                <w:color w:val="000000"/>
                <w:sz w:val="19"/>
              </w:rPr>
              <w:t>LionRock PCAP exception</w:t>
            </w:r>
          </w:p>
        </w:tc>
        <w:tc>
          <w:tcPr>
            <w:tcW w:w="4464" w:type="dxa"/>
            <w:shd w:val="clear" w:color="auto" w:fill="FFFFFF"/>
            <w:tcMar>
              <w:top w:w="100" w:type="dxa"/>
              <w:left w:w="105" w:type="dxa"/>
              <w:bottom w:w="100" w:type="dxa"/>
              <w:right w:w="105" w:type="dxa"/>
            </w:tcMar>
            <w:vAlign w:val="center"/>
          </w:tcPr>
          <w:p w14:paraId="0FA6813E" w14:textId="77777777" w:rsidR="006A4D66" w:rsidRDefault="00000000">
            <w:r>
              <w:rPr>
                <w:color w:val="000000"/>
                <w:sz w:val="19"/>
              </w:rPr>
              <w:t>Detect NAV / commitment inconsistency</w:t>
            </w:r>
          </w:p>
        </w:tc>
        <w:tc>
          <w:tcPr>
            <w:tcW w:w="1584" w:type="dxa"/>
            <w:shd w:val="clear" w:color="auto" w:fill="FFFFFF"/>
            <w:tcMar>
              <w:top w:w="100" w:type="dxa"/>
              <w:left w:w="105" w:type="dxa"/>
              <w:bottom w:w="100" w:type="dxa"/>
              <w:right w:w="105" w:type="dxa"/>
            </w:tcMar>
            <w:vAlign w:val="center"/>
          </w:tcPr>
          <w:p w14:paraId="01B8D84E" w14:textId="77777777" w:rsidR="006A4D66" w:rsidRDefault="00000000">
            <w:r>
              <w:rPr>
                <w:color w:val="000000"/>
                <w:sz w:val="19"/>
              </w:rPr>
              <w:t>Rejected</w:t>
            </w:r>
          </w:p>
        </w:tc>
      </w:tr>
      <w:tr w:rsidR="006A4D66" w14:paraId="756993EE" w14:textId="77777777">
        <w:trPr>
          <w:jc w:val="center"/>
        </w:trPr>
        <w:tc>
          <w:tcPr>
            <w:tcW w:w="1008" w:type="dxa"/>
            <w:shd w:val="clear" w:color="auto" w:fill="FFFFFF"/>
            <w:tcMar>
              <w:top w:w="100" w:type="dxa"/>
              <w:left w:w="105" w:type="dxa"/>
              <w:bottom w:w="100" w:type="dxa"/>
              <w:right w:w="105" w:type="dxa"/>
            </w:tcMar>
            <w:vAlign w:val="center"/>
          </w:tcPr>
          <w:p w14:paraId="0CC09BD1" w14:textId="77777777" w:rsidR="006A4D66" w:rsidRDefault="00000000">
            <w:r>
              <w:rPr>
                <w:color w:val="000000"/>
                <w:sz w:val="19"/>
              </w:rPr>
              <w:t>PDF_006</w:t>
            </w:r>
          </w:p>
        </w:tc>
        <w:tc>
          <w:tcPr>
            <w:tcW w:w="2880" w:type="dxa"/>
            <w:shd w:val="clear" w:color="auto" w:fill="FFFFFF"/>
            <w:tcMar>
              <w:top w:w="100" w:type="dxa"/>
              <w:left w:w="105" w:type="dxa"/>
              <w:bottom w:w="100" w:type="dxa"/>
              <w:right w:w="105" w:type="dxa"/>
            </w:tcMar>
            <w:vAlign w:val="center"/>
          </w:tcPr>
          <w:p w14:paraId="5426524D" w14:textId="77777777" w:rsidR="006A4D66" w:rsidRDefault="00000000">
            <w:r>
              <w:rPr>
                <w:color w:val="000000"/>
                <w:sz w:val="19"/>
              </w:rPr>
              <w:t>Blue Horizon newsletter</w:t>
            </w:r>
          </w:p>
        </w:tc>
        <w:tc>
          <w:tcPr>
            <w:tcW w:w="4464" w:type="dxa"/>
            <w:shd w:val="clear" w:color="auto" w:fill="FFFFFF"/>
            <w:tcMar>
              <w:top w:w="100" w:type="dxa"/>
              <w:left w:w="105" w:type="dxa"/>
              <w:bottom w:w="100" w:type="dxa"/>
              <w:right w:w="105" w:type="dxa"/>
            </w:tcMar>
            <w:vAlign w:val="center"/>
          </w:tcPr>
          <w:p w14:paraId="5D3048B6" w14:textId="77777777" w:rsidR="006A4D66" w:rsidRDefault="00000000">
            <w:r>
              <w:rPr>
                <w:color w:val="000000"/>
                <w:sz w:val="19"/>
              </w:rPr>
              <w:t>Qualitative commentary and expected activity</w:t>
            </w:r>
          </w:p>
        </w:tc>
        <w:tc>
          <w:tcPr>
            <w:tcW w:w="1584" w:type="dxa"/>
            <w:shd w:val="clear" w:color="auto" w:fill="FFFFFF"/>
            <w:tcMar>
              <w:top w:w="100" w:type="dxa"/>
              <w:left w:w="105" w:type="dxa"/>
              <w:bottom w:w="100" w:type="dxa"/>
              <w:right w:w="105" w:type="dxa"/>
            </w:tcMar>
            <w:vAlign w:val="center"/>
          </w:tcPr>
          <w:p w14:paraId="206247CF" w14:textId="77777777" w:rsidR="006A4D66" w:rsidRDefault="00000000">
            <w:r>
              <w:rPr>
                <w:color w:val="000000"/>
                <w:sz w:val="19"/>
              </w:rPr>
              <w:t>Approved</w:t>
            </w:r>
          </w:p>
        </w:tc>
      </w:tr>
    </w:tbl>
    <w:p w14:paraId="6E5D1974" w14:textId="77777777" w:rsidR="006A4D66" w:rsidRDefault="006A4D66">
      <w:pPr>
        <w:spacing w:after="120" w:line="259" w:lineRule="auto"/>
      </w:pPr>
    </w:p>
    <w:p w14:paraId="04A66B0F" w14:textId="77777777" w:rsidR="006A4D66" w:rsidRDefault="00000000">
      <w:pPr>
        <w:pStyle w:val="Heading2"/>
        <w:spacing w:after="120" w:line="259" w:lineRule="auto"/>
      </w:pPr>
      <w:r>
        <w:rPr>
          <w:rFonts w:ascii="Aptos" w:eastAsia="Aptos" w:hAnsi="Aptos"/>
          <w:b w:val="0"/>
          <w:color w:val="172033"/>
          <w:sz w:val="21"/>
        </w:rPr>
        <w:t>5.5 Validation Rules and Status Roll-Up</w:t>
      </w:r>
    </w:p>
    <w:p w14:paraId="7F65D1EC" w14:textId="77777777" w:rsidR="006A4D66" w:rsidRDefault="00000000">
      <w:pPr>
        <w:spacing w:after="120" w:line="259" w:lineRule="auto"/>
      </w:pPr>
      <w:r>
        <w:rPr>
          <w:rFonts w:ascii="Aptos" w:eastAsia="Aptos" w:hAnsi="Aptos"/>
          <w:color w:val="172033"/>
          <w:sz w:val="21"/>
        </w:rPr>
        <w:t>The validation engine evaluates both extraction completeness and portfolio consistency. A record may be syntactically valid but still unsafe to apply. For example, a recognized fund and correctly parsed amount do not resolve a missing commitment reconciliation or an inconsistent NAV roll-forward.</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304"/>
        <w:gridCol w:w="5040"/>
        <w:gridCol w:w="2592"/>
      </w:tblGrid>
      <w:tr w:rsidR="006A4D66" w14:paraId="060B1A94" w14:textId="77777777">
        <w:trPr>
          <w:tblHeader/>
          <w:jc w:val="center"/>
        </w:trPr>
        <w:tc>
          <w:tcPr>
            <w:tcW w:w="2304" w:type="dxa"/>
            <w:shd w:val="clear" w:color="auto" w:fill="D9EAF7"/>
            <w:tcMar>
              <w:top w:w="100" w:type="dxa"/>
              <w:left w:w="105" w:type="dxa"/>
              <w:bottom w:w="100" w:type="dxa"/>
              <w:right w:w="105" w:type="dxa"/>
            </w:tcMar>
            <w:vAlign w:val="center"/>
          </w:tcPr>
          <w:p w14:paraId="003342C6" w14:textId="77777777" w:rsidR="006A4D66" w:rsidRDefault="00000000">
            <w:pPr>
              <w:jc w:val="center"/>
            </w:pPr>
            <w:r>
              <w:rPr>
                <w:b/>
                <w:color w:val="000000"/>
                <w:sz w:val="19"/>
              </w:rPr>
              <w:t>Rule</w:t>
            </w:r>
          </w:p>
        </w:tc>
        <w:tc>
          <w:tcPr>
            <w:tcW w:w="5040" w:type="dxa"/>
            <w:shd w:val="clear" w:color="auto" w:fill="D9EAF7"/>
            <w:tcMar>
              <w:top w:w="100" w:type="dxa"/>
              <w:left w:w="105" w:type="dxa"/>
              <w:bottom w:w="100" w:type="dxa"/>
              <w:right w:w="105" w:type="dxa"/>
            </w:tcMar>
            <w:vAlign w:val="center"/>
          </w:tcPr>
          <w:p w14:paraId="499558F5" w14:textId="77777777" w:rsidR="006A4D66" w:rsidRDefault="00000000">
            <w:pPr>
              <w:jc w:val="center"/>
            </w:pPr>
            <w:r>
              <w:rPr>
                <w:b/>
                <w:color w:val="000000"/>
                <w:sz w:val="19"/>
              </w:rPr>
              <w:t>Question answered</w:t>
            </w:r>
          </w:p>
        </w:tc>
        <w:tc>
          <w:tcPr>
            <w:tcW w:w="2592" w:type="dxa"/>
            <w:shd w:val="clear" w:color="auto" w:fill="D9EAF7"/>
            <w:tcMar>
              <w:top w:w="100" w:type="dxa"/>
              <w:left w:w="105" w:type="dxa"/>
              <w:bottom w:w="100" w:type="dxa"/>
              <w:right w:w="105" w:type="dxa"/>
            </w:tcMar>
            <w:vAlign w:val="center"/>
          </w:tcPr>
          <w:p w14:paraId="01827D3C" w14:textId="77777777" w:rsidR="006A4D66" w:rsidRDefault="00000000">
            <w:pPr>
              <w:jc w:val="center"/>
            </w:pPr>
            <w:r>
              <w:rPr>
                <w:b/>
                <w:color w:val="000000"/>
                <w:sz w:val="19"/>
              </w:rPr>
              <w:t>Typical outcome</w:t>
            </w:r>
          </w:p>
        </w:tc>
      </w:tr>
      <w:tr w:rsidR="006A4D66" w14:paraId="3C7157AE" w14:textId="77777777">
        <w:trPr>
          <w:jc w:val="center"/>
        </w:trPr>
        <w:tc>
          <w:tcPr>
            <w:tcW w:w="2304" w:type="dxa"/>
            <w:shd w:val="clear" w:color="auto" w:fill="FFFFFF"/>
            <w:tcMar>
              <w:top w:w="100" w:type="dxa"/>
              <w:left w:w="105" w:type="dxa"/>
              <w:bottom w:w="100" w:type="dxa"/>
              <w:right w:w="105" w:type="dxa"/>
            </w:tcMar>
            <w:vAlign w:val="center"/>
          </w:tcPr>
          <w:p w14:paraId="73074095" w14:textId="77777777" w:rsidR="006A4D66" w:rsidRDefault="00000000">
            <w:r>
              <w:rPr>
                <w:color w:val="000000"/>
                <w:sz w:val="19"/>
              </w:rPr>
              <w:t>Fund master match</w:t>
            </w:r>
          </w:p>
        </w:tc>
        <w:tc>
          <w:tcPr>
            <w:tcW w:w="5040" w:type="dxa"/>
            <w:shd w:val="clear" w:color="auto" w:fill="FFFFFF"/>
            <w:tcMar>
              <w:top w:w="100" w:type="dxa"/>
              <w:left w:w="105" w:type="dxa"/>
              <w:bottom w:w="100" w:type="dxa"/>
              <w:right w:w="105" w:type="dxa"/>
            </w:tcMar>
            <w:vAlign w:val="center"/>
          </w:tcPr>
          <w:p w14:paraId="78458EE5" w14:textId="77777777" w:rsidR="006A4D66" w:rsidRDefault="00000000">
            <w:r>
              <w:rPr>
                <w:color w:val="000000"/>
                <w:sz w:val="19"/>
              </w:rPr>
              <w:t>Does the mapped fund exist in the controlled master?</w:t>
            </w:r>
          </w:p>
        </w:tc>
        <w:tc>
          <w:tcPr>
            <w:tcW w:w="2592" w:type="dxa"/>
            <w:shd w:val="clear" w:color="auto" w:fill="FFFFFF"/>
            <w:tcMar>
              <w:top w:w="100" w:type="dxa"/>
              <w:left w:w="105" w:type="dxa"/>
              <w:bottom w:w="100" w:type="dxa"/>
              <w:right w:w="105" w:type="dxa"/>
            </w:tcMar>
            <w:vAlign w:val="center"/>
          </w:tcPr>
          <w:p w14:paraId="1F87EBE4" w14:textId="77777777" w:rsidR="006A4D66" w:rsidRDefault="00000000">
            <w:r>
              <w:rPr>
                <w:color w:val="000000"/>
                <w:sz w:val="19"/>
              </w:rPr>
              <w:t>Pass, alias warning, or failure</w:t>
            </w:r>
          </w:p>
        </w:tc>
      </w:tr>
      <w:tr w:rsidR="006A4D66" w14:paraId="4659DF44" w14:textId="77777777">
        <w:trPr>
          <w:jc w:val="center"/>
        </w:trPr>
        <w:tc>
          <w:tcPr>
            <w:tcW w:w="2304" w:type="dxa"/>
            <w:shd w:val="clear" w:color="auto" w:fill="FFFFFF"/>
            <w:tcMar>
              <w:top w:w="100" w:type="dxa"/>
              <w:left w:w="105" w:type="dxa"/>
              <w:bottom w:w="100" w:type="dxa"/>
              <w:right w:w="105" w:type="dxa"/>
            </w:tcMar>
            <w:vAlign w:val="center"/>
          </w:tcPr>
          <w:p w14:paraId="633D7D7C" w14:textId="77777777" w:rsidR="006A4D66" w:rsidRDefault="00000000">
            <w:r>
              <w:rPr>
                <w:color w:val="000000"/>
                <w:sz w:val="19"/>
              </w:rPr>
              <w:t>Required fields</w:t>
            </w:r>
          </w:p>
        </w:tc>
        <w:tc>
          <w:tcPr>
            <w:tcW w:w="5040" w:type="dxa"/>
            <w:shd w:val="clear" w:color="auto" w:fill="FFFFFF"/>
            <w:tcMar>
              <w:top w:w="100" w:type="dxa"/>
              <w:left w:w="105" w:type="dxa"/>
              <w:bottom w:w="100" w:type="dxa"/>
              <w:right w:w="105" w:type="dxa"/>
            </w:tcMar>
            <w:vAlign w:val="center"/>
          </w:tcPr>
          <w:p w14:paraId="4903DEA1" w14:textId="77777777" w:rsidR="006A4D66" w:rsidRDefault="00000000">
            <w:r>
              <w:rPr>
                <w:color w:val="000000"/>
                <w:sz w:val="19"/>
              </w:rPr>
              <w:t>Are type-specific fields complete?</w:t>
            </w:r>
          </w:p>
        </w:tc>
        <w:tc>
          <w:tcPr>
            <w:tcW w:w="2592" w:type="dxa"/>
            <w:shd w:val="clear" w:color="auto" w:fill="FFFFFF"/>
            <w:tcMar>
              <w:top w:w="100" w:type="dxa"/>
              <w:left w:w="105" w:type="dxa"/>
              <w:bottom w:w="100" w:type="dxa"/>
              <w:right w:w="105" w:type="dxa"/>
            </w:tcMar>
            <w:vAlign w:val="center"/>
          </w:tcPr>
          <w:p w14:paraId="3480A580" w14:textId="77777777" w:rsidR="006A4D66" w:rsidRDefault="00000000">
            <w:r>
              <w:rPr>
                <w:color w:val="000000"/>
                <w:sz w:val="19"/>
              </w:rPr>
              <w:t>Pass or failure</w:t>
            </w:r>
          </w:p>
        </w:tc>
      </w:tr>
      <w:tr w:rsidR="006A4D66" w14:paraId="3ED626C7" w14:textId="77777777">
        <w:trPr>
          <w:jc w:val="center"/>
        </w:trPr>
        <w:tc>
          <w:tcPr>
            <w:tcW w:w="2304" w:type="dxa"/>
            <w:shd w:val="clear" w:color="auto" w:fill="FFFFFF"/>
            <w:tcMar>
              <w:top w:w="100" w:type="dxa"/>
              <w:left w:w="105" w:type="dxa"/>
              <w:bottom w:w="100" w:type="dxa"/>
              <w:right w:w="105" w:type="dxa"/>
            </w:tcMar>
            <w:vAlign w:val="center"/>
          </w:tcPr>
          <w:p w14:paraId="00D6FD49" w14:textId="77777777" w:rsidR="006A4D66" w:rsidRDefault="00000000">
            <w:r>
              <w:rPr>
                <w:color w:val="000000"/>
                <w:sz w:val="19"/>
              </w:rPr>
              <w:lastRenderedPageBreak/>
              <w:t>Due-date urgency</w:t>
            </w:r>
          </w:p>
        </w:tc>
        <w:tc>
          <w:tcPr>
            <w:tcW w:w="5040" w:type="dxa"/>
            <w:shd w:val="clear" w:color="auto" w:fill="FFFFFF"/>
            <w:tcMar>
              <w:top w:w="100" w:type="dxa"/>
              <w:left w:w="105" w:type="dxa"/>
              <w:bottom w:w="100" w:type="dxa"/>
              <w:right w:w="105" w:type="dxa"/>
            </w:tcMar>
            <w:vAlign w:val="center"/>
          </w:tcPr>
          <w:p w14:paraId="52BF9B3B" w14:textId="77777777" w:rsidR="006A4D66" w:rsidRDefault="00000000">
            <w:r>
              <w:rPr>
                <w:color w:val="000000"/>
                <w:sz w:val="19"/>
              </w:rPr>
              <w:t>Is a capital call approaching its operational deadline?</w:t>
            </w:r>
          </w:p>
        </w:tc>
        <w:tc>
          <w:tcPr>
            <w:tcW w:w="2592" w:type="dxa"/>
            <w:shd w:val="clear" w:color="auto" w:fill="FFFFFF"/>
            <w:tcMar>
              <w:top w:w="100" w:type="dxa"/>
              <w:left w:w="105" w:type="dxa"/>
              <w:bottom w:w="100" w:type="dxa"/>
              <w:right w:w="105" w:type="dxa"/>
            </w:tcMar>
            <w:vAlign w:val="center"/>
          </w:tcPr>
          <w:p w14:paraId="1BB30BBE" w14:textId="77777777" w:rsidR="006A4D66" w:rsidRDefault="00000000">
            <w:r>
              <w:rPr>
                <w:color w:val="000000"/>
                <w:sz w:val="19"/>
              </w:rPr>
              <w:t>Information or escalation</w:t>
            </w:r>
          </w:p>
        </w:tc>
      </w:tr>
      <w:tr w:rsidR="006A4D66" w14:paraId="271951F4" w14:textId="77777777">
        <w:trPr>
          <w:jc w:val="center"/>
        </w:trPr>
        <w:tc>
          <w:tcPr>
            <w:tcW w:w="2304" w:type="dxa"/>
            <w:shd w:val="clear" w:color="auto" w:fill="FFFFFF"/>
            <w:tcMar>
              <w:top w:w="100" w:type="dxa"/>
              <w:left w:w="105" w:type="dxa"/>
              <w:bottom w:w="100" w:type="dxa"/>
              <w:right w:w="105" w:type="dxa"/>
            </w:tcMar>
            <w:vAlign w:val="center"/>
          </w:tcPr>
          <w:p w14:paraId="389A8752" w14:textId="77777777" w:rsidR="006A4D66" w:rsidRDefault="00000000">
            <w:r>
              <w:rPr>
                <w:color w:val="000000"/>
                <w:sz w:val="19"/>
              </w:rPr>
              <w:t>Cash sufficiency</w:t>
            </w:r>
          </w:p>
        </w:tc>
        <w:tc>
          <w:tcPr>
            <w:tcW w:w="5040" w:type="dxa"/>
            <w:shd w:val="clear" w:color="auto" w:fill="FFFFFF"/>
            <w:tcMar>
              <w:top w:w="100" w:type="dxa"/>
              <w:left w:w="105" w:type="dxa"/>
              <w:bottom w:w="100" w:type="dxa"/>
              <w:right w:w="105" w:type="dxa"/>
            </w:tcMar>
            <w:vAlign w:val="center"/>
          </w:tcPr>
          <w:p w14:paraId="1B462544" w14:textId="77777777" w:rsidR="006A4D66" w:rsidRDefault="00000000">
            <w:r>
              <w:rPr>
                <w:color w:val="000000"/>
                <w:sz w:val="19"/>
              </w:rPr>
              <w:t>Can the related entity cover the call?</w:t>
            </w:r>
          </w:p>
        </w:tc>
        <w:tc>
          <w:tcPr>
            <w:tcW w:w="2592" w:type="dxa"/>
            <w:shd w:val="clear" w:color="auto" w:fill="FFFFFF"/>
            <w:tcMar>
              <w:top w:w="100" w:type="dxa"/>
              <w:left w:w="105" w:type="dxa"/>
              <w:bottom w:w="100" w:type="dxa"/>
              <w:right w:w="105" w:type="dxa"/>
            </w:tcMar>
            <w:vAlign w:val="center"/>
          </w:tcPr>
          <w:p w14:paraId="6D105853" w14:textId="77777777" w:rsidR="006A4D66" w:rsidRDefault="00000000">
            <w:r>
              <w:rPr>
                <w:color w:val="000000"/>
                <w:sz w:val="19"/>
              </w:rPr>
              <w:t>Pass, warning, or failure</w:t>
            </w:r>
          </w:p>
        </w:tc>
      </w:tr>
      <w:tr w:rsidR="006A4D66" w14:paraId="481392A9" w14:textId="77777777">
        <w:trPr>
          <w:jc w:val="center"/>
        </w:trPr>
        <w:tc>
          <w:tcPr>
            <w:tcW w:w="2304" w:type="dxa"/>
            <w:shd w:val="clear" w:color="auto" w:fill="FFFFFF"/>
            <w:tcMar>
              <w:top w:w="100" w:type="dxa"/>
              <w:left w:w="105" w:type="dxa"/>
              <w:bottom w:w="100" w:type="dxa"/>
              <w:right w:w="105" w:type="dxa"/>
            </w:tcMar>
            <w:vAlign w:val="center"/>
          </w:tcPr>
          <w:p w14:paraId="1169C367" w14:textId="77777777" w:rsidR="006A4D66" w:rsidRDefault="00000000">
            <w:r>
              <w:rPr>
                <w:color w:val="000000"/>
                <w:sz w:val="19"/>
              </w:rPr>
              <w:t>Commitment consistency</w:t>
            </w:r>
          </w:p>
        </w:tc>
        <w:tc>
          <w:tcPr>
            <w:tcW w:w="5040" w:type="dxa"/>
            <w:shd w:val="clear" w:color="auto" w:fill="FFFFFF"/>
            <w:tcMar>
              <w:top w:w="100" w:type="dxa"/>
              <w:left w:w="105" w:type="dxa"/>
              <w:bottom w:w="100" w:type="dxa"/>
              <w:right w:w="105" w:type="dxa"/>
            </w:tcMar>
            <w:vAlign w:val="center"/>
          </w:tcPr>
          <w:p w14:paraId="2179FE04" w14:textId="77777777" w:rsidR="006A4D66" w:rsidRDefault="00000000">
            <w:r>
              <w:rPr>
                <w:color w:val="000000"/>
                <w:sz w:val="19"/>
              </w:rPr>
              <w:t>Do paid-in plus unfunded reconcile to commitment?</w:t>
            </w:r>
          </w:p>
        </w:tc>
        <w:tc>
          <w:tcPr>
            <w:tcW w:w="2592" w:type="dxa"/>
            <w:shd w:val="clear" w:color="auto" w:fill="FFFFFF"/>
            <w:tcMar>
              <w:top w:w="100" w:type="dxa"/>
              <w:left w:w="105" w:type="dxa"/>
              <w:bottom w:w="100" w:type="dxa"/>
              <w:right w:w="105" w:type="dxa"/>
            </w:tcMar>
            <w:vAlign w:val="center"/>
          </w:tcPr>
          <w:p w14:paraId="6012B0C0" w14:textId="77777777" w:rsidR="006A4D66" w:rsidRDefault="00000000">
            <w:r>
              <w:rPr>
                <w:color w:val="000000"/>
                <w:sz w:val="19"/>
              </w:rPr>
              <w:t>Pass, warning, or failure</w:t>
            </w:r>
          </w:p>
        </w:tc>
      </w:tr>
      <w:tr w:rsidR="006A4D66" w14:paraId="4D34C81A" w14:textId="77777777">
        <w:trPr>
          <w:jc w:val="center"/>
        </w:trPr>
        <w:tc>
          <w:tcPr>
            <w:tcW w:w="2304" w:type="dxa"/>
            <w:shd w:val="clear" w:color="auto" w:fill="FFFFFF"/>
            <w:tcMar>
              <w:top w:w="100" w:type="dxa"/>
              <w:left w:w="105" w:type="dxa"/>
              <w:bottom w:w="100" w:type="dxa"/>
              <w:right w:w="105" w:type="dxa"/>
            </w:tcMar>
            <w:vAlign w:val="center"/>
          </w:tcPr>
          <w:p w14:paraId="31EE403A" w14:textId="77777777" w:rsidR="006A4D66" w:rsidRDefault="00000000">
            <w:r>
              <w:rPr>
                <w:color w:val="000000"/>
                <w:sz w:val="19"/>
              </w:rPr>
              <w:t>NAV roll-forward</w:t>
            </w:r>
          </w:p>
        </w:tc>
        <w:tc>
          <w:tcPr>
            <w:tcW w:w="5040" w:type="dxa"/>
            <w:shd w:val="clear" w:color="auto" w:fill="FFFFFF"/>
            <w:tcMar>
              <w:top w:w="100" w:type="dxa"/>
              <w:left w:w="105" w:type="dxa"/>
              <w:bottom w:w="100" w:type="dxa"/>
              <w:right w:w="105" w:type="dxa"/>
            </w:tcMar>
            <w:vAlign w:val="center"/>
          </w:tcPr>
          <w:p w14:paraId="1C22BAF4" w14:textId="77777777" w:rsidR="006A4D66" w:rsidRDefault="00000000">
            <w:r>
              <w:rPr>
                <w:color w:val="000000"/>
                <w:sz w:val="19"/>
              </w:rPr>
              <w:t>Does statement activity reconcile beginning and ending NAV?</w:t>
            </w:r>
          </w:p>
        </w:tc>
        <w:tc>
          <w:tcPr>
            <w:tcW w:w="2592" w:type="dxa"/>
            <w:shd w:val="clear" w:color="auto" w:fill="FFFFFF"/>
            <w:tcMar>
              <w:top w:w="100" w:type="dxa"/>
              <w:left w:w="105" w:type="dxa"/>
              <w:bottom w:w="100" w:type="dxa"/>
              <w:right w:w="105" w:type="dxa"/>
            </w:tcMar>
            <w:vAlign w:val="center"/>
          </w:tcPr>
          <w:p w14:paraId="7B6AD9DC" w14:textId="77777777" w:rsidR="006A4D66" w:rsidRDefault="00000000">
            <w:r>
              <w:rPr>
                <w:color w:val="000000"/>
                <w:sz w:val="19"/>
              </w:rPr>
              <w:t>Pass or failure</w:t>
            </w:r>
          </w:p>
        </w:tc>
      </w:tr>
      <w:tr w:rsidR="006A4D66" w14:paraId="5EDF4819" w14:textId="77777777">
        <w:trPr>
          <w:jc w:val="center"/>
        </w:trPr>
        <w:tc>
          <w:tcPr>
            <w:tcW w:w="2304" w:type="dxa"/>
            <w:shd w:val="clear" w:color="auto" w:fill="FFFFFF"/>
            <w:tcMar>
              <w:top w:w="100" w:type="dxa"/>
              <w:left w:w="105" w:type="dxa"/>
              <w:bottom w:w="100" w:type="dxa"/>
              <w:right w:w="105" w:type="dxa"/>
            </w:tcMar>
            <w:vAlign w:val="center"/>
          </w:tcPr>
          <w:p w14:paraId="7CED7EF5" w14:textId="77777777" w:rsidR="006A4D66" w:rsidRDefault="00000000">
            <w:r>
              <w:rPr>
                <w:color w:val="000000"/>
                <w:sz w:val="19"/>
              </w:rPr>
              <w:t>Distribution component sum</w:t>
            </w:r>
          </w:p>
        </w:tc>
        <w:tc>
          <w:tcPr>
            <w:tcW w:w="5040" w:type="dxa"/>
            <w:shd w:val="clear" w:color="auto" w:fill="FFFFFF"/>
            <w:tcMar>
              <w:top w:w="100" w:type="dxa"/>
              <w:left w:w="105" w:type="dxa"/>
              <w:bottom w:w="100" w:type="dxa"/>
              <w:right w:w="105" w:type="dxa"/>
            </w:tcMar>
            <w:vAlign w:val="center"/>
          </w:tcPr>
          <w:p w14:paraId="3E2C8453" w14:textId="77777777" w:rsidR="006A4D66" w:rsidRDefault="00000000">
            <w:r>
              <w:rPr>
                <w:color w:val="000000"/>
                <w:sz w:val="19"/>
              </w:rPr>
              <w:t>Do distribution components reconcile to gross/net amount?</w:t>
            </w:r>
          </w:p>
        </w:tc>
        <w:tc>
          <w:tcPr>
            <w:tcW w:w="2592" w:type="dxa"/>
            <w:shd w:val="clear" w:color="auto" w:fill="FFFFFF"/>
            <w:tcMar>
              <w:top w:w="100" w:type="dxa"/>
              <w:left w:w="105" w:type="dxa"/>
              <w:bottom w:w="100" w:type="dxa"/>
              <w:right w:w="105" w:type="dxa"/>
            </w:tcMar>
            <w:vAlign w:val="center"/>
          </w:tcPr>
          <w:p w14:paraId="4CDD3FA4" w14:textId="77777777" w:rsidR="006A4D66" w:rsidRDefault="00000000">
            <w:r>
              <w:rPr>
                <w:color w:val="000000"/>
                <w:sz w:val="19"/>
              </w:rPr>
              <w:t>Pass or failure</w:t>
            </w:r>
          </w:p>
        </w:tc>
      </w:tr>
      <w:tr w:rsidR="006A4D66" w14:paraId="5922A12B" w14:textId="77777777">
        <w:trPr>
          <w:jc w:val="center"/>
        </w:trPr>
        <w:tc>
          <w:tcPr>
            <w:tcW w:w="2304" w:type="dxa"/>
            <w:shd w:val="clear" w:color="auto" w:fill="FFFFFF"/>
            <w:tcMar>
              <w:top w:w="100" w:type="dxa"/>
              <w:left w:w="105" w:type="dxa"/>
              <w:bottom w:w="100" w:type="dxa"/>
              <w:right w:w="105" w:type="dxa"/>
            </w:tcMar>
            <w:vAlign w:val="center"/>
          </w:tcPr>
          <w:p w14:paraId="36DDD8E6" w14:textId="77777777" w:rsidR="006A4D66" w:rsidRDefault="00000000">
            <w:r>
              <w:rPr>
                <w:color w:val="000000"/>
                <w:sz w:val="19"/>
              </w:rPr>
              <w:t>Low confidence</w:t>
            </w:r>
          </w:p>
        </w:tc>
        <w:tc>
          <w:tcPr>
            <w:tcW w:w="5040" w:type="dxa"/>
            <w:shd w:val="clear" w:color="auto" w:fill="FFFFFF"/>
            <w:tcMar>
              <w:top w:w="100" w:type="dxa"/>
              <w:left w:w="105" w:type="dxa"/>
              <w:bottom w:w="100" w:type="dxa"/>
              <w:right w:w="105" w:type="dxa"/>
            </w:tcMar>
            <w:vAlign w:val="center"/>
          </w:tcPr>
          <w:p w14:paraId="77D6C605" w14:textId="77777777" w:rsidR="006A4D66" w:rsidRDefault="00000000">
            <w:r>
              <w:rPr>
                <w:color w:val="000000"/>
                <w:sz w:val="19"/>
              </w:rPr>
              <w:t>Is extraction confidence below the review threshold?</w:t>
            </w:r>
          </w:p>
        </w:tc>
        <w:tc>
          <w:tcPr>
            <w:tcW w:w="2592" w:type="dxa"/>
            <w:shd w:val="clear" w:color="auto" w:fill="FFFFFF"/>
            <w:tcMar>
              <w:top w:w="100" w:type="dxa"/>
              <w:left w:w="105" w:type="dxa"/>
              <w:bottom w:w="100" w:type="dxa"/>
              <w:right w:w="105" w:type="dxa"/>
            </w:tcMar>
            <w:vAlign w:val="center"/>
          </w:tcPr>
          <w:p w14:paraId="05779F30" w14:textId="77777777" w:rsidR="006A4D66" w:rsidRDefault="00000000">
            <w:r>
              <w:rPr>
                <w:color w:val="000000"/>
                <w:sz w:val="19"/>
              </w:rPr>
              <w:t>Review trigger</w:t>
            </w:r>
          </w:p>
        </w:tc>
      </w:tr>
    </w:tbl>
    <w:p w14:paraId="208DD952" w14:textId="77777777" w:rsidR="006A4D66" w:rsidRDefault="006A4D66">
      <w:pPr>
        <w:spacing w:after="120" w:line="259" w:lineRule="auto"/>
      </w:pPr>
    </w:p>
    <w:p w14:paraId="7CD6EB70" w14:textId="77777777" w:rsidR="006A4D66" w:rsidRDefault="00000000">
      <w:pPr>
        <w:pStyle w:val="Heading2"/>
        <w:spacing w:after="120" w:line="259" w:lineRule="auto"/>
      </w:pPr>
      <w:r>
        <w:rPr>
          <w:rFonts w:ascii="Aptos" w:eastAsia="Aptos" w:hAnsi="Aptos"/>
          <w:b w:val="0"/>
          <w:color w:val="172033"/>
          <w:sz w:val="21"/>
        </w:rPr>
        <w:t>5.6 Final Extraction and Validation Results</w:t>
      </w:r>
    </w:p>
    <w:p w14:paraId="5C1320EC" w14:textId="77777777" w:rsidR="006A4D66" w:rsidRDefault="00000000">
      <w:pPr>
        <w:spacing w:after="120" w:line="259" w:lineRule="auto"/>
      </w:pPr>
      <w:r>
        <w:rPr>
          <w:rFonts w:ascii="Aptos" w:eastAsia="Aptos" w:hAnsi="Aptos"/>
          <w:color w:val="172033"/>
          <w:sz w:val="21"/>
        </w:rPr>
        <w:t>The final baseline run produces six JSON records and a document-level result of 3 approved, 2 needs review, and 1 rejected. The status distribution is intentionally mixed: the proof-of-concept demonstrates exception handling, not a frictionless straight-through process.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4608"/>
        <w:gridCol w:w="5328"/>
      </w:tblGrid>
      <w:tr w:rsidR="006A4D66" w14:paraId="77EA0031" w14:textId="77777777">
        <w:trPr>
          <w:tblHeader/>
          <w:jc w:val="center"/>
        </w:trPr>
        <w:tc>
          <w:tcPr>
            <w:tcW w:w="4608" w:type="dxa"/>
            <w:shd w:val="clear" w:color="auto" w:fill="D9EAF7"/>
            <w:tcMar>
              <w:top w:w="100" w:type="dxa"/>
              <w:left w:w="105" w:type="dxa"/>
              <w:bottom w:w="100" w:type="dxa"/>
              <w:right w:w="105" w:type="dxa"/>
            </w:tcMar>
            <w:vAlign w:val="center"/>
          </w:tcPr>
          <w:p w14:paraId="64E2D386" w14:textId="77777777" w:rsidR="006A4D66" w:rsidRDefault="00000000">
            <w:pPr>
              <w:jc w:val="center"/>
            </w:pPr>
            <w:r>
              <w:rPr>
                <w:b/>
                <w:color w:val="000000"/>
                <w:sz w:val="19"/>
              </w:rPr>
              <w:t>Delivery indicator</w:t>
            </w:r>
          </w:p>
        </w:tc>
        <w:tc>
          <w:tcPr>
            <w:tcW w:w="5328" w:type="dxa"/>
            <w:shd w:val="clear" w:color="auto" w:fill="D9EAF7"/>
            <w:tcMar>
              <w:top w:w="100" w:type="dxa"/>
              <w:left w:w="105" w:type="dxa"/>
              <w:bottom w:w="100" w:type="dxa"/>
              <w:right w:w="105" w:type="dxa"/>
            </w:tcMar>
            <w:vAlign w:val="center"/>
          </w:tcPr>
          <w:p w14:paraId="6CD9BB0E" w14:textId="77777777" w:rsidR="006A4D66" w:rsidRDefault="00000000">
            <w:pPr>
              <w:jc w:val="center"/>
            </w:pPr>
            <w:r>
              <w:rPr>
                <w:b/>
                <w:color w:val="000000"/>
                <w:sz w:val="19"/>
              </w:rPr>
              <w:t>Verified result</w:t>
            </w:r>
          </w:p>
        </w:tc>
      </w:tr>
      <w:tr w:rsidR="006A4D66" w14:paraId="5B4EA8E8" w14:textId="77777777">
        <w:trPr>
          <w:jc w:val="center"/>
        </w:trPr>
        <w:tc>
          <w:tcPr>
            <w:tcW w:w="4608" w:type="dxa"/>
            <w:shd w:val="clear" w:color="auto" w:fill="FFFFFF"/>
            <w:tcMar>
              <w:top w:w="100" w:type="dxa"/>
              <w:left w:w="105" w:type="dxa"/>
              <w:bottom w:w="100" w:type="dxa"/>
              <w:right w:w="105" w:type="dxa"/>
            </w:tcMar>
            <w:vAlign w:val="center"/>
          </w:tcPr>
          <w:p w14:paraId="67165E98" w14:textId="77777777" w:rsidR="006A4D66" w:rsidRDefault="00000000">
            <w:r>
              <w:rPr>
                <w:color w:val="000000"/>
                <w:sz w:val="19"/>
              </w:rPr>
              <w:t>Extracted records</w:t>
            </w:r>
          </w:p>
        </w:tc>
        <w:tc>
          <w:tcPr>
            <w:tcW w:w="5328" w:type="dxa"/>
            <w:shd w:val="clear" w:color="auto" w:fill="FFFFFF"/>
            <w:tcMar>
              <w:top w:w="100" w:type="dxa"/>
              <w:left w:w="105" w:type="dxa"/>
              <w:bottom w:w="100" w:type="dxa"/>
              <w:right w:w="105" w:type="dxa"/>
            </w:tcMar>
            <w:vAlign w:val="center"/>
          </w:tcPr>
          <w:p w14:paraId="6037E4BA" w14:textId="77777777" w:rsidR="006A4D66" w:rsidRDefault="00000000">
            <w:r>
              <w:rPr>
                <w:color w:val="000000"/>
                <w:sz w:val="19"/>
              </w:rPr>
              <w:t>6 JSON files</w:t>
            </w:r>
          </w:p>
        </w:tc>
      </w:tr>
      <w:tr w:rsidR="006A4D66" w14:paraId="31220111" w14:textId="77777777">
        <w:trPr>
          <w:jc w:val="center"/>
        </w:trPr>
        <w:tc>
          <w:tcPr>
            <w:tcW w:w="4608" w:type="dxa"/>
            <w:shd w:val="clear" w:color="auto" w:fill="FFFFFF"/>
            <w:tcMar>
              <w:top w:w="100" w:type="dxa"/>
              <w:left w:w="105" w:type="dxa"/>
              <w:bottom w:w="100" w:type="dxa"/>
              <w:right w:w="105" w:type="dxa"/>
            </w:tcMar>
            <w:vAlign w:val="center"/>
          </w:tcPr>
          <w:p w14:paraId="73B2B75A" w14:textId="77777777" w:rsidR="006A4D66" w:rsidRDefault="00000000">
            <w:r>
              <w:rPr>
                <w:color w:val="000000"/>
                <w:sz w:val="19"/>
              </w:rPr>
              <w:t>Approved documents</w:t>
            </w:r>
          </w:p>
        </w:tc>
        <w:tc>
          <w:tcPr>
            <w:tcW w:w="5328" w:type="dxa"/>
            <w:shd w:val="clear" w:color="auto" w:fill="FFFFFF"/>
            <w:tcMar>
              <w:top w:w="100" w:type="dxa"/>
              <w:left w:w="105" w:type="dxa"/>
              <w:bottom w:w="100" w:type="dxa"/>
              <w:right w:w="105" w:type="dxa"/>
            </w:tcMar>
            <w:vAlign w:val="center"/>
          </w:tcPr>
          <w:p w14:paraId="2A30E731" w14:textId="77777777" w:rsidR="006A4D66" w:rsidRDefault="00000000">
            <w:r>
              <w:rPr>
                <w:color w:val="000000"/>
                <w:sz w:val="19"/>
              </w:rPr>
              <w:t>3</w:t>
            </w:r>
          </w:p>
        </w:tc>
      </w:tr>
      <w:tr w:rsidR="006A4D66" w14:paraId="7FB0A02F" w14:textId="77777777">
        <w:trPr>
          <w:jc w:val="center"/>
        </w:trPr>
        <w:tc>
          <w:tcPr>
            <w:tcW w:w="4608" w:type="dxa"/>
            <w:shd w:val="clear" w:color="auto" w:fill="FFFFFF"/>
            <w:tcMar>
              <w:top w:w="100" w:type="dxa"/>
              <w:left w:w="105" w:type="dxa"/>
              <w:bottom w:w="100" w:type="dxa"/>
              <w:right w:w="105" w:type="dxa"/>
            </w:tcMar>
            <w:vAlign w:val="center"/>
          </w:tcPr>
          <w:p w14:paraId="008FC0D9" w14:textId="77777777" w:rsidR="006A4D66" w:rsidRDefault="00000000">
            <w:r>
              <w:rPr>
                <w:color w:val="000000"/>
                <w:sz w:val="19"/>
              </w:rPr>
              <w:t>Needs-review documents</w:t>
            </w:r>
          </w:p>
        </w:tc>
        <w:tc>
          <w:tcPr>
            <w:tcW w:w="5328" w:type="dxa"/>
            <w:shd w:val="clear" w:color="auto" w:fill="FFFFFF"/>
            <w:tcMar>
              <w:top w:w="100" w:type="dxa"/>
              <w:left w:w="105" w:type="dxa"/>
              <w:bottom w:w="100" w:type="dxa"/>
              <w:right w:w="105" w:type="dxa"/>
            </w:tcMar>
            <w:vAlign w:val="center"/>
          </w:tcPr>
          <w:p w14:paraId="25E5E5E1" w14:textId="77777777" w:rsidR="006A4D66" w:rsidRDefault="00000000">
            <w:r>
              <w:rPr>
                <w:color w:val="000000"/>
                <w:sz w:val="19"/>
              </w:rPr>
              <w:t>2</w:t>
            </w:r>
          </w:p>
        </w:tc>
      </w:tr>
      <w:tr w:rsidR="006A4D66" w14:paraId="7203E9B3" w14:textId="77777777">
        <w:trPr>
          <w:jc w:val="center"/>
        </w:trPr>
        <w:tc>
          <w:tcPr>
            <w:tcW w:w="4608" w:type="dxa"/>
            <w:shd w:val="clear" w:color="auto" w:fill="FFFFFF"/>
            <w:tcMar>
              <w:top w:w="100" w:type="dxa"/>
              <w:left w:w="105" w:type="dxa"/>
              <w:bottom w:w="100" w:type="dxa"/>
              <w:right w:w="105" w:type="dxa"/>
            </w:tcMar>
            <w:vAlign w:val="center"/>
          </w:tcPr>
          <w:p w14:paraId="35FE204D" w14:textId="77777777" w:rsidR="006A4D66" w:rsidRDefault="00000000">
            <w:r>
              <w:rPr>
                <w:color w:val="000000"/>
                <w:sz w:val="19"/>
              </w:rPr>
              <w:t>Rejected documents</w:t>
            </w:r>
          </w:p>
        </w:tc>
        <w:tc>
          <w:tcPr>
            <w:tcW w:w="5328" w:type="dxa"/>
            <w:shd w:val="clear" w:color="auto" w:fill="FFFFFF"/>
            <w:tcMar>
              <w:top w:w="100" w:type="dxa"/>
              <w:left w:w="105" w:type="dxa"/>
              <w:bottom w:w="100" w:type="dxa"/>
              <w:right w:w="105" w:type="dxa"/>
            </w:tcMar>
            <w:vAlign w:val="center"/>
          </w:tcPr>
          <w:p w14:paraId="7129F75F" w14:textId="77777777" w:rsidR="006A4D66" w:rsidRDefault="00000000">
            <w:r>
              <w:rPr>
                <w:color w:val="000000"/>
                <w:sz w:val="19"/>
              </w:rPr>
              <w:t>1</w:t>
            </w:r>
          </w:p>
        </w:tc>
      </w:tr>
      <w:tr w:rsidR="006A4D66" w14:paraId="00E15422" w14:textId="77777777">
        <w:trPr>
          <w:jc w:val="center"/>
        </w:trPr>
        <w:tc>
          <w:tcPr>
            <w:tcW w:w="4608" w:type="dxa"/>
            <w:shd w:val="clear" w:color="auto" w:fill="FFFFFF"/>
            <w:tcMar>
              <w:top w:w="100" w:type="dxa"/>
              <w:left w:w="105" w:type="dxa"/>
              <w:bottom w:w="100" w:type="dxa"/>
              <w:right w:w="105" w:type="dxa"/>
            </w:tcMar>
            <w:vAlign w:val="center"/>
          </w:tcPr>
          <w:p w14:paraId="1B297157" w14:textId="77777777" w:rsidR="006A4D66" w:rsidRDefault="00000000">
            <w:r>
              <w:rPr>
                <w:color w:val="000000"/>
                <w:sz w:val="19"/>
              </w:rPr>
              <w:t>Applied updates</w:t>
            </w:r>
          </w:p>
        </w:tc>
        <w:tc>
          <w:tcPr>
            <w:tcW w:w="5328" w:type="dxa"/>
            <w:shd w:val="clear" w:color="auto" w:fill="FFFFFF"/>
            <w:tcMar>
              <w:top w:w="100" w:type="dxa"/>
              <w:left w:w="105" w:type="dxa"/>
              <w:bottom w:w="100" w:type="dxa"/>
              <w:right w:w="105" w:type="dxa"/>
            </w:tcMar>
            <w:vAlign w:val="center"/>
          </w:tcPr>
          <w:p w14:paraId="1FEDCD15" w14:textId="77777777" w:rsidR="006A4D66" w:rsidRDefault="00000000">
            <w:r>
              <w:rPr>
                <w:color w:val="000000"/>
                <w:sz w:val="19"/>
              </w:rPr>
              <w:t>3</w:t>
            </w:r>
          </w:p>
        </w:tc>
      </w:tr>
      <w:tr w:rsidR="006A4D66" w14:paraId="2C066F11" w14:textId="77777777">
        <w:trPr>
          <w:jc w:val="center"/>
        </w:trPr>
        <w:tc>
          <w:tcPr>
            <w:tcW w:w="4608" w:type="dxa"/>
            <w:shd w:val="clear" w:color="auto" w:fill="FFFFFF"/>
            <w:tcMar>
              <w:top w:w="100" w:type="dxa"/>
              <w:left w:w="105" w:type="dxa"/>
              <w:bottom w:w="100" w:type="dxa"/>
              <w:right w:w="105" w:type="dxa"/>
            </w:tcMar>
            <w:vAlign w:val="center"/>
          </w:tcPr>
          <w:p w14:paraId="5F6543FD" w14:textId="77777777" w:rsidR="006A4D66" w:rsidRDefault="00000000">
            <w:r>
              <w:rPr>
                <w:color w:val="000000"/>
                <w:sz w:val="19"/>
              </w:rPr>
              <w:t>Blocked updates</w:t>
            </w:r>
          </w:p>
        </w:tc>
        <w:tc>
          <w:tcPr>
            <w:tcW w:w="5328" w:type="dxa"/>
            <w:shd w:val="clear" w:color="auto" w:fill="FFFFFF"/>
            <w:tcMar>
              <w:top w:w="100" w:type="dxa"/>
              <w:left w:w="105" w:type="dxa"/>
              <w:bottom w:w="100" w:type="dxa"/>
              <w:right w:w="105" w:type="dxa"/>
            </w:tcMar>
            <w:vAlign w:val="center"/>
          </w:tcPr>
          <w:p w14:paraId="4AEE1E1F" w14:textId="77777777" w:rsidR="006A4D66" w:rsidRDefault="00000000">
            <w:r>
              <w:rPr>
                <w:color w:val="000000"/>
                <w:sz w:val="19"/>
              </w:rPr>
              <w:t>3</w:t>
            </w:r>
          </w:p>
        </w:tc>
      </w:tr>
      <w:tr w:rsidR="006A4D66" w14:paraId="745D3013" w14:textId="77777777">
        <w:trPr>
          <w:jc w:val="center"/>
        </w:trPr>
        <w:tc>
          <w:tcPr>
            <w:tcW w:w="4608" w:type="dxa"/>
            <w:shd w:val="clear" w:color="auto" w:fill="FFFFFF"/>
            <w:tcMar>
              <w:top w:w="100" w:type="dxa"/>
              <w:left w:w="105" w:type="dxa"/>
              <w:bottom w:w="100" w:type="dxa"/>
              <w:right w:w="105" w:type="dxa"/>
            </w:tcMar>
            <w:vAlign w:val="center"/>
          </w:tcPr>
          <w:p w14:paraId="0DDFB6EC" w14:textId="77777777" w:rsidR="006A4D66" w:rsidRDefault="00000000">
            <w:r>
              <w:rPr>
                <w:color w:val="000000"/>
                <w:sz w:val="19"/>
              </w:rPr>
              <w:t>API requirement for standard demo</w:t>
            </w:r>
          </w:p>
        </w:tc>
        <w:tc>
          <w:tcPr>
            <w:tcW w:w="5328" w:type="dxa"/>
            <w:shd w:val="clear" w:color="auto" w:fill="FFFFFF"/>
            <w:tcMar>
              <w:top w:w="100" w:type="dxa"/>
              <w:left w:w="105" w:type="dxa"/>
              <w:bottom w:w="100" w:type="dxa"/>
              <w:right w:w="105" w:type="dxa"/>
            </w:tcMar>
            <w:vAlign w:val="center"/>
          </w:tcPr>
          <w:p w14:paraId="5A7923BF" w14:textId="77777777" w:rsidR="006A4D66" w:rsidRDefault="00000000">
            <w:r>
              <w:rPr>
                <w:color w:val="000000"/>
                <w:sz w:val="19"/>
              </w:rPr>
              <w:t>None</w:t>
            </w:r>
          </w:p>
        </w:tc>
      </w:tr>
    </w:tbl>
    <w:p w14:paraId="360A3300" w14:textId="77777777" w:rsidR="006A4D66" w:rsidRDefault="006A4D66">
      <w:pPr>
        <w:spacing w:after="120" w:line="259" w:lineRule="auto"/>
      </w:pPr>
    </w:p>
    <w:p w14:paraId="405368A2" w14:textId="77777777" w:rsidR="006A4D66" w:rsidRDefault="00000000">
      <w:pPr>
        <w:pStyle w:val="Heading2"/>
        <w:spacing w:after="120" w:line="259" w:lineRule="auto"/>
      </w:pPr>
      <w:r>
        <w:rPr>
          <w:rFonts w:ascii="Aptos" w:eastAsia="Aptos" w:hAnsi="Aptos"/>
          <w:b w:val="0"/>
          <w:color w:val="172033"/>
          <w:sz w:val="21"/>
        </w:rPr>
        <w:t>5.7 Approved-Only Portfolio Update Layer</w:t>
      </w:r>
    </w:p>
    <w:p w14:paraId="5AE1DC53" w14:textId="77777777" w:rsidR="006A4D66" w:rsidRDefault="00000000">
      <w:pPr>
        <w:spacing w:after="120" w:line="259" w:lineRule="auto"/>
      </w:pPr>
      <w:r>
        <w:rPr>
          <w:rFonts w:ascii="Aptos" w:eastAsia="Aptos" w:hAnsi="Aptos"/>
          <w:color w:val="172033"/>
          <w:sz w:val="21"/>
        </w:rPr>
        <w:t>The update layer consumes the effective document-level status rather than raw extraction output. It applies one distribution, one capital statement, and one newsletter. Both capital calls and the inconsistent capital statement remain blocked. This prevents an unresolved document from changing NAV, commitments, liquidity, or commentary simply because its text was successfully parsed.</w:t>
      </w:r>
    </w:p>
    <w:p w14:paraId="25CE5550" w14:textId="77777777" w:rsidR="006A4D66" w:rsidRDefault="00000000">
      <w:pPr>
        <w:pStyle w:val="ListBullet"/>
        <w:spacing w:line="259" w:lineRule="auto"/>
      </w:pPr>
      <w:r>
        <w:rPr>
          <w:rFonts w:ascii="Aptos" w:eastAsia="Aptos" w:hAnsi="Aptos"/>
          <w:color w:val="172033"/>
          <w:sz w:val="21"/>
        </w:rPr>
        <w:t>The official portfolio baseline remains 30 April 2026.</w:t>
      </w:r>
    </w:p>
    <w:p w14:paraId="77ABACE2" w14:textId="77777777" w:rsidR="006A4D66" w:rsidRDefault="00000000">
      <w:pPr>
        <w:pStyle w:val="ListBullet"/>
        <w:spacing w:line="259" w:lineRule="auto"/>
      </w:pPr>
      <w:r>
        <w:rPr>
          <w:rFonts w:ascii="Aptos" w:eastAsia="Aptos" w:hAnsi="Aptos"/>
          <w:color w:val="172033"/>
          <w:sz w:val="21"/>
        </w:rPr>
        <w:t>Approved May activity is presented as an overlay rather than a silently restated official close.</w:t>
      </w:r>
    </w:p>
    <w:p w14:paraId="10145D9B" w14:textId="77777777" w:rsidR="006A4D66" w:rsidRDefault="00000000">
      <w:pPr>
        <w:pStyle w:val="ListBullet"/>
        <w:spacing w:line="259" w:lineRule="auto"/>
      </w:pPr>
      <w:r>
        <w:rPr>
          <w:rFonts w:ascii="Aptos" w:eastAsia="Aptos" w:hAnsi="Aptos"/>
          <w:color w:val="172033"/>
          <w:sz w:val="21"/>
        </w:rPr>
        <w:t>Booked cash remains separate from approved projected calls and distributions.</w:t>
      </w:r>
    </w:p>
    <w:p w14:paraId="7857AE64" w14:textId="77777777" w:rsidR="006A4D66" w:rsidRDefault="00000000">
      <w:pPr>
        <w:pStyle w:val="ListBullet"/>
        <w:spacing w:line="259" w:lineRule="auto"/>
      </w:pPr>
      <w:r>
        <w:rPr>
          <w:rFonts w:ascii="Aptos" w:eastAsia="Aptos" w:hAnsi="Aptos"/>
          <w:color w:val="172033"/>
          <w:sz w:val="21"/>
        </w:rPr>
        <w:t>Newsletter approval creates commentary output but does not change numeric position or cash balances.</w:t>
      </w:r>
    </w:p>
    <w:p w14:paraId="56CA1D2D" w14:textId="77777777" w:rsidR="006A4D66" w:rsidRDefault="00000000">
      <w:pPr>
        <w:pStyle w:val="ListBullet"/>
        <w:spacing w:line="259" w:lineRule="auto"/>
      </w:pPr>
      <w:r>
        <w:rPr>
          <w:rFonts w:ascii="Aptos" w:eastAsia="Aptos" w:hAnsi="Aptos"/>
          <w:color w:val="172033"/>
          <w:sz w:val="21"/>
        </w:rPr>
        <w:t>Every applied record retains source-document and update-reason fields.</w:t>
      </w:r>
    </w:p>
    <w:p w14:paraId="22CE21F0" w14:textId="77777777" w:rsidR="006A4D66" w:rsidRDefault="00000000">
      <w:pPr>
        <w:pStyle w:val="Heading2"/>
        <w:spacing w:after="120" w:line="259" w:lineRule="auto"/>
      </w:pPr>
      <w:r>
        <w:rPr>
          <w:rFonts w:ascii="Aptos" w:eastAsia="Aptos" w:hAnsi="Aptos"/>
          <w:b w:val="0"/>
          <w:color w:val="172033"/>
          <w:sz w:val="21"/>
        </w:rPr>
        <w:t>5.8 Verification Evidence</w:t>
      </w:r>
    </w:p>
    <w:p w14:paraId="58F8BED1" w14:textId="77777777" w:rsidR="006A4D66" w:rsidRDefault="00000000">
      <w:pPr>
        <w:spacing w:after="120" w:line="259" w:lineRule="auto"/>
      </w:pPr>
      <w:r>
        <w:rPr>
          <w:rFonts w:ascii="Aptos" w:eastAsia="Aptos" w:hAnsi="Aptos"/>
          <w:color w:val="172033"/>
          <w:sz w:val="21"/>
        </w:rPr>
        <w:t>At final verification, all 26 data-quality checks and all 20 demo-readiness checks pass. The automated test suite reports 129 passing tests. The two warnings are intentional tests of missing optional datasets and report files; they do not represent delivery failures.</w:t>
      </w:r>
    </w:p>
    <w:p w14:paraId="59BD2E77" w14:textId="77777777" w:rsidR="006A4D66" w:rsidRDefault="00000000">
      <w:pPr>
        <w:pStyle w:val="Heading2"/>
      </w:pPr>
      <w:r>
        <w:lastRenderedPageBreak/>
        <w:t>5.9 What I Designed and Completed</w:t>
      </w:r>
    </w:p>
    <w:p w14:paraId="49AC8391" w14:textId="77777777" w:rsidR="006A4D66" w:rsidRDefault="00000000">
      <w:pPr>
        <w:spacing w:after="100" w:line="259" w:lineRule="auto"/>
      </w:pPr>
      <w:r>
        <w:rPr>
          <w:rFonts w:ascii="Aptos" w:hAnsi="Aptos"/>
          <w:color w:val="1F1F1F"/>
          <w:sz w:val="20"/>
        </w:rPr>
        <w:t>My contribution spans the full chain from research framing to a tested demonstration product. It is not limited to creating a dashboard interface.</w:t>
      </w:r>
    </w:p>
    <w:p w14:paraId="7A402092" w14:textId="77777777" w:rsidR="006A4D66" w:rsidRDefault="00000000">
      <w:pPr>
        <w:pStyle w:val="ListBullet"/>
        <w:spacing w:after="100" w:line="259" w:lineRule="auto"/>
        <w:ind w:hanging="216"/>
      </w:pPr>
      <w:r>
        <w:rPr>
          <w:rFonts w:ascii="Aptos" w:hAnsi="Aptos"/>
          <w:color w:val="1F1F1F"/>
          <w:sz w:val="20"/>
        </w:rPr>
        <w:t>Defined the family-office reporting problem, research question, project scope, and proof-of-concept success criteria.</w:t>
      </w:r>
    </w:p>
    <w:p w14:paraId="092E8B83" w14:textId="77777777" w:rsidR="006A4D66" w:rsidRDefault="00000000">
      <w:pPr>
        <w:pStyle w:val="ListBullet"/>
        <w:spacing w:after="100" w:line="259" w:lineRule="auto"/>
        <w:ind w:hanging="216"/>
      </w:pPr>
      <w:r>
        <w:rPr>
          <w:rFonts w:ascii="Aptos" w:hAnsi="Aptos"/>
          <w:color w:val="1F1F1F"/>
          <w:sz w:val="20"/>
        </w:rPr>
        <w:t>Designed a synthetic multi-asset portfolio with realistic public/private composition, commitment structures, cash purposes, currency and geography coverage, and reporting cut-offs.</w:t>
      </w:r>
    </w:p>
    <w:p w14:paraId="59AAC77A" w14:textId="77777777" w:rsidR="006A4D66" w:rsidRDefault="00000000">
      <w:pPr>
        <w:pStyle w:val="ListBullet"/>
        <w:spacing w:after="100" w:line="259" w:lineRule="auto"/>
        <w:ind w:hanging="216"/>
      </w:pPr>
      <w:r>
        <w:rPr>
          <w:rFonts w:ascii="Aptos" w:hAnsi="Aptos"/>
          <w:color w:val="1F1F1F"/>
          <w:sz w:val="20"/>
        </w:rPr>
        <w:t>Designed six PDF-first mock documents and their ground-truth outcomes, including normal cases and deliberate exception cases.</w:t>
      </w:r>
    </w:p>
    <w:p w14:paraId="07B37794" w14:textId="77777777" w:rsidR="006A4D66" w:rsidRDefault="00000000">
      <w:pPr>
        <w:pStyle w:val="ListBullet"/>
        <w:spacing w:after="100" w:line="259" w:lineRule="auto"/>
        <w:ind w:hanging="216"/>
      </w:pPr>
      <w:r>
        <w:rPr>
          <w:rFonts w:ascii="Aptos" w:hAnsi="Aptos"/>
          <w:color w:val="1F1F1F"/>
          <w:sz w:val="20"/>
        </w:rPr>
        <w:t>Implemented document classification, schema routing, deterministic baseline extraction, optional LLM comparison mode, and persisted JSON outputs.</w:t>
      </w:r>
    </w:p>
    <w:p w14:paraId="0AFF1D98" w14:textId="77777777" w:rsidR="006A4D66" w:rsidRDefault="00000000">
      <w:pPr>
        <w:pStyle w:val="ListBullet"/>
        <w:spacing w:after="100" w:line="259" w:lineRule="auto"/>
        <w:ind w:hanging="216"/>
      </w:pPr>
      <w:r>
        <w:rPr>
          <w:rFonts w:ascii="Aptos" w:hAnsi="Aptos"/>
          <w:color w:val="1F1F1F"/>
          <w:sz w:val="20"/>
        </w:rPr>
        <w:t>Implemented validation rules, status roll-up, a review queue, and the approved-only application policy.</w:t>
      </w:r>
    </w:p>
    <w:p w14:paraId="781F05DD" w14:textId="77777777" w:rsidR="006A4D66" w:rsidRDefault="00000000">
      <w:pPr>
        <w:pStyle w:val="ListBullet"/>
        <w:spacing w:after="100" w:line="259" w:lineRule="auto"/>
        <w:ind w:hanging="216"/>
      </w:pPr>
      <w:r>
        <w:rPr>
          <w:rFonts w:ascii="Aptos" w:hAnsi="Aptos"/>
          <w:color w:val="1F1F1F"/>
          <w:sz w:val="20"/>
        </w:rPr>
        <w:t>Built the portfolio-update layer that separates the official April baseline from the approved May overlay.</w:t>
      </w:r>
    </w:p>
    <w:p w14:paraId="5930F196" w14:textId="77777777" w:rsidR="006A4D66" w:rsidRDefault="00000000">
      <w:pPr>
        <w:pStyle w:val="ListBullet"/>
        <w:spacing w:after="100" w:line="259" w:lineRule="auto"/>
        <w:ind w:hanging="216"/>
      </w:pPr>
      <w:r>
        <w:rPr>
          <w:rFonts w:ascii="Aptos" w:hAnsi="Aptos"/>
          <w:color w:val="1F1F1F"/>
          <w:sz w:val="20"/>
        </w:rPr>
        <w:t>Built the Streamlit dashboard across Overview, Asset Class, Public Markets, Private Markets, Liquidity &amp; Commitments, Risk Profile, Workflow &amp; Controls, and Document Intake.</w:t>
      </w:r>
    </w:p>
    <w:p w14:paraId="45B0DC89" w14:textId="77777777" w:rsidR="006A4D66" w:rsidRDefault="00000000">
      <w:pPr>
        <w:pStyle w:val="ListBullet"/>
        <w:spacing w:after="100" w:line="259" w:lineRule="auto"/>
        <w:ind w:hanging="216"/>
      </w:pPr>
      <w:r>
        <w:rPr>
          <w:rFonts w:ascii="Aptos" w:hAnsi="Aptos"/>
          <w:color w:val="1F1F1F"/>
          <w:sz w:val="20"/>
        </w:rPr>
        <w:t>Integrated a real-price public-proxy risk overlay while keeping all family-office holdings synthetic.</w:t>
      </w:r>
    </w:p>
    <w:p w14:paraId="2D0953D4" w14:textId="77777777" w:rsidR="006A4D66" w:rsidRDefault="00000000">
      <w:pPr>
        <w:pStyle w:val="ListBullet"/>
        <w:spacing w:after="100" w:line="259" w:lineRule="auto"/>
        <w:ind w:hanging="216"/>
      </w:pPr>
      <w:r>
        <w:rPr>
          <w:rFonts w:ascii="Aptos" w:hAnsi="Aptos"/>
          <w:color w:val="1F1F1F"/>
          <w:sz w:val="20"/>
        </w:rPr>
        <w:t>Created QA checks, demo-readiness checks, automated tests, documentation, and a repeatable presentation workflow.</w:t>
      </w:r>
    </w:p>
    <w:p w14:paraId="59E1C09C" w14:textId="77777777" w:rsidR="006A4D66" w:rsidRDefault="00000000">
      <w:pPr>
        <w:pStyle w:val="Heading2"/>
      </w:pPr>
      <w:r>
        <w:t>5.10 How the Six PDFs Change—or Do Not Change—the Portfolio</w:t>
      </w:r>
    </w:p>
    <w:p w14:paraId="44A6FD49" w14:textId="77777777" w:rsidR="006A4D66" w:rsidRDefault="00000000">
      <w:pPr>
        <w:spacing w:after="100" w:line="259" w:lineRule="auto"/>
      </w:pPr>
      <w:r>
        <w:rPr>
          <w:rFonts w:ascii="Aptos" w:hAnsi="Aptos"/>
          <w:color w:val="1F1F1F"/>
          <w:sz w:val="20"/>
        </w:rPr>
        <w:t>The six-document batch demonstrates the project's core control principle: extraction is not equivalent to approval, and approval is not equivalent to every type of portfolio effect. Each document follows a different path depending on document type, field quality, and business meaning.</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656"/>
        <w:gridCol w:w="1512"/>
        <w:gridCol w:w="792"/>
        <w:gridCol w:w="3384"/>
        <w:gridCol w:w="2808"/>
        <w:gridCol w:w="13"/>
      </w:tblGrid>
      <w:tr w:rsidR="006A4D66" w14:paraId="4E011EA5" w14:textId="77777777">
        <w:trPr>
          <w:tblHeader/>
          <w:jc w:val="center"/>
        </w:trPr>
        <w:tc>
          <w:tcPr>
            <w:tcW w:w="1656" w:type="dxa"/>
            <w:shd w:val="clear" w:color="auto" w:fill="D9EAF7"/>
            <w:tcMar>
              <w:top w:w="100" w:type="dxa"/>
              <w:left w:w="105" w:type="dxa"/>
              <w:bottom w:w="100" w:type="dxa"/>
              <w:right w:w="105" w:type="dxa"/>
            </w:tcMar>
            <w:vAlign w:val="center"/>
          </w:tcPr>
          <w:p w14:paraId="554FA07A" w14:textId="77777777" w:rsidR="006A4D66" w:rsidRDefault="00000000">
            <w:pPr>
              <w:jc w:val="center"/>
            </w:pPr>
            <w:r>
              <w:rPr>
                <w:b/>
                <w:color w:val="000000"/>
                <w:sz w:val="19"/>
              </w:rPr>
              <w:t>Document</w:t>
            </w:r>
          </w:p>
        </w:tc>
        <w:tc>
          <w:tcPr>
            <w:tcW w:w="1512" w:type="dxa"/>
            <w:shd w:val="clear" w:color="auto" w:fill="D9EAF7"/>
            <w:tcMar>
              <w:top w:w="100" w:type="dxa"/>
              <w:left w:w="105" w:type="dxa"/>
              <w:bottom w:w="100" w:type="dxa"/>
              <w:right w:w="105" w:type="dxa"/>
            </w:tcMar>
            <w:vAlign w:val="center"/>
          </w:tcPr>
          <w:p w14:paraId="6ACC42AE" w14:textId="77777777" w:rsidR="006A4D66" w:rsidRDefault="00000000">
            <w:pPr>
              <w:jc w:val="center"/>
            </w:pPr>
            <w:r>
              <w:rPr>
                <w:b/>
                <w:color w:val="000000"/>
                <w:sz w:val="19"/>
              </w:rPr>
              <w:t>Validation outcome</w:t>
            </w:r>
          </w:p>
        </w:tc>
        <w:tc>
          <w:tcPr>
            <w:tcW w:w="792" w:type="dxa"/>
            <w:shd w:val="clear" w:color="auto" w:fill="D9EAF7"/>
            <w:tcMar>
              <w:top w:w="100" w:type="dxa"/>
              <w:left w:w="105" w:type="dxa"/>
              <w:bottom w:w="100" w:type="dxa"/>
              <w:right w:w="105" w:type="dxa"/>
            </w:tcMar>
            <w:vAlign w:val="center"/>
          </w:tcPr>
          <w:p w14:paraId="39270FA9" w14:textId="77777777" w:rsidR="006A4D66" w:rsidRDefault="00000000">
            <w:pPr>
              <w:jc w:val="center"/>
            </w:pPr>
            <w:r>
              <w:rPr>
                <w:b/>
                <w:color w:val="000000"/>
                <w:sz w:val="19"/>
              </w:rPr>
              <w:t>Applied?</w:t>
            </w:r>
          </w:p>
        </w:tc>
        <w:tc>
          <w:tcPr>
            <w:tcW w:w="3384" w:type="dxa"/>
            <w:shd w:val="clear" w:color="auto" w:fill="D9EAF7"/>
            <w:tcMar>
              <w:top w:w="100" w:type="dxa"/>
              <w:left w:w="105" w:type="dxa"/>
              <w:bottom w:w="100" w:type="dxa"/>
              <w:right w:w="105" w:type="dxa"/>
            </w:tcMar>
            <w:vAlign w:val="center"/>
          </w:tcPr>
          <w:p w14:paraId="2A90A960" w14:textId="77777777" w:rsidR="006A4D66" w:rsidRDefault="00000000">
            <w:pPr>
              <w:jc w:val="center"/>
            </w:pPr>
            <w:r>
              <w:rPr>
                <w:b/>
                <w:color w:val="000000"/>
                <w:sz w:val="19"/>
              </w:rPr>
              <w:t>Portfolio / liquidity effect</w:t>
            </w:r>
          </w:p>
        </w:tc>
        <w:tc>
          <w:tcPr>
            <w:tcW w:w="2808" w:type="dxa"/>
            <w:gridSpan w:val="2"/>
            <w:shd w:val="clear" w:color="auto" w:fill="D9EAF7"/>
            <w:tcMar>
              <w:top w:w="100" w:type="dxa"/>
              <w:left w:w="105" w:type="dxa"/>
              <w:bottom w:w="100" w:type="dxa"/>
              <w:right w:w="105" w:type="dxa"/>
            </w:tcMar>
            <w:vAlign w:val="center"/>
          </w:tcPr>
          <w:p w14:paraId="0ABE9FB2" w14:textId="77777777" w:rsidR="006A4D66" w:rsidRDefault="00000000">
            <w:pPr>
              <w:jc w:val="center"/>
            </w:pPr>
            <w:r>
              <w:rPr>
                <w:b/>
                <w:color w:val="000000"/>
                <w:sz w:val="19"/>
              </w:rPr>
              <w:t>Dashboard evidence</w:t>
            </w:r>
          </w:p>
        </w:tc>
      </w:tr>
      <w:tr w:rsidR="006A4D66" w14:paraId="4F53AD7E" w14:textId="77777777">
        <w:trPr>
          <w:jc w:val="center"/>
        </w:trPr>
        <w:tc>
          <w:tcPr>
            <w:tcW w:w="1656" w:type="dxa"/>
            <w:shd w:val="clear" w:color="auto" w:fill="FFFFFF"/>
            <w:tcMar>
              <w:top w:w="100" w:type="dxa"/>
              <w:left w:w="105" w:type="dxa"/>
              <w:bottom w:w="100" w:type="dxa"/>
              <w:right w:w="105" w:type="dxa"/>
            </w:tcMar>
            <w:vAlign w:val="center"/>
          </w:tcPr>
          <w:p w14:paraId="1C017583" w14:textId="77777777" w:rsidR="006A4D66" w:rsidRDefault="00000000">
            <w:r>
              <w:rPr>
                <w:color w:val="000000"/>
                <w:sz w:val="19"/>
              </w:rPr>
              <w:t>PDF_001 Northstar capital call</w:t>
            </w:r>
          </w:p>
        </w:tc>
        <w:tc>
          <w:tcPr>
            <w:tcW w:w="1512" w:type="dxa"/>
            <w:shd w:val="clear" w:color="auto" w:fill="FFFFFF"/>
            <w:tcMar>
              <w:top w:w="100" w:type="dxa"/>
              <w:left w:w="105" w:type="dxa"/>
              <w:bottom w:w="100" w:type="dxa"/>
              <w:right w:w="105" w:type="dxa"/>
            </w:tcMar>
            <w:vAlign w:val="center"/>
          </w:tcPr>
          <w:p w14:paraId="7F05E6B2" w14:textId="77777777" w:rsidR="006A4D66" w:rsidRDefault="00000000">
            <w:r>
              <w:rPr>
                <w:color w:val="000000"/>
                <w:sz w:val="19"/>
              </w:rPr>
              <w:t>Needs review</w:t>
            </w:r>
          </w:p>
        </w:tc>
        <w:tc>
          <w:tcPr>
            <w:tcW w:w="792" w:type="dxa"/>
            <w:shd w:val="clear" w:color="auto" w:fill="FFFFFF"/>
            <w:tcMar>
              <w:top w:w="100" w:type="dxa"/>
              <w:left w:w="105" w:type="dxa"/>
              <w:bottom w:w="100" w:type="dxa"/>
              <w:right w:w="105" w:type="dxa"/>
            </w:tcMar>
            <w:vAlign w:val="center"/>
          </w:tcPr>
          <w:p w14:paraId="20703F24"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0D3300F4" w14:textId="77777777" w:rsidR="006A4D66" w:rsidRDefault="00000000">
            <w:r>
              <w:rPr>
                <w:color w:val="000000"/>
                <w:sz w:val="19"/>
              </w:rPr>
              <w:t>Potential cash outflow and unfunded reduction remain blocked until the exception is resolved.</w:t>
            </w:r>
          </w:p>
        </w:tc>
        <w:tc>
          <w:tcPr>
            <w:tcW w:w="2808" w:type="dxa"/>
            <w:gridSpan w:val="2"/>
            <w:shd w:val="clear" w:color="auto" w:fill="FFFFFF"/>
            <w:tcMar>
              <w:top w:w="100" w:type="dxa"/>
              <w:left w:w="105" w:type="dxa"/>
              <w:bottom w:w="100" w:type="dxa"/>
              <w:right w:w="105" w:type="dxa"/>
            </w:tcMar>
            <w:vAlign w:val="center"/>
          </w:tcPr>
          <w:p w14:paraId="78B83EF1" w14:textId="77777777" w:rsidR="006A4D66" w:rsidRDefault="00000000">
            <w:r>
              <w:rPr>
                <w:color w:val="000000"/>
                <w:sz w:val="19"/>
              </w:rPr>
              <w:t>Visible in Workflow &amp; Controls; excluded from projected approved capital calls.</w:t>
            </w:r>
          </w:p>
        </w:tc>
      </w:tr>
      <w:tr w:rsidR="006A4D66" w14:paraId="083FAD15" w14:textId="77777777">
        <w:trPr>
          <w:jc w:val="center"/>
        </w:trPr>
        <w:tc>
          <w:tcPr>
            <w:tcW w:w="1656" w:type="dxa"/>
            <w:shd w:val="clear" w:color="auto" w:fill="FFFFFF"/>
            <w:tcMar>
              <w:top w:w="100" w:type="dxa"/>
              <w:left w:w="105" w:type="dxa"/>
              <w:bottom w:w="100" w:type="dxa"/>
              <w:right w:w="105" w:type="dxa"/>
            </w:tcMar>
            <w:vAlign w:val="center"/>
          </w:tcPr>
          <w:p w14:paraId="5833A40C" w14:textId="77777777" w:rsidR="006A4D66" w:rsidRDefault="00000000">
            <w:r>
              <w:rPr>
                <w:color w:val="000000"/>
                <w:sz w:val="19"/>
              </w:rPr>
              <w:t>PDF_002 SeedSpring capital call</w:t>
            </w:r>
          </w:p>
        </w:tc>
        <w:tc>
          <w:tcPr>
            <w:tcW w:w="1512" w:type="dxa"/>
            <w:shd w:val="clear" w:color="auto" w:fill="FFFFFF"/>
            <w:tcMar>
              <w:top w:w="100" w:type="dxa"/>
              <w:left w:w="105" w:type="dxa"/>
              <w:bottom w:w="100" w:type="dxa"/>
              <w:right w:w="105" w:type="dxa"/>
            </w:tcMar>
            <w:vAlign w:val="center"/>
          </w:tcPr>
          <w:p w14:paraId="50294211" w14:textId="77777777" w:rsidR="006A4D66" w:rsidRDefault="00000000">
            <w:r>
              <w:rPr>
                <w:color w:val="000000"/>
                <w:sz w:val="19"/>
              </w:rPr>
              <w:t>Needs review</w:t>
            </w:r>
          </w:p>
        </w:tc>
        <w:tc>
          <w:tcPr>
            <w:tcW w:w="792" w:type="dxa"/>
            <w:shd w:val="clear" w:color="auto" w:fill="FFFFFF"/>
            <w:tcMar>
              <w:top w:w="100" w:type="dxa"/>
              <w:left w:w="105" w:type="dxa"/>
              <w:bottom w:w="100" w:type="dxa"/>
              <w:right w:w="105" w:type="dxa"/>
            </w:tcMar>
            <w:vAlign w:val="center"/>
          </w:tcPr>
          <w:p w14:paraId="59D85A9E"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5C19546F" w14:textId="77777777" w:rsidR="006A4D66" w:rsidRDefault="00000000">
            <w:r>
              <w:rPr>
                <w:color w:val="000000"/>
                <w:sz w:val="19"/>
              </w:rPr>
              <w:t>No cash or commitment update. The exception is preserved for manual review.</w:t>
            </w:r>
          </w:p>
        </w:tc>
        <w:tc>
          <w:tcPr>
            <w:tcW w:w="2808" w:type="dxa"/>
            <w:gridSpan w:val="2"/>
            <w:shd w:val="clear" w:color="auto" w:fill="FFFFFF"/>
            <w:tcMar>
              <w:top w:w="100" w:type="dxa"/>
              <w:left w:w="105" w:type="dxa"/>
              <w:bottom w:w="100" w:type="dxa"/>
              <w:right w:w="105" w:type="dxa"/>
            </w:tcMar>
            <w:vAlign w:val="center"/>
          </w:tcPr>
          <w:p w14:paraId="52C91BE3" w14:textId="77777777" w:rsidR="006A4D66" w:rsidRDefault="00000000">
            <w:r>
              <w:rPr>
                <w:color w:val="000000"/>
                <w:sz w:val="19"/>
              </w:rPr>
              <w:t>Review queue shows the item; portfolio pages remain unchanged.</w:t>
            </w:r>
          </w:p>
        </w:tc>
      </w:tr>
      <w:tr w:rsidR="006A4D66" w14:paraId="77221465" w14:textId="77777777">
        <w:trPr>
          <w:jc w:val="center"/>
        </w:trPr>
        <w:tc>
          <w:tcPr>
            <w:tcW w:w="1656" w:type="dxa"/>
            <w:shd w:val="clear" w:color="auto" w:fill="FFFFFF"/>
            <w:tcMar>
              <w:top w:w="100" w:type="dxa"/>
              <w:left w:w="105" w:type="dxa"/>
              <w:bottom w:w="100" w:type="dxa"/>
              <w:right w:w="105" w:type="dxa"/>
            </w:tcMar>
            <w:vAlign w:val="center"/>
          </w:tcPr>
          <w:p w14:paraId="0DDFBB66" w14:textId="77777777" w:rsidR="006A4D66" w:rsidRDefault="00000000">
            <w:r>
              <w:rPr>
                <w:color w:val="000000"/>
                <w:sz w:val="19"/>
              </w:rPr>
              <w:t>PDF_003 Harbor Peak distribution</w:t>
            </w:r>
          </w:p>
        </w:tc>
        <w:tc>
          <w:tcPr>
            <w:tcW w:w="1512" w:type="dxa"/>
            <w:shd w:val="clear" w:color="auto" w:fill="FFFFFF"/>
            <w:tcMar>
              <w:top w:w="100" w:type="dxa"/>
              <w:left w:w="105" w:type="dxa"/>
              <w:bottom w:w="100" w:type="dxa"/>
              <w:right w:w="105" w:type="dxa"/>
            </w:tcMar>
            <w:vAlign w:val="center"/>
          </w:tcPr>
          <w:p w14:paraId="5B24F771"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34359D84"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07E8A746" w14:textId="77777777" w:rsidR="006A4D66" w:rsidRDefault="00000000">
            <w:r>
              <w:rPr>
                <w:color w:val="000000"/>
                <w:sz w:val="19"/>
              </w:rPr>
              <w:t>Adds a projected USD 3.1m distribution inflow and an approved private-market cash-flow record.</w:t>
            </w:r>
          </w:p>
        </w:tc>
        <w:tc>
          <w:tcPr>
            <w:tcW w:w="2808" w:type="dxa"/>
            <w:gridSpan w:val="2"/>
            <w:shd w:val="clear" w:color="auto" w:fill="FFFFFF"/>
            <w:tcMar>
              <w:top w:w="100" w:type="dxa"/>
              <w:left w:w="105" w:type="dxa"/>
              <w:bottom w:w="100" w:type="dxa"/>
              <w:right w:w="105" w:type="dxa"/>
            </w:tcMar>
            <w:vAlign w:val="center"/>
          </w:tcPr>
          <w:p w14:paraId="0365E580" w14:textId="77777777" w:rsidR="006A4D66" w:rsidRDefault="00000000">
            <w:r>
              <w:rPr>
                <w:color w:val="000000"/>
                <w:sz w:val="19"/>
              </w:rPr>
              <w:t>Liquidity &amp; Commitments and Private Markets show the approved distribution.</w:t>
            </w:r>
          </w:p>
        </w:tc>
      </w:tr>
      <w:tr w:rsidR="006A4D66" w14:paraId="3DEB6D2B" w14:textId="77777777">
        <w:trPr>
          <w:jc w:val="center"/>
        </w:trPr>
        <w:tc>
          <w:tcPr>
            <w:tcW w:w="1656" w:type="dxa"/>
            <w:shd w:val="clear" w:color="auto" w:fill="FFFFFF"/>
            <w:tcMar>
              <w:top w:w="100" w:type="dxa"/>
              <w:left w:w="105" w:type="dxa"/>
              <w:bottom w:w="100" w:type="dxa"/>
              <w:right w:w="105" w:type="dxa"/>
            </w:tcMar>
            <w:vAlign w:val="center"/>
          </w:tcPr>
          <w:p w14:paraId="71757008" w14:textId="77777777" w:rsidR="006A4D66" w:rsidRDefault="00000000">
            <w:r>
              <w:rPr>
                <w:color w:val="000000"/>
                <w:sz w:val="19"/>
              </w:rPr>
              <w:t>PDF_004 Northstar capital-account statement</w:t>
            </w:r>
          </w:p>
        </w:tc>
        <w:tc>
          <w:tcPr>
            <w:tcW w:w="1512" w:type="dxa"/>
            <w:shd w:val="clear" w:color="auto" w:fill="FFFFFF"/>
            <w:tcMar>
              <w:top w:w="100" w:type="dxa"/>
              <w:left w:w="105" w:type="dxa"/>
              <w:bottom w:w="100" w:type="dxa"/>
              <w:right w:w="105" w:type="dxa"/>
            </w:tcMar>
            <w:vAlign w:val="center"/>
          </w:tcPr>
          <w:p w14:paraId="4157E129"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6365BE47"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5141A892" w14:textId="77777777" w:rsidR="006A4D66" w:rsidRDefault="00000000">
            <w:r>
              <w:rPr>
                <w:color w:val="000000"/>
                <w:sz w:val="19"/>
              </w:rPr>
              <w:t>Updates the Northstar private-market position using the statement values, while retaining source lineage.</w:t>
            </w:r>
          </w:p>
        </w:tc>
        <w:tc>
          <w:tcPr>
            <w:tcW w:w="2808" w:type="dxa"/>
            <w:gridSpan w:val="2"/>
            <w:shd w:val="clear" w:color="auto" w:fill="FFFFFF"/>
            <w:tcMar>
              <w:top w:w="100" w:type="dxa"/>
              <w:left w:w="105" w:type="dxa"/>
              <w:bottom w:w="100" w:type="dxa"/>
              <w:right w:w="105" w:type="dxa"/>
            </w:tcMar>
            <w:vAlign w:val="center"/>
          </w:tcPr>
          <w:p w14:paraId="5EECCFC4" w14:textId="77777777" w:rsidR="006A4D66" w:rsidRDefault="00000000">
            <w:r>
              <w:rPr>
                <w:color w:val="000000"/>
                <w:sz w:val="19"/>
              </w:rPr>
              <w:t>Private Markets post-ingestion fund table and portfolio overlay reflect the update.</w:t>
            </w:r>
          </w:p>
        </w:tc>
      </w:tr>
      <w:tr w:rsidR="006A4D66" w14:paraId="1B87C7A4" w14:textId="77777777">
        <w:trPr>
          <w:jc w:val="center"/>
        </w:trPr>
        <w:tc>
          <w:tcPr>
            <w:tcW w:w="1656" w:type="dxa"/>
            <w:shd w:val="clear" w:color="auto" w:fill="FFFFFF"/>
            <w:tcMar>
              <w:top w:w="100" w:type="dxa"/>
              <w:left w:w="105" w:type="dxa"/>
              <w:bottom w:w="100" w:type="dxa"/>
              <w:right w:w="105" w:type="dxa"/>
            </w:tcMar>
            <w:vAlign w:val="center"/>
          </w:tcPr>
          <w:p w14:paraId="0BC7D1BB" w14:textId="77777777" w:rsidR="006A4D66" w:rsidRDefault="00000000">
            <w:r>
              <w:rPr>
                <w:color w:val="000000"/>
                <w:sz w:val="19"/>
              </w:rPr>
              <w:t>PDF_005 LionRock capital-account statement</w:t>
            </w:r>
          </w:p>
        </w:tc>
        <w:tc>
          <w:tcPr>
            <w:tcW w:w="1512" w:type="dxa"/>
            <w:shd w:val="clear" w:color="auto" w:fill="FFFFFF"/>
            <w:tcMar>
              <w:top w:w="100" w:type="dxa"/>
              <w:left w:w="105" w:type="dxa"/>
              <w:bottom w:w="100" w:type="dxa"/>
              <w:right w:w="105" w:type="dxa"/>
            </w:tcMar>
            <w:vAlign w:val="center"/>
          </w:tcPr>
          <w:p w14:paraId="0BC5B4E0" w14:textId="77777777" w:rsidR="006A4D66" w:rsidRDefault="00000000">
            <w:r>
              <w:rPr>
                <w:color w:val="000000"/>
                <w:sz w:val="19"/>
              </w:rPr>
              <w:t>Rejected</w:t>
            </w:r>
          </w:p>
        </w:tc>
        <w:tc>
          <w:tcPr>
            <w:tcW w:w="792" w:type="dxa"/>
            <w:shd w:val="clear" w:color="auto" w:fill="FFFFFF"/>
            <w:tcMar>
              <w:top w:w="100" w:type="dxa"/>
              <w:left w:w="105" w:type="dxa"/>
              <w:bottom w:w="100" w:type="dxa"/>
              <w:right w:w="105" w:type="dxa"/>
            </w:tcMar>
            <w:vAlign w:val="center"/>
          </w:tcPr>
          <w:p w14:paraId="3AB8A2DB"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584C8F36" w14:textId="77777777" w:rsidR="006A4D66" w:rsidRDefault="00000000">
            <w:r>
              <w:rPr>
                <w:color w:val="000000"/>
                <w:sz w:val="19"/>
              </w:rPr>
              <w:t>No NAV, commitment, or cash value is applied because the document fails the acceptance threshold.</w:t>
            </w:r>
          </w:p>
        </w:tc>
        <w:tc>
          <w:tcPr>
            <w:tcW w:w="2808" w:type="dxa"/>
            <w:gridSpan w:val="2"/>
            <w:shd w:val="clear" w:color="auto" w:fill="FFFFFF"/>
            <w:tcMar>
              <w:top w:w="100" w:type="dxa"/>
              <w:left w:w="105" w:type="dxa"/>
              <w:bottom w:w="100" w:type="dxa"/>
              <w:right w:w="105" w:type="dxa"/>
            </w:tcMar>
            <w:vAlign w:val="center"/>
          </w:tcPr>
          <w:p w14:paraId="0C1EFACA" w14:textId="77777777" w:rsidR="006A4D66" w:rsidRDefault="00000000">
            <w:r>
              <w:rPr>
                <w:color w:val="000000"/>
                <w:sz w:val="19"/>
              </w:rPr>
              <w:t>Rejected status remains visible in controls; portfolio state is protected.</w:t>
            </w:r>
          </w:p>
        </w:tc>
      </w:tr>
      <w:tr w:rsidR="006A4D66" w14:paraId="38B85117" w14:textId="77777777">
        <w:trPr>
          <w:jc w:val="center"/>
        </w:trPr>
        <w:tc>
          <w:tcPr>
            <w:tcW w:w="1656" w:type="dxa"/>
            <w:shd w:val="clear" w:color="auto" w:fill="FFFFFF"/>
            <w:tcMar>
              <w:top w:w="100" w:type="dxa"/>
              <w:left w:w="105" w:type="dxa"/>
              <w:bottom w:w="100" w:type="dxa"/>
              <w:right w:w="105" w:type="dxa"/>
            </w:tcMar>
            <w:vAlign w:val="center"/>
          </w:tcPr>
          <w:p w14:paraId="43029128" w14:textId="77777777" w:rsidR="006A4D66" w:rsidRDefault="00000000">
            <w:r>
              <w:rPr>
                <w:color w:val="000000"/>
                <w:sz w:val="19"/>
              </w:rPr>
              <w:t>PDF_006 Blue Horizon newsletter</w:t>
            </w:r>
          </w:p>
        </w:tc>
        <w:tc>
          <w:tcPr>
            <w:tcW w:w="1512" w:type="dxa"/>
            <w:shd w:val="clear" w:color="auto" w:fill="FFFFFF"/>
            <w:tcMar>
              <w:top w:w="100" w:type="dxa"/>
              <w:left w:w="105" w:type="dxa"/>
              <w:bottom w:w="100" w:type="dxa"/>
              <w:right w:w="105" w:type="dxa"/>
            </w:tcMar>
            <w:vAlign w:val="center"/>
          </w:tcPr>
          <w:p w14:paraId="5487764F"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6BD2992D"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094B4372" w14:textId="77777777" w:rsidR="006A4D66" w:rsidRDefault="00000000">
            <w:r>
              <w:rPr>
                <w:color w:val="000000"/>
                <w:sz w:val="19"/>
              </w:rPr>
              <w:t>Adds manager commentary and qualitative context without changing balances.</w:t>
            </w:r>
          </w:p>
        </w:tc>
        <w:tc>
          <w:tcPr>
            <w:tcW w:w="2808" w:type="dxa"/>
            <w:gridSpan w:val="2"/>
            <w:shd w:val="clear" w:color="auto" w:fill="FFFFFF"/>
            <w:tcMar>
              <w:top w:w="100" w:type="dxa"/>
              <w:left w:w="105" w:type="dxa"/>
              <w:bottom w:w="100" w:type="dxa"/>
              <w:right w:w="105" w:type="dxa"/>
            </w:tcMar>
            <w:vAlign w:val="center"/>
          </w:tcPr>
          <w:p w14:paraId="276715B4" w14:textId="77777777" w:rsidR="006A4D66" w:rsidRDefault="00000000">
            <w:r>
              <w:rPr>
                <w:color w:val="000000"/>
                <w:sz w:val="19"/>
              </w:rPr>
              <w:t>Private Markets commentary view is enriched; AUM and liquidity are unaffected.</w:t>
            </w:r>
          </w:p>
        </w:tc>
      </w:tr>
      <w:tr w:rsidR="006A4D66" w14:paraId="647C5F7A" w14:textId="77777777">
        <w:trPr>
          <w:gridAfter w:val="1"/>
          <w:wAfter w:w="13" w:type="dxa"/>
          <w:jc w:val="center"/>
        </w:trPr>
        <w:tc>
          <w:tcPr>
            <w:tcW w:w="10152" w:type="dxa"/>
            <w:gridSpan w:val="5"/>
            <w:shd w:val="clear" w:color="auto" w:fill="D9EAF7"/>
            <w:tcMar>
              <w:top w:w="105" w:type="dxa"/>
              <w:left w:w="120" w:type="dxa"/>
              <w:bottom w:w="105" w:type="dxa"/>
              <w:right w:w="120" w:type="dxa"/>
            </w:tcMar>
            <w:vAlign w:val="center"/>
          </w:tcPr>
          <w:p w14:paraId="120BA9C3" w14:textId="77777777" w:rsidR="006A4D66" w:rsidRDefault="00000000">
            <w:r>
              <w:rPr>
                <w:b/>
                <w:color w:val="000000"/>
                <w:sz w:val="19"/>
              </w:rPr>
              <w:t xml:space="preserve">Control demonstrated: </w:t>
            </w:r>
            <w:r>
              <w:rPr>
                <w:color w:val="000000"/>
                <w:sz w:val="19"/>
              </w:rPr>
              <w:t>Three documents are applied and three are blocked. The blocked records remain observable, but their uncertain values cannot silently contaminate AUM, NAV, unfunded commitments, or liquidity projections.</w:t>
            </w:r>
          </w:p>
        </w:tc>
      </w:tr>
    </w:tbl>
    <w:p w14:paraId="1267A9A8" w14:textId="77777777" w:rsidR="00730BCB" w:rsidRDefault="00AD7534">
      <w:pPr>
        <w:pStyle w:val="Heading1"/>
      </w:pPr>
      <w:r>
        <w:lastRenderedPageBreak/>
        <w:t>6. Portfolio Dashboard and Decision Support</w:t>
      </w:r>
    </w:p>
    <w:p w14:paraId="2DE45FCF" w14:textId="77777777" w:rsidR="00730BCB" w:rsidRDefault="00730BCB"/>
    <w:p w14:paraId="2D3C5082" w14:textId="77777777" w:rsidR="006A4D66" w:rsidRDefault="00000000">
      <w:pPr>
        <w:pStyle w:val="Heading2"/>
        <w:spacing w:after="120" w:line="259" w:lineRule="auto"/>
      </w:pPr>
      <w:r>
        <w:rPr>
          <w:rFonts w:ascii="Aptos" w:eastAsia="Aptos" w:hAnsi="Aptos"/>
          <w:b w:val="0"/>
          <w:color w:val="172033"/>
          <w:sz w:val="21"/>
        </w:rPr>
        <w:t>6.1 Dashboard Objective and Information Architecture</w:t>
      </w:r>
    </w:p>
    <w:p w14:paraId="7DE94990" w14:textId="77777777" w:rsidR="006A4D66" w:rsidRDefault="00000000">
      <w:pPr>
        <w:spacing w:after="120" w:line="259" w:lineRule="auto"/>
      </w:pPr>
      <w:r>
        <w:rPr>
          <w:rFonts w:ascii="Aptos" w:eastAsia="Aptos" w:hAnsi="Aptos"/>
          <w:color w:val="172033"/>
          <w:sz w:val="21"/>
        </w:rPr>
        <w:t>The dashboard is the presentation layer of the controlled workflow, not a separate analytical prototype. It reads processed datasets and makes the portfolio-state boundary explicit: official baseline, approved overlay month, external market-data end date, staged uploads, unresolved documents, and applied updates are displayed as distinct concepts.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160"/>
        <w:gridCol w:w="4032"/>
        <w:gridCol w:w="3744"/>
      </w:tblGrid>
      <w:tr w:rsidR="006A4D66" w14:paraId="03DE31EC" w14:textId="77777777">
        <w:trPr>
          <w:tblHeader/>
          <w:jc w:val="center"/>
        </w:trPr>
        <w:tc>
          <w:tcPr>
            <w:tcW w:w="2160" w:type="dxa"/>
            <w:shd w:val="clear" w:color="auto" w:fill="D9EAF7"/>
            <w:tcMar>
              <w:top w:w="100" w:type="dxa"/>
              <w:left w:w="105" w:type="dxa"/>
              <w:bottom w:w="100" w:type="dxa"/>
              <w:right w:w="105" w:type="dxa"/>
            </w:tcMar>
            <w:vAlign w:val="center"/>
          </w:tcPr>
          <w:p w14:paraId="79B81E4F" w14:textId="77777777" w:rsidR="006A4D66" w:rsidRDefault="00000000">
            <w:pPr>
              <w:jc w:val="center"/>
            </w:pPr>
            <w:r>
              <w:rPr>
                <w:b/>
                <w:color w:val="000000"/>
                <w:sz w:val="19"/>
              </w:rPr>
              <w:t>Page</w:t>
            </w:r>
          </w:p>
        </w:tc>
        <w:tc>
          <w:tcPr>
            <w:tcW w:w="4032" w:type="dxa"/>
            <w:shd w:val="clear" w:color="auto" w:fill="D9EAF7"/>
            <w:tcMar>
              <w:top w:w="100" w:type="dxa"/>
              <w:left w:w="105" w:type="dxa"/>
              <w:bottom w:w="100" w:type="dxa"/>
              <w:right w:w="105" w:type="dxa"/>
            </w:tcMar>
            <w:vAlign w:val="center"/>
          </w:tcPr>
          <w:p w14:paraId="276FA66D" w14:textId="77777777" w:rsidR="006A4D66" w:rsidRDefault="00000000">
            <w:pPr>
              <w:jc w:val="center"/>
            </w:pPr>
            <w:r>
              <w:rPr>
                <w:b/>
                <w:color w:val="000000"/>
                <w:sz w:val="19"/>
              </w:rPr>
              <w:t>Primary management question</w:t>
            </w:r>
          </w:p>
        </w:tc>
        <w:tc>
          <w:tcPr>
            <w:tcW w:w="3744" w:type="dxa"/>
            <w:shd w:val="clear" w:color="auto" w:fill="D9EAF7"/>
            <w:tcMar>
              <w:top w:w="100" w:type="dxa"/>
              <w:left w:w="105" w:type="dxa"/>
              <w:bottom w:w="100" w:type="dxa"/>
              <w:right w:w="105" w:type="dxa"/>
            </w:tcMar>
            <w:vAlign w:val="center"/>
          </w:tcPr>
          <w:p w14:paraId="01506277" w14:textId="77777777" w:rsidR="006A4D66" w:rsidRDefault="00000000">
            <w:pPr>
              <w:jc w:val="center"/>
            </w:pPr>
            <w:r>
              <w:rPr>
                <w:b/>
                <w:color w:val="000000"/>
                <w:sz w:val="19"/>
              </w:rPr>
              <w:t>Key evidence</w:t>
            </w:r>
          </w:p>
        </w:tc>
      </w:tr>
      <w:tr w:rsidR="006A4D66" w14:paraId="328A2D87" w14:textId="77777777">
        <w:trPr>
          <w:jc w:val="center"/>
        </w:trPr>
        <w:tc>
          <w:tcPr>
            <w:tcW w:w="2160" w:type="dxa"/>
            <w:shd w:val="clear" w:color="auto" w:fill="FFFFFF"/>
            <w:tcMar>
              <w:top w:w="100" w:type="dxa"/>
              <w:left w:w="105" w:type="dxa"/>
              <w:bottom w:w="100" w:type="dxa"/>
              <w:right w:w="105" w:type="dxa"/>
            </w:tcMar>
            <w:vAlign w:val="center"/>
          </w:tcPr>
          <w:p w14:paraId="7E2DD12C" w14:textId="77777777" w:rsidR="006A4D66" w:rsidRDefault="00000000">
            <w:r>
              <w:rPr>
                <w:color w:val="000000"/>
                <w:sz w:val="19"/>
              </w:rPr>
              <w:t>Overview</w:t>
            </w:r>
          </w:p>
        </w:tc>
        <w:tc>
          <w:tcPr>
            <w:tcW w:w="4032" w:type="dxa"/>
            <w:shd w:val="clear" w:color="auto" w:fill="FFFFFF"/>
            <w:tcMar>
              <w:top w:w="100" w:type="dxa"/>
              <w:left w:w="105" w:type="dxa"/>
              <w:bottom w:w="100" w:type="dxa"/>
              <w:right w:w="105" w:type="dxa"/>
            </w:tcMar>
            <w:vAlign w:val="center"/>
          </w:tcPr>
          <w:p w14:paraId="3EBE714B" w14:textId="77777777" w:rsidR="006A4D66" w:rsidRDefault="00000000">
            <w:r>
              <w:rPr>
                <w:color w:val="000000"/>
                <w:sz w:val="19"/>
              </w:rPr>
              <w:t>What is the current portfolio state and what changed?</w:t>
            </w:r>
          </w:p>
        </w:tc>
        <w:tc>
          <w:tcPr>
            <w:tcW w:w="3744" w:type="dxa"/>
            <w:shd w:val="clear" w:color="auto" w:fill="FFFFFF"/>
            <w:tcMar>
              <w:top w:w="100" w:type="dxa"/>
              <w:left w:w="105" w:type="dxa"/>
              <w:bottom w:w="100" w:type="dxa"/>
              <w:right w:w="105" w:type="dxa"/>
            </w:tcMar>
            <w:vAlign w:val="center"/>
          </w:tcPr>
          <w:p w14:paraId="2B0D267C" w14:textId="77777777" w:rsidR="006A4D66" w:rsidRDefault="00000000">
            <w:r>
              <w:rPr>
                <w:color w:val="000000"/>
                <w:sz w:val="19"/>
              </w:rPr>
              <w:t>AUM, return, cash, volatility, commitments, workflow snapshot</w:t>
            </w:r>
          </w:p>
        </w:tc>
      </w:tr>
      <w:tr w:rsidR="006A4D66" w14:paraId="08C2E262" w14:textId="77777777">
        <w:trPr>
          <w:jc w:val="center"/>
        </w:trPr>
        <w:tc>
          <w:tcPr>
            <w:tcW w:w="2160" w:type="dxa"/>
            <w:shd w:val="clear" w:color="auto" w:fill="FFFFFF"/>
            <w:tcMar>
              <w:top w:w="100" w:type="dxa"/>
              <w:left w:w="105" w:type="dxa"/>
              <w:bottom w:w="100" w:type="dxa"/>
              <w:right w:w="105" w:type="dxa"/>
            </w:tcMar>
            <w:vAlign w:val="center"/>
          </w:tcPr>
          <w:p w14:paraId="7A015CA5" w14:textId="77777777" w:rsidR="006A4D66" w:rsidRDefault="00000000">
            <w:r>
              <w:rPr>
                <w:color w:val="000000"/>
                <w:sz w:val="19"/>
              </w:rPr>
              <w:t>Asset Class</w:t>
            </w:r>
          </w:p>
        </w:tc>
        <w:tc>
          <w:tcPr>
            <w:tcW w:w="4032" w:type="dxa"/>
            <w:shd w:val="clear" w:color="auto" w:fill="FFFFFF"/>
            <w:tcMar>
              <w:top w:w="100" w:type="dxa"/>
              <w:left w:w="105" w:type="dxa"/>
              <w:bottom w:w="100" w:type="dxa"/>
              <w:right w:w="105" w:type="dxa"/>
            </w:tcMar>
            <w:vAlign w:val="center"/>
          </w:tcPr>
          <w:p w14:paraId="214C2685" w14:textId="77777777" w:rsidR="006A4D66" w:rsidRDefault="00000000">
            <w:r>
              <w:rPr>
                <w:color w:val="000000"/>
                <w:sz w:val="19"/>
              </w:rPr>
              <w:t>How is capital allocated and changing?</w:t>
            </w:r>
          </w:p>
        </w:tc>
        <w:tc>
          <w:tcPr>
            <w:tcW w:w="3744" w:type="dxa"/>
            <w:shd w:val="clear" w:color="auto" w:fill="FFFFFF"/>
            <w:tcMar>
              <w:top w:w="100" w:type="dxa"/>
              <w:left w:w="105" w:type="dxa"/>
              <w:bottom w:w="100" w:type="dxa"/>
              <w:right w:w="105" w:type="dxa"/>
            </w:tcMar>
            <w:vAlign w:val="center"/>
          </w:tcPr>
          <w:p w14:paraId="016E8A79" w14:textId="77777777" w:rsidR="006A4D66" w:rsidRDefault="00000000">
            <w:r>
              <w:rPr>
                <w:color w:val="000000"/>
                <w:sz w:val="19"/>
              </w:rPr>
              <w:t>Allocation, category evolution, monthly change, net exposure</w:t>
            </w:r>
          </w:p>
        </w:tc>
      </w:tr>
      <w:tr w:rsidR="006A4D66" w14:paraId="1F1B80C9" w14:textId="77777777">
        <w:trPr>
          <w:jc w:val="center"/>
        </w:trPr>
        <w:tc>
          <w:tcPr>
            <w:tcW w:w="2160" w:type="dxa"/>
            <w:shd w:val="clear" w:color="auto" w:fill="FFFFFF"/>
            <w:tcMar>
              <w:top w:w="100" w:type="dxa"/>
              <w:left w:w="105" w:type="dxa"/>
              <w:bottom w:w="100" w:type="dxa"/>
              <w:right w:w="105" w:type="dxa"/>
            </w:tcMar>
            <w:vAlign w:val="center"/>
          </w:tcPr>
          <w:p w14:paraId="37737357" w14:textId="77777777" w:rsidR="006A4D66" w:rsidRDefault="00000000">
            <w:r>
              <w:rPr>
                <w:color w:val="000000"/>
                <w:sz w:val="19"/>
              </w:rPr>
              <w:t>Region &amp; Currency</w:t>
            </w:r>
          </w:p>
        </w:tc>
        <w:tc>
          <w:tcPr>
            <w:tcW w:w="4032" w:type="dxa"/>
            <w:shd w:val="clear" w:color="auto" w:fill="FFFFFF"/>
            <w:tcMar>
              <w:top w:w="100" w:type="dxa"/>
              <w:left w:w="105" w:type="dxa"/>
              <w:bottom w:w="100" w:type="dxa"/>
              <w:right w:w="105" w:type="dxa"/>
            </w:tcMar>
            <w:vAlign w:val="center"/>
          </w:tcPr>
          <w:p w14:paraId="631C9640" w14:textId="77777777" w:rsidR="006A4D66" w:rsidRDefault="00000000">
            <w:r>
              <w:rPr>
                <w:color w:val="000000"/>
                <w:sz w:val="19"/>
              </w:rPr>
              <w:t>Where are the portfolio’s geographic and currency concentrations?</w:t>
            </w:r>
          </w:p>
        </w:tc>
        <w:tc>
          <w:tcPr>
            <w:tcW w:w="3744" w:type="dxa"/>
            <w:shd w:val="clear" w:color="auto" w:fill="FFFFFF"/>
            <w:tcMar>
              <w:top w:w="100" w:type="dxa"/>
              <w:left w:w="105" w:type="dxa"/>
              <w:bottom w:w="100" w:type="dxa"/>
              <w:right w:w="105" w:type="dxa"/>
            </w:tcMar>
            <w:vAlign w:val="center"/>
          </w:tcPr>
          <w:p w14:paraId="5ABCFBFA" w14:textId="77777777" w:rsidR="006A4D66" w:rsidRDefault="00000000">
            <w:r>
              <w:rPr>
                <w:color w:val="000000"/>
                <w:sz w:val="19"/>
              </w:rPr>
              <w:t>Region taxonomy, geography, currency, USD/non-USD</w:t>
            </w:r>
          </w:p>
        </w:tc>
      </w:tr>
      <w:tr w:rsidR="006A4D66" w14:paraId="1B312535" w14:textId="77777777">
        <w:trPr>
          <w:jc w:val="center"/>
        </w:trPr>
        <w:tc>
          <w:tcPr>
            <w:tcW w:w="2160" w:type="dxa"/>
            <w:shd w:val="clear" w:color="auto" w:fill="FFFFFF"/>
            <w:tcMar>
              <w:top w:w="100" w:type="dxa"/>
              <w:left w:w="105" w:type="dxa"/>
              <w:bottom w:w="100" w:type="dxa"/>
              <w:right w:w="105" w:type="dxa"/>
            </w:tcMar>
            <w:vAlign w:val="center"/>
          </w:tcPr>
          <w:p w14:paraId="7D286620" w14:textId="77777777" w:rsidR="006A4D66" w:rsidRDefault="00000000">
            <w:r>
              <w:rPr>
                <w:color w:val="000000"/>
                <w:sz w:val="19"/>
              </w:rPr>
              <w:t>Public Markets</w:t>
            </w:r>
          </w:p>
        </w:tc>
        <w:tc>
          <w:tcPr>
            <w:tcW w:w="4032" w:type="dxa"/>
            <w:shd w:val="clear" w:color="auto" w:fill="FFFFFF"/>
            <w:tcMar>
              <w:top w:w="100" w:type="dxa"/>
              <w:left w:w="105" w:type="dxa"/>
              <w:bottom w:w="100" w:type="dxa"/>
              <w:right w:w="105" w:type="dxa"/>
            </w:tcMar>
            <w:vAlign w:val="center"/>
          </w:tcPr>
          <w:p w14:paraId="11E2C1EE" w14:textId="77777777" w:rsidR="006A4D66" w:rsidRDefault="00000000">
            <w:r>
              <w:rPr>
                <w:color w:val="000000"/>
                <w:sz w:val="19"/>
              </w:rPr>
              <w:t>What drives the observable liquid sleeve?</w:t>
            </w:r>
          </w:p>
        </w:tc>
        <w:tc>
          <w:tcPr>
            <w:tcW w:w="3744" w:type="dxa"/>
            <w:shd w:val="clear" w:color="auto" w:fill="FFFFFF"/>
            <w:tcMar>
              <w:top w:w="100" w:type="dxa"/>
              <w:left w:w="105" w:type="dxa"/>
              <w:bottom w:w="100" w:type="dxa"/>
              <w:right w:w="105" w:type="dxa"/>
            </w:tcMar>
            <w:vAlign w:val="center"/>
          </w:tcPr>
          <w:p w14:paraId="433674F1" w14:textId="77777777" w:rsidR="006A4D66" w:rsidRDefault="00000000">
            <w:r>
              <w:rPr>
                <w:color w:val="000000"/>
                <w:sz w:val="19"/>
              </w:rPr>
              <w:t>Holdings, sectors, market cap, long/short, market-linked history</w:t>
            </w:r>
          </w:p>
        </w:tc>
      </w:tr>
      <w:tr w:rsidR="006A4D66" w14:paraId="783F1CAC" w14:textId="77777777">
        <w:trPr>
          <w:jc w:val="center"/>
        </w:trPr>
        <w:tc>
          <w:tcPr>
            <w:tcW w:w="2160" w:type="dxa"/>
            <w:shd w:val="clear" w:color="auto" w:fill="FFFFFF"/>
            <w:tcMar>
              <w:top w:w="100" w:type="dxa"/>
              <w:left w:w="105" w:type="dxa"/>
              <w:bottom w:w="100" w:type="dxa"/>
              <w:right w:w="105" w:type="dxa"/>
            </w:tcMar>
            <w:vAlign w:val="center"/>
          </w:tcPr>
          <w:p w14:paraId="476D2C0F" w14:textId="77777777" w:rsidR="006A4D66" w:rsidRDefault="00000000">
            <w:r>
              <w:rPr>
                <w:color w:val="000000"/>
                <w:sz w:val="19"/>
              </w:rPr>
              <w:t>Private Markets</w:t>
            </w:r>
          </w:p>
        </w:tc>
        <w:tc>
          <w:tcPr>
            <w:tcW w:w="4032" w:type="dxa"/>
            <w:shd w:val="clear" w:color="auto" w:fill="FFFFFF"/>
            <w:tcMar>
              <w:top w:w="100" w:type="dxa"/>
              <w:left w:w="105" w:type="dxa"/>
              <w:bottom w:w="100" w:type="dxa"/>
              <w:right w:w="105" w:type="dxa"/>
            </w:tcMar>
            <w:vAlign w:val="center"/>
          </w:tcPr>
          <w:p w14:paraId="42401211" w14:textId="77777777" w:rsidR="006A4D66" w:rsidRDefault="00000000">
            <w:r>
              <w:rPr>
                <w:color w:val="000000"/>
                <w:sz w:val="19"/>
              </w:rPr>
              <w:t>What is the current NAV, commitment, and reporting-lag position?</w:t>
            </w:r>
          </w:p>
        </w:tc>
        <w:tc>
          <w:tcPr>
            <w:tcW w:w="3744" w:type="dxa"/>
            <w:shd w:val="clear" w:color="auto" w:fill="FFFFFF"/>
            <w:tcMar>
              <w:top w:w="100" w:type="dxa"/>
              <w:left w:w="105" w:type="dxa"/>
              <w:bottom w:w="100" w:type="dxa"/>
              <w:right w:w="105" w:type="dxa"/>
            </w:tcMar>
            <w:vAlign w:val="center"/>
          </w:tcPr>
          <w:p w14:paraId="2F01EF1E" w14:textId="77777777" w:rsidR="006A4D66" w:rsidRDefault="00000000">
            <w:r>
              <w:rPr>
                <w:color w:val="000000"/>
                <w:sz w:val="19"/>
              </w:rPr>
              <w:t>NAV trend, paid-in, unfunded, fund table, statement lag</w:t>
            </w:r>
          </w:p>
        </w:tc>
      </w:tr>
      <w:tr w:rsidR="006A4D66" w14:paraId="7E9D5FB8" w14:textId="77777777">
        <w:trPr>
          <w:jc w:val="center"/>
        </w:trPr>
        <w:tc>
          <w:tcPr>
            <w:tcW w:w="2160" w:type="dxa"/>
            <w:shd w:val="clear" w:color="auto" w:fill="FFFFFF"/>
            <w:tcMar>
              <w:top w:w="100" w:type="dxa"/>
              <w:left w:w="105" w:type="dxa"/>
              <w:bottom w:w="100" w:type="dxa"/>
              <w:right w:w="105" w:type="dxa"/>
            </w:tcMar>
            <w:vAlign w:val="center"/>
          </w:tcPr>
          <w:p w14:paraId="283BFD54" w14:textId="77777777" w:rsidR="006A4D66" w:rsidRDefault="00000000">
            <w:r>
              <w:rPr>
                <w:color w:val="000000"/>
                <w:sz w:val="19"/>
              </w:rPr>
              <w:t>Liquidity &amp; Commitments</w:t>
            </w:r>
          </w:p>
        </w:tc>
        <w:tc>
          <w:tcPr>
            <w:tcW w:w="4032" w:type="dxa"/>
            <w:shd w:val="clear" w:color="auto" w:fill="FFFFFF"/>
            <w:tcMar>
              <w:top w:w="100" w:type="dxa"/>
              <w:left w:w="105" w:type="dxa"/>
              <w:bottom w:w="100" w:type="dxa"/>
              <w:right w:w="105" w:type="dxa"/>
            </w:tcMar>
            <w:vAlign w:val="center"/>
          </w:tcPr>
          <w:p w14:paraId="20724952" w14:textId="77777777" w:rsidR="006A4D66" w:rsidRDefault="00000000">
            <w:r>
              <w:rPr>
                <w:color w:val="000000"/>
                <w:sz w:val="19"/>
              </w:rPr>
              <w:t>Can available liquidity cover expected funding needs?</w:t>
            </w:r>
          </w:p>
        </w:tc>
        <w:tc>
          <w:tcPr>
            <w:tcW w:w="3744" w:type="dxa"/>
            <w:shd w:val="clear" w:color="auto" w:fill="FFFFFF"/>
            <w:tcMar>
              <w:top w:w="100" w:type="dxa"/>
              <w:left w:w="105" w:type="dxa"/>
              <w:bottom w:w="100" w:type="dxa"/>
              <w:right w:w="105" w:type="dxa"/>
            </w:tcMar>
            <w:vAlign w:val="center"/>
          </w:tcPr>
          <w:p w14:paraId="5B73A568" w14:textId="77777777" w:rsidR="006A4D66" w:rsidRDefault="00000000">
            <w:r>
              <w:rPr>
                <w:color w:val="000000"/>
                <w:sz w:val="19"/>
              </w:rPr>
              <w:t>Booked cash, projected calls/distributions, horizon coverage</w:t>
            </w:r>
          </w:p>
        </w:tc>
      </w:tr>
      <w:tr w:rsidR="006A4D66" w14:paraId="4C88F106" w14:textId="77777777">
        <w:trPr>
          <w:jc w:val="center"/>
        </w:trPr>
        <w:tc>
          <w:tcPr>
            <w:tcW w:w="2160" w:type="dxa"/>
            <w:shd w:val="clear" w:color="auto" w:fill="FFFFFF"/>
            <w:tcMar>
              <w:top w:w="100" w:type="dxa"/>
              <w:left w:w="105" w:type="dxa"/>
              <w:bottom w:w="100" w:type="dxa"/>
              <w:right w:w="105" w:type="dxa"/>
            </w:tcMar>
            <w:vAlign w:val="center"/>
          </w:tcPr>
          <w:p w14:paraId="766E06FC" w14:textId="77777777" w:rsidR="006A4D66" w:rsidRDefault="00000000">
            <w:r>
              <w:rPr>
                <w:color w:val="000000"/>
                <w:sz w:val="19"/>
              </w:rPr>
              <w:t>Risk Profile</w:t>
            </w:r>
          </w:p>
        </w:tc>
        <w:tc>
          <w:tcPr>
            <w:tcW w:w="4032" w:type="dxa"/>
            <w:shd w:val="clear" w:color="auto" w:fill="FFFFFF"/>
            <w:tcMar>
              <w:top w:w="100" w:type="dxa"/>
              <w:left w:w="105" w:type="dxa"/>
              <w:bottom w:w="100" w:type="dxa"/>
              <w:right w:w="105" w:type="dxa"/>
            </w:tcMar>
            <w:vAlign w:val="center"/>
          </w:tcPr>
          <w:p w14:paraId="760ED606" w14:textId="77777777" w:rsidR="006A4D66" w:rsidRDefault="00000000">
            <w:r>
              <w:rPr>
                <w:color w:val="000000"/>
                <w:sz w:val="19"/>
              </w:rPr>
              <w:t>What does the public-proxy overlay indicate?</w:t>
            </w:r>
          </w:p>
        </w:tc>
        <w:tc>
          <w:tcPr>
            <w:tcW w:w="3744" w:type="dxa"/>
            <w:shd w:val="clear" w:color="auto" w:fill="FFFFFF"/>
            <w:tcMar>
              <w:top w:w="100" w:type="dxa"/>
              <w:left w:w="105" w:type="dxa"/>
              <w:bottom w:w="100" w:type="dxa"/>
              <w:right w:w="105" w:type="dxa"/>
            </w:tcMar>
            <w:vAlign w:val="center"/>
          </w:tcPr>
          <w:p w14:paraId="32359459" w14:textId="77777777" w:rsidR="006A4D66" w:rsidRDefault="00000000">
            <w:r>
              <w:rPr>
                <w:color w:val="000000"/>
                <w:sz w:val="19"/>
              </w:rPr>
              <w:t>Volatility, drawdown, stress, correlation, mapping coverage</w:t>
            </w:r>
          </w:p>
        </w:tc>
      </w:tr>
      <w:tr w:rsidR="006A4D66" w14:paraId="5B7E051F" w14:textId="77777777">
        <w:trPr>
          <w:jc w:val="center"/>
        </w:trPr>
        <w:tc>
          <w:tcPr>
            <w:tcW w:w="2160" w:type="dxa"/>
            <w:shd w:val="clear" w:color="auto" w:fill="FFFFFF"/>
            <w:tcMar>
              <w:top w:w="100" w:type="dxa"/>
              <w:left w:w="105" w:type="dxa"/>
              <w:bottom w:w="100" w:type="dxa"/>
              <w:right w:w="105" w:type="dxa"/>
            </w:tcMar>
            <w:vAlign w:val="center"/>
          </w:tcPr>
          <w:p w14:paraId="3C935317" w14:textId="77777777" w:rsidR="006A4D66" w:rsidRDefault="00000000">
            <w:r>
              <w:rPr>
                <w:color w:val="000000"/>
                <w:sz w:val="19"/>
              </w:rPr>
              <w:t>Workflow &amp; Controls</w:t>
            </w:r>
          </w:p>
        </w:tc>
        <w:tc>
          <w:tcPr>
            <w:tcW w:w="4032" w:type="dxa"/>
            <w:shd w:val="clear" w:color="auto" w:fill="FFFFFF"/>
            <w:tcMar>
              <w:top w:w="100" w:type="dxa"/>
              <w:left w:w="105" w:type="dxa"/>
              <w:bottom w:w="100" w:type="dxa"/>
              <w:right w:w="105" w:type="dxa"/>
            </w:tcMar>
            <w:vAlign w:val="center"/>
          </w:tcPr>
          <w:p w14:paraId="7AE76002" w14:textId="77777777" w:rsidR="006A4D66" w:rsidRDefault="00000000">
            <w:r>
              <w:rPr>
                <w:color w:val="000000"/>
                <w:sz w:val="19"/>
              </w:rPr>
              <w:t>Which documents were processed, approved, blocked, or applied?</w:t>
            </w:r>
          </w:p>
        </w:tc>
        <w:tc>
          <w:tcPr>
            <w:tcW w:w="3744" w:type="dxa"/>
            <w:shd w:val="clear" w:color="auto" w:fill="FFFFFF"/>
            <w:tcMar>
              <w:top w:w="100" w:type="dxa"/>
              <w:left w:w="105" w:type="dxa"/>
              <w:bottom w:w="100" w:type="dxa"/>
              <w:right w:w="105" w:type="dxa"/>
            </w:tcMar>
            <w:vAlign w:val="center"/>
          </w:tcPr>
          <w:p w14:paraId="195B37F2" w14:textId="77777777" w:rsidR="006A4D66" w:rsidRDefault="00000000">
            <w:r>
              <w:rPr>
                <w:color w:val="000000"/>
                <w:sz w:val="19"/>
              </w:rPr>
              <w:t>Extraction status, validation results, queue, decisions, update audit</w:t>
            </w:r>
          </w:p>
        </w:tc>
      </w:tr>
    </w:tbl>
    <w:p w14:paraId="0C9757AC" w14:textId="77777777" w:rsidR="006A4D66" w:rsidRDefault="006A4D66">
      <w:pPr>
        <w:spacing w:after="120" w:line="259" w:lineRule="auto"/>
      </w:pPr>
    </w:p>
    <w:p w14:paraId="250B1A0F" w14:textId="77777777" w:rsidR="006A4D66" w:rsidRDefault="00000000">
      <w:pPr>
        <w:pStyle w:val="Heading2"/>
        <w:spacing w:after="120" w:line="259" w:lineRule="auto"/>
      </w:pPr>
      <w:r>
        <w:rPr>
          <w:rFonts w:ascii="Aptos" w:eastAsia="Aptos" w:hAnsi="Aptos"/>
          <w:b w:val="0"/>
          <w:color w:val="172033"/>
          <w:sz w:val="21"/>
        </w:rPr>
        <w:t>6.2 Portfolio-State Boundaries</w:t>
      </w:r>
    </w:p>
    <w:p w14:paraId="35F36A3F" w14:textId="77777777" w:rsidR="006A4D66" w:rsidRDefault="00000000">
      <w:pPr>
        <w:spacing w:after="120" w:line="259" w:lineRule="auto"/>
      </w:pPr>
      <w:r>
        <w:rPr>
          <w:rFonts w:ascii="Aptos" w:eastAsia="Aptos" w:hAnsi="Aptos"/>
          <w:color w:val="172033"/>
          <w:sz w:val="21"/>
        </w:rPr>
        <w:t>The dashboard uses three explicit dates because they represent different information states. The official baseline month is 30 April 2026. Approved May documents create a 31 May 2026 overlay. External market prices currently run through 30 April 2026 unless the market-linked pages are deliberately refreshed. This distinction prevents false temporal consistency.</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592"/>
        <w:gridCol w:w="2448"/>
        <w:gridCol w:w="4896"/>
      </w:tblGrid>
      <w:tr w:rsidR="006A4D66" w14:paraId="3C60CA63" w14:textId="77777777">
        <w:trPr>
          <w:tblHeader/>
          <w:jc w:val="center"/>
        </w:trPr>
        <w:tc>
          <w:tcPr>
            <w:tcW w:w="2592" w:type="dxa"/>
            <w:shd w:val="clear" w:color="auto" w:fill="D9EAF7"/>
            <w:tcMar>
              <w:top w:w="100" w:type="dxa"/>
              <w:left w:w="105" w:type="dxa"/>
              <w:bottom w:w="100" w:type="dxa"/>
              <w:right w:w="105" w:type="dxa"/>
            </w:tcMar>
            <w:vAlign w:val="center"/>
          </w:tcPr>
          <w:p w14:paraId="563FC096" w14:textId="77777777" w:rsidR="006A4D66" w:rsidRDefault="00000000">
            <w:pPr>
              <w:jc w:val="center"/>
            </w:pPr>
            <w:r>
              <w:rPr>
                <w:b/>
                <w:color w:val="000000"/>
                <w:sz w:val="19"/>
              </w:rPr>
              <w:t>Boundary</w:t>
            </w:r>
          </w:p>
        </w:tc>
        <w:tc>
          <w:tcPr>
            <w:tcW w:w="2448" w:type="dxa"/>
            <w:shd w:val="clear" w:color="auto" w:fill="D9EAF7"/>
            <w:tcMar>
              <w:top w:w="100" w:type="dxa"/>
              <w:left w:w="105" w:type="dxa"/>
              <w:bottom w:w="100" w:type="dxa"/>
              <w:right w:w="105" w:type="dxa"/>
            </w:tcMar>
            <w:vAlign w:val="center"/>
          </w:tcPr>
          <w:p w14:paraId="66CC2231" w14:textId="77777777" w:rsidR="006A4D66" w:rsidRDefault="00000000">
            <w:pPr>
              <w:jc w:val="center"/>
            </w:pPr>
            <w:r>
              <w:rPr>
                <w:b/>
                <w:color w:val="000000"/>
                <w:sz w:val="19"/>
              </w:rPr>
              <w:t>Date / state</w:t>
            </w:r>
          </w:p>
        </w:tc>
        <w:tc>
          <w:tcPr>
            <w:tcW w:w="4896" w:type="dxa"/>
            <w:shd w:val="clear" w:color="auto" w:fill="D9EAF7"/>
            <w:tcMar>
              <w:top w:w="100" w:type="dxa"/>
              <w:left w:w="105" w:type="dxa"/>
              <w:bottom w:w="100" w:type="dxa"/>
              <w:right w:w="105" w:type="dxa"/>
            </w:tcMar>
            <w:vAlign w:val="center"/>
          </w:tcPr>
          <w:p w14:paraId="40489AA0" w14:textId="77777777" w:rsidR="006A4D66" w:rsidRDefault="00000000">
            <w:pPr>
              <w:jc w:val="center"/>
            </w:pPr>
            <w:r>
              <w:rPr>
                <w:b/>
                <w:color w:val="000000"/>
                <w:sz w:val="19"/>
              </w:rPr>
              <w:t>Interpretation</w:t>
            </w:r>
          </w:p>
        </w:tc>
      </w:tr>
      <w:tr w:rsidR="006A4D66" w14:paraId="446DF11F" w14:textId="77777777">
        <w:trPr>
          <w:jc w:val="center"/>
        </w:trPr>
        <w:tc>
          <w:tcPr>
            <w:tcW w:w="2592" w:type="dxa"/>
            <w:shd w:val="clear" w:color="auto" w:fill="FFFFFF"/>
            <w:tcMar>
              <w:top w:w="100" w:type="dxa"/>
              <w:left w:w="105" w:type="dxa"/>
              <w:bottom w:w="100" w:type="dxa"/>
              <w:right w:w="105" w:type="dxa"/>
            </w:tcMar>
            <w:vAlign w:val="center"/>
          </w:tcPr>
          <w:p w14:paraId="6840FEC5" w14:textId="77777777" w:rsidR="006A4D66" w:rsidRDefault="00000000">
            <w:r>
              <w:rPr>
                <w:color w:val="000000"/>
                <w:sz w:val="19"/>
              </w:rPr>
              <w:t>Official baseline</w:t>
            </w:r>
          </w:p>
        </w:tc>
        <w:tc>
          <w:tcPr>
            <w:tcW w:w="2448" w:type="dxa"/>
            <w:shd w:val="clear" w:color="auto" w:fill="FFFFFF"/>
            <w:tcMar>
              <w:top w:w="100" w:type="dxa"/>
              <w:left w:w="105" w:type="dxa"/>
              <w:bottom w:w="100" w:type="dxa"/>
              <w:right w:w="105" w:type="dxa"/>
            </w:tcMar>
            <w:vAlign w:val="center"/>
          </w:tcPr>
          <w:p w14:paraId="207ABE5C" w14:textId="77777777" w:rsidR="006A4D66" w:rsidRDefault="00000000">
            <w:r>
              <w:rPr>
                <w:color w:val="000000"/>
                <w:sz w:val="19"/>
              </w:rPr>
              <w:t>2026-04-30</w:t>
            </w:r>
          </w:p>
        </w:tc>
        <w:tc>
          <w:tcPr>
            <w:tcW w:w="4896" w:type="dxa"/>
            <w:shd w:val="clear" w:color="auto" w:fill="FFFFFF"/>
            <w:tcMar>
              <w:top w:w="100" w:type="dxa"/>
              <w:left w:w="105" w:type="dxa"/>
              <w:bottom w:w="100" w:type="dxa"/>
              <w:right w:w="105" w:type="dxa"/>
            </w:tcMar>
            <w:vAlign w:val="center"/>
          </w:tcPr>
          <w:p w14:paraId="1FE58D64" w14:textId="77777777" w:rsidR="006A4D66" w:rsidRDefault="00000000">
            <w:r>
              <w:rPr>
                <w:color w:val="000000"/>
                <w:sz w:val="19"/>
              </w:rPr>
              <w:t>Locked portfolio close and booked baseline cash</w:t>
            </w:r>
          </w:p>
        </w:tc>
      </w:tr>
      <w:tr w:rsidR="006A4D66" w14:paraId="6737A2D5" w14:textId="77777777">
        <w:trPr>
          <w:jc w:val="center"/>
        </w:trPr>
        <w:tc>
          <w:tcPr>
            <w:tcW w:w="2592" w:type="dxa"/>
            <w:shd w:val="clear" w:color="auto" w:fill="FFFFFF"/>
            <w:tcMar>
              <w:top w:w="100" w:type="dxa"/>
              <w:left w:w="105" w:type="dxa"/>
              <w:bottom w:w="100" w:type="dxa"/>
              <w:right w:w="105" w:type="dxa"/>
            </w:tcMar>
            <w:vAlign w:val="center"/>
          </w:tcPr>
          <w:p w14:paraId="48C80A27" w14:textId="77777777" w:rsidR="006A4D66" w:rsidRDefault="00000000">
            <w:r>
              <w:rPr>
                <w:color w:val="000000"/>
                <w:sz w:val="19"/>
              </w:rPr>
              <w:t>Approved overlay</w:t>
            </w:r>
          </w:p>
        </w:tc>
        <w:tc>
          <w:tcPr>
            <w:tcW w:w="2448" w:type="dxa"/>
            <w:shd w:val="clear" w:color="auto" w:fill="FFFFFF"/>
            <w:tcMar>
              <w:top w:w="100" w:type="dxa"/>
              <w:left w:w="105" w:type="dxa"/>
              <w:bottom w:w="100" w:type="dxa"/>
              <w:right w:w="105" w:type="dxa"/>
            </w:tcMar>
            <w:vAlign w:val="center"/>
          </w:tcPr>
          <w:p w14:paraId="3D3A567B" w14:textId="77777777" w:rsidR="006A4D66" w:rsidRDefault="00000000">
            <w:r>
              <w:rPr>
                <w:color w:val="000000"/>
                <w:sz w:val="19"/>
              </w:rPr>
              <w:t>2026-05-31</w:t>
            </w:r>
          </w:p>
        </w:tc>
        <w:tc>
          <w:tcPr>
            <w:tcW w:w="4896" w:type="dxa"/>
            <w:shd w:val="clear" w:color="auto" w:fill="FFFFFF"/>
            <w:tcMar>
              <w:top w:w="100" w:type="dxa"/>
              <w:left w:w="105" w:type="dxa"/>
              <w:bottom w:w="100" w:type="dxa"/>
              <w:right w:w="105" w:type="dxa"/>
            </w:tcMar>
            <w:vAlign w:val="center"/>
          </w:tcPr>
          <w:p w14:paraId="02147E22" w14:textId="77777777" w:rsidR="006A4D66" w:rsidRDefault="00000000">
            <w:r>
              <w:rPr>
                <w:color w:val="000000"/>
                <w:sz w:val="19"/>
              </w:rPr>
              <w:t>Approved document-driven private-market updates</w:t>
            </w:r>
          </w:p>
        </w:tc>
      </w:tr>
      <w:tr w:rsidR="006A4D66" w14:paraId="63EE9DF8" w14:textId="77777777">
        <w:trPr>
          <w:jc w:val="center"/>
        </w:trPr>
        <w:tc>
          <w:tcPr>
            <w:tcW w:w="2592" w:type="dxa"/>
            <w:shd w:val="clear" w:color="auto" w:fill="FFFFFF"/>
            <w:tcMar>
              <w:top w:w="100" w:type="dxa"/>
              <w:left w:w="105" w:type="dxa"/>
              <w:bottom w:w="100" w:type="dxa"/>
              <w:right w:w="105" w:type="dxa"/>
            </w:tcMar>
            <w:vAlign w:val="center"/>
          </w:tcPr>
          <w:p w14:paraId="5C6EC655" w14:textId="77777777" w:rsidR="006A4D66" w:rsidRDefault="00000000">
            <w:r>
              <w:rPr>
                <w:color w:val="000000"/>
                <w:sz w:val="19"/>
              </w:rPr>
              <w:t>External market data</w:t>
            </w:r>
          </w:p>
        </w:tc>
        <w:tc>
          <w:tcPr>
            <w:tcW w:w="2448" w:type="dxa"/>
            <w:shd w:val="clear" w:color="auto" w:fill="FFFFFF"/>
            <w:tcMar>
              <w:top w:w="100" w:type="dxa"/>
              <w:left w:w="105" w:type="dxa"/>
              <w:bottom w:w="100" w:type="dxa"/>
              <w:right w:w="105" w:type="dxa"/>
            </w:tcMar>
            <w:vAlign w:val="center"/>
          </w:tcPr>
          <w:p w14:paraId="20BB8C83" w14:textId="77777777" w:rsidR="006A4D66" w:rsidRDefault="00000000">
            <w:r>
              <w:rPr>
                <w:color w:val="000000"/>
                <w:sz w:val="19"/>
              </w:rPr>
              <w:t>Through 2026-04-30</w:t>
            </w:r>
          </w:p>
        </w:tc>
        <w:tc>
          <w:tcPr>
            <w:tcW w:w="4896" w:type="dxa"/>
            <w:shd w:val="clear" w:color="auto" w:fill="FFFFFF"/>
            <w:tcMar>
              <w:top w:w="100" w:type="dxa"/>
              <w:left w:w="105" w:type="dxa"/>
              <w:bottom w:w="100" w:type="dxa"/>
              <w:right w:w="105" w:type="dxa"/>
            </w:tcMar>
            <w:vAlign w:val="center"/>
          </w:tcPr>
          <w:p w14:paraId="560A4B11" w14:textId="77777777" w:rsidR="006A4D66" w:rsidRDefault="00000000">
            <w:r>
              <w:rPr>
                <w:color w:val="000000"/>
                <w:sz w:val="19"/>
              </w:rPr>
              <w:t>Real public proxy history used by risk pages</w:t>
            </w:r>
          </w:p>
        </w:tc>
      </w:tr>
      <w:tr w:rsidR="006A4D66" w14:paraId="4DFE8E47" w14:textId="77777777">
        <w:trPr>
          <w:jc w:val="center"/>
        </w:trPr>
        <w:tc>
          <w:tcPr>
            <w:tcW w:w="2592" w:type="dxa"/>
            <w:shd w:val="clear" w:color="auto" w:fill="FFFFFF"/>
            <w:tcMar>
              <w:top w:w="100" w:type="dxa"/>
              <w:left w:w="105" w:type="dxa"/>
              <w:bottom w:w="100" w:type="dxa"/>
              <w:right w:w="105" w:type="dxa"/>
            </w:tcMar>
            <w:vAlign w:val="center"/>
          </w:tcPr>
          <w:p w14:paraId="542F2848" w14:textId="77777777" w:rsidR="006A4D66" w:rsidRDefault="00000000">
            <w:r>
              <w:rPr>
                <w:color w:val="000000"/>
                <w:sz w:val="19"/>
              </w:rPr>
              <w:t>Staged inbox</w:t>
            </w:r>
          </w:p>
        </w:tc>
        <w:tc>
          <w:tcPr>
            <w:tcW w:w="2448" w:type="dxa"/>
            <w:shd w:val="clear" w:color="auto" w:fill="FFFFFF"/>
            <w:tcMar>
              <w:top w:w="100" w:type="dxa"/>
              <w:left w:w="105" w:type="dxa"/>
              <w:bottom w:w="100" w:type="dxa"/>
              <w:right w:w="105" w:type="dxa"/>
            </w:tcMar>
            <w:vAlign w:val="center"/>
          </w:tcPr>
          <w:p w14:paraId="30292F4B" w14:textId="77777777" w:rsidR="006A4D66" w:rsidRDefault="00000000">
            <w:r>
              <w:rPr>
                <w:color w:val="000000"/>
                <w:sz w:val="19"/>
              </w:rPr>
              <w:t>Variable</w:t>
            </w:r>
          </w:p>
        </w:tc>
        <w:tc>
          <w:tcPr>
            <w:tcW w:w="4896" w:type="dxa"/>
            <w:shd w:val="clear" w:color="auto" w:fill="FFFFFF"/>
            <w:tcMar>
              <w:top w:w="100" w:type="dxa"/>
              <w:left w:w="105" w:type="dxa"/>
              <w:bottom w:w="100" w:type="dxa"/>
              <w:right w:w="105" w:type="dxa"/>
            </w:tcMar>
            <w:vAlign w:val="center"/>
          </w:tcPr>
          <w:p w14:paraId="3708219E" w14:textId="77777777" w:rsidR="006A4D66" w:rsidRDefault="00000000">
            <w:r>
              <w:rPr>
                <w:color w:val="000000"/>
                <w:sz w:val="19"/>
              </w:rPr>
              <w:t>Uploaded documents not yet approved into portfolio state</w:t>
            </w:r>
          </w:p>
        </w:tc>
      </w:tr>
    </w:tbl>
    <w:p w14:paraId="39A51881" w14:textId="77777777" w:rsidR="006A4D66" w:rsidRDefault="006A4D66">
      <w:pPr>
        <w:spacing w:after="120" w:line="259" w:lineRule="auto"/>
      </w:pPr>
    </w:p>
    <w:p w14:paraId="0DA9D71F" w14:textId="77777777" w:rsidR="006A4D66" w:rsidRDefault="00000000">
      <w:pPr>
        <w:pStyle w:val="Heading2"/>
        <w:spacing w:after="120" w:line="259" w:lineRule="auto"/>
      </w:pPr>
      <w:r>
        <w:rPr>
          <w:rFonts w:ascii="Aptos" w:eastAsia="Aptos" w:hAnsi="Aptos"/>
          <w:b w:val="0"/>
          <w:color w:val="172033"/>
          <w:sz w:val="21"/>
        </w:rPr>
        <w:lastRenderedPageBreak/>
        <w:t>6.3 Overview Page</w:t>
      </w:r>
    </w:p>
    <w:p w14:paraId="47AE73F6" w14:textId="77777777" w:rsidR="006A4D66" w:rsidRDefault="00000000">
      <w:pPr>
        <w:spacing w:after="120" w:line="259" w:lineRule="auto"/>
      </w:pPr>
      <w:r>
        <w:rPr>
          <w:rFonts w:ascii="Aptos" w:eastAsia="Aptos" w:hAnsi="Aptos"/>
          <w:color w:val="172033"/>
          <w:sz w:val="21"/>
        </w:rPr>
        <w:t>The Overview page combines portfolio measures with a compact workflow status. In the final state it shows baseline AUM of USD 750.0m, approved overlay AUM of approximately USD 746.9m, annualized synthetic return of 8.7%, annualized synthetic volatility of 3.2%, max drawdown of -4.4%, cash and liquidity of USD 22.5m, unfunded commitments of USD 135.0m, and 3 applied document updates. These figures are labeled according to their data source and are not presented as audited investment performance.</w:t>
      </w:r>
    </w:p>
    <w:p w14:paraId="0AA38AF3" w14:textId="77777777" w:rsidR="006A4D66" w:rsidRDefault="00000000">
      <w:pPr>
        <w:pStyle w:val="Heading2"/>
        <w:spacing w:after="120" w:line="259" w:lineRule="auto"/>
      </w:pPr>
      <w:r>
        <w:rPr>
          <w:rFonts w:ascii="Aptos" w:eastAsia="Aptos" w:hAnsi="Aptos"/>
          <w:b w:val="0"/>
          <w:color w:val="172033"/>
          <w:sz w:val="21"/>
        </w:rPr>
        <w:t>6.4 Private Markets Page</w:t>
      </w:r>
    </w:p>
    <w:p w14:paraId="3F1632F1" w14:textId="77777777" w:rsidR="006A4D66" w:rsidRDefault="00000000">
      <w:pPr>
        <w:spacing w:after="120" w:line="259" w:lineRule="auto"/>
      </w:pPr>
      <w:r>
        <w:rPr>
          <w:rFonts w:ascii="Aptos" w:eastAsia="Aptos" w:hAnsi="Aptos"/>
          <w:color w:val="172033"/>
          <w:sz w:val="21"/>
        </w:rPr>
        <w:t>The Private Markets page links manager reporting to portfolio monitoring. The final processed state shows USD 356.9m private fund NAV, USD 500.0m total commitments, USD 365.0m paid-in capital, USD 135.0m unfunded commitments, 21 funds, and an average statement lag of 35 days. It also distinguishes statement-based NAV changes from projected cash flows and qualitative newsletter updates.</w:t>
      </w:r>
    </w:p>
    <w:p w14:paraId="51AD16E6" w14:textId="77777777" w:rsidR="006A4D66" w:rsidRDefault="00000000">
      <w:pPr>
        <w:pStyle w:val="Heading2"/>
        <w:spacing w:after="120" w:line="259" w:lineRule="auto"/>
      </w:pPr>
      <w:r>
        <w:rPr>
          <w:rFonts w:ascii="Aptos" w:eastAsia="Aptos" w:hAnsi="Aptos"/>
          <w:b w:val="0"/>
          <w:color w:val="172033"/>
          <w:sz w:val="21"/>
        </w:rPr>
        <w:t>6.5 Liquidity &amp; Commitments Page</w:t>
      </w:r>
    </w:p>
    <w:p w14:paraId="78545D1A" w14:textId="77777777" w:rsidR="006A4D66" w:rsidRDefault="00000000">
      <w:pPr>
        <w:spacing w:after="120" w:line="259" w:lineRule="auto"/>
      </w:pPr>
      <w:r>
        <w:rPr>
          <w:rFonts w:ascii="Aptos" w:eastAsia="Aptos" w:hAnsi="Aptos"/>
          <w:color w:val="172033"/>
          <w:sz w:val="21"/>
        </w:rPr>
        <w:t>Liquidity monitoring separates booked baseline cash from approved projected activity. The final dashboard shows USD 22.5m booked baseline cash, USD 12.0m operating cash, USD 0.0m approved projected calls, and USD 3.1m approved projected distributions. The two capital calls remain outside the applied overlay because they require review, which is precisely the control behavior the prototype is intended to demonstrate.</w:t>
      </w:r>
    </w:p>
    <w:p w14:paraId="5784AFB2" w14:textId="77777777" w:rsidR="006A4D66" w:rsidRDefault="00000000">
      <w:pPr>
        <w:pStyle w:val="Heading2"/>
        <w:spacing w:after="120" w:line="259" w:lineRule="auto"/>
      </w:pPr>
      <w:r>
        <w:rPr>
          <w:rFonts w:ascii="Aptos" w:eastAsia="Aptos" w:hAnsi="Aptos"/>
          <w:b w:val="0"/>
          <w:color w:val="172033"/>
          <w:sz w:val="21"/>
        </w:rPr>
        <w:t>6.6 Workflow &amp; Controls Page</w:t>
      </w:r>
    </w:p>
    <w:p w14:paraId="1855263E" w14:textId="77777777" w:rsidR="006A4D66" w:rsidRDefault="00000000">
      <w:pPr>
        <w:spacing w:after="120" w:line="259" w:lineRule="auto"/>
      </w:pPr>
      <w:r>
        <w:rPr>
          <w:rFonts w:ascii="Aptos" w:eastAsia="Aptos" w:hAnsi="Aptos"/>
          <w:color w:val="172033"/>
          <w:sz w:val="21"/>
        </w:rPr>
        <w:t>The Workflow &amp; Controls page provides the audit narrative behind the portfolio display. It exposes document status, rule-level validation results, review queue items, effective manual decisions, and update outcomes. This prevents the dashboard from becoming a black box: users can explain not only the number shown, but also which source document created it and which gate authorized its use.</w:t>
      </w:r>
    </w:p>
    <w:p w14:paraId="15A8E58D" w14:textId="77777777" w:rsidR="006A4D66" w:rsidRDefault="00000000">
      <w:pPr>
        <w:pStyle w:val="Heading2"/>
        <w:spacing w:after="120" w:line="259" w:lineRule="auto"/>
      </w:pPr>
      <w:r>
        <w:rPr>
          <w:rFonts w:ascii="Aptos" w:eastAsia="Aptos" w:hAnsi="Aptos"/>
          <w:b w:val="0"/>
          <w:color w:val="172033"/>
          <w:sz w:val="21"/>
        </w:rPr>
        <w:t>6.7 Interactive Document Intake and Demo Loop</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448"/>
        <w:gridCol w:w="4752"/>
        <w:gridCol w:w="2736"/>
      </w:tblGrid>
      <w:tr w:rsidR="006A4D66" w14:paraId="0D75BB87" w14:textId="77777777">
        <w:trPr>
          <w:tblHeader/>
          <w:jc w:val="center"/>
        </w:trPr>
        <w:tc>
          <w:tcPr>
            <w:tcW w:w="2448" w:type="dxa"/>
            <w:shd w:val="clear" w:color="auto" w:fill="D9EAF7"/>
            <w:tcMar>
              <w:top w:w="100" w:type="dxa"/>
              <w:left w:w="105" w:type="dxa"/>
              <w:bottom w:w="100" w:type="dxa"/>
              <w:right w:w="105" w:type="dxa"/>
            </w:tcMar>
            <w:vAlign w:val="center"/>
          </w:tcPr>
          <w:p w14:paraId="0B7B2193" w14:textId="77777777" w:rsidR="006A4D66" w:rsidRDefault="00000000">
            <w:pPr>
              <w:jc w:val="center"/>
            </w:pPr>
            <w:r>
              <w:rPr>
                <w:b/>
                <w:color w:val="000000"/>
                <w:sz w:val="19"/>
              </w:rPr>
              <w:t>User action</w:t>
            </w:r>
          </w:p>
        </w:tc>
        <w:tc>
          <w:tcPr>
            <w:tcW w:w="4752" w:type="dxa"/>
            <w:shd w:val="clear" w:color="auto" w:fill="D9EAF7"/>
            <w:tcMar>
              <w:top w:w="100" w:type="dxa"/>
              <w:left w:w="105" w:type="dxa"/>
              <w:bottom w:w="100" w:type="dxa"/>
              <w:right w:w="105" w:type="dxa"/>
            </w:tcMar>
            <w:vAlign w:val="center"/>
          </w:tcPr>
          <w:p w14:paraId="0DC3C598" w14:textId="77777777" w:rsidR="006A4D66" w:rsidRDefault="00000000">
            <w:pPr>
              <w:jc w:val="center"/>
            </w:pPr>
            <w:r>
              <w:rPr>
                <w:b/>
                <w:color w:val="000000"/>
                <w:sz w:val="19"/>
              </w:rPr>
              <w:t>System behavior</w:t>
            </w:r>
          </w:p>
        </w:tc>
        <w:tc>
          <w:tcPr>
            <w:tcW w:w="2736" w:type="dxa"/>
            <w:shd w:val="clear" w:color="auto" w:fill="D9EAF7"/>
            <w:tcMar>
              <w:top w:w="100" w:type="dxa"/>
              <w:left w:w="105" w:type="dxa"/>
              <w:bottom w:w="100" w:type="dxa"/>
              <w:right w:w="105" w:type="dxa"/>
            </w:tcMar>
            <w:vAlign w:val="center"/>
          </w:tcPr>
          <w:p w14:paraId="2A800CBF" w14:textId="77777777" w:rsidR="006A4D66" w:rsidRDefault="00000000">
            <w:pPr>
              <w:jc w:val="center"/>
            </w:pPr>
            <w:r>
              <w:rPr>
                <w:b/>
                <w:color w:val="000000"/>
                <w:sz w:val="19"/>
              </w:rPr>
              <w:t>Expected checkpoint</w:t>
            </w:r>
          </w:p>
        </w:tc>
      </w:tr>
      <w:tr w:rsidR="006A4D66" w14:paraId="5911297C" w14:textId="77777777">
        <w:trPr>
          <w:jc w:val="center"/>
        </w:trPr>
        <w:tc>
          <w:tcPr>
            <w:tcW w:w="2448" w:type="dxa"/>
            <w:shd w:val="clear" w:color="auto" w:fill="FFFFFF"/>
            <w:tcMar>
              <w:top w:w="100" w:type="dxa"/>
              <w:left w:w="105" w:type="dxa"/>
              <w:bottom w:w="100" w:type="dxa"/>
              <w:right w:w="105" w:type="dxa"/>
            </w:tcMar>
            <w:vAlign w:val="center"/>
          </w:tcPr>
          <w:p w14:paraId="78A7F019" w14:textId="77777777" w:rsidR="006A4D66" w:rsidRDefault="00000000">
            <w:r>
              <w:rPr>
                <w:color w:val="000000"/>
                <w:sz w:val="19"/>
              </w:rPr>
              <w:t>Upload PDFs</w:t>
            </w:r>
          </w:p>
        </w:tc>
        <w:tc>
          <w:tcPr>
            <w:tcW w:w="4752" w:type="dxa"/>
            <w:shd w:val="clear" w:color="auto" w:fill="FFFFFF"/>
            <w:tcMar>
              <w:top w:w="100" w:type="dxa"/>
              <w:left w:w="105" w:type="dxa"/>
              <w:bottom w:w="100" w:type="dxa"/>
              <w:right w:w="105" w:type="dxa"/>
            </w:tcMar>
            <w:vAlign w:val="center"/>
          </w:tcPr>
          <w:p w14:paraId="5DB2E8EA" w14:textId="77777777" w:rsidR="006A4D66" w:rsidRDefault="00000000">
            <w:r>
              <w:rPr>
                <w:color w:val="000000"/>
                <w:sz w:val="19"/>
              </w:rPr>
              <w:t>Stage files in interim ingestion inbox</w:t>
            </w:r>
          </w:p>
        </w:tc>
        <w:tc>
          <w:tcPr>
            <w:tcW w:w="2736" w:type="dxa"/>
            <w:shd w:val="clear" w:color="auto" w:fill="FFFFFF"/>
            <w:tcMar>
              <w:top w:w="100" w:type="dxa"/>
              <w:left w:w="105" w:type="dxa"/>
              <w:bottom w:w="100" w:type="dxa"/>
              <w:right w:w="105" w:type="dxa"/>
            </w:tcMar>
            <w:vAlign w:val="center"/>
          </w:tcPr>
          <w:p w14:paraId="339E402F" w14:textId="77777777" w:rsidR="006A4D66" w:rsidRDefault="00000000">
            <w:r>
              <w:rPr>
                <w:color w:val="000000"/>
                <w:sz w:val="19"/>
              </w:rPr>
              <w:t>Portfolio state does not move</w:t>
            </w:r>
          </w:p>
        </w:tc>
      </w:tr>
      <w:tr w:rsidR="006A4D66" w14:paraId="53C1003F" w14:textId="77777777">
        <w:trPr>
          <w:jc w:val="center"/>
        </w:trPr>
        <w:tc>
          <w:tcPr>
            <w:tcW w:w="2448" w:type="dxa"/>
            <w:shd w:val="clear" w:color="auto" w:fill="FFFFFF"/>
            <w:tcMar>
              <w:top w:w="100" w:type="dxa"/>
              <w:left w:w="105" w:type="dxa"/>
              <w:bottom w:w="100" w:type="dxa"/>
              <w:right w:w="105" w:type="dxa"/>
            </w:tcMar>
            <w:vAlign w:val="center"/>
          </w:tcPr>
          <w:p w14:paraId="02714ECB" w14:textId="77777777" w:rsidR="006A4D66" w:rsidRDefault="00000000">
            <w:r>
              <w:rPr>
                <w:color w:val="000000"/>
                <w:sz w:val="19"/>
              </w:rPr>
              <w:t>Process staged PDFs</w:t>
            </w:r>
          </w:p>
        </w:tc>
        <w:tc>
          <w:tcPr>
            <w:tcW w:w="4752" w:type="dxa"/>
            <w:shd w:val="clear" w:color="auto" w:fill="FFFFFF"/>
            <w:tcMar>
              <w:top w:w="100" w:type="dxa"/>
              <w:left w:w="105" w:type="dxa"/>
              <w:bottom w:w="100" w:type="dxa"/>
              <w:right w:w="105" w:type="dxa"/>
            </w:tcMar>
            <w:vAlign w:val="center"/>
          </w:tcPr>
          <w:p w14:paraId="4FE885EE" w14:textId="77777777" w:rsidR="006A4D66" w:rsidRDefault="00000000">
            <w:r>
              <w:rPr>
                <w:color w:val="000000"/>
                <w:sz w:val="19"/>
              </w:rPr>
              <w:t>Run intake extraction, validation, review status, and approved updates</w:t>
            </w:r>
          </w:p>
        </w:tc>
        <w:tc>
          <w:tcPr>
            <w:tcW w:w="2736" w:type="dxa"/>
            <w:shd w:val="clear" w:color="auto" w:fill="FFFFFF"/>
            <w:tcMar>
              <w:top w:w="100" w:type="dxa"/>
              <w:left w:w="105" w:type="dxa"/>
              <w:bottom w:w="100" w:type="dxa"/>
              <w:right w:w="105" w:type="dxa"/>
            </w:tcMar>
            <w:vAlign w:val="center"/>
          </w:tcPr>
          <w:p w14:paraId="2666E08B" w14:textId="77777777" w:rsidR="006A4D66" w:rsidRDefault="00000000">
            <w:r>
              <w:rPr>
                <w:color w:val="000000"/>
                <w:sz w:val="19"/>
              </w:rPr>
              <w:t>Only approved records affect processed outputs</w:t>
            </w:r>
          </w:p>
        </w:tc>
      </w:tr>
      <w:tr w:rsidR="006A4D66" w14:paraId="55577389" w14:textId="77777777">
        <w:trPr>
          <w:jc w:val="center"/>
        </w:trPr>
        <w:tc>
          <w:tcPr>
            <w:tcW w:w="2448" w:type="dxa"/>
            <w:shd w:val="clear" w:color="auto" w:fill="FFFFFF"/>
            <w:tcMar>
              <w:top w:w="100" w:type="dxa"/>
              <w:left w:w="105" w:type="dxa"/>
              <w:bottom w:w="100" w:type="dxa"/>
              <w:right w:w="105" w:type="dxa"/>
            </w:tcMar>
            <w:vAlign w:val="center"/>
          </w:tcPr>
          <w:p w14:paraId="2E33633B" w14:textId="77777777" w:rsidR="006A4D66" w:rsidRDefault="00000000">
            <w:r>
              <w:rPr>
                <w:color w:val="000000"/>
                <w:sz w:val="19"/>
              </w:rPr>
              <w:t>Refresh market-linked pages</w:t>
            </w:r>
          </w:p>
        </w:tc>
        <w:tc>
          <w:tcPr>
            <w:tcW w:w="4752" w:type="dxa"/>
            <w:shd w:val="clear" w:color="auto" w:fill="FFFFFF"/>
            <w:tcMar>
              <w:top w:w="100" w:type="dxa"/>
              <w:left w:w="105" w:type="dxa"/>
              <w:bottom w:w="100" w:type="dxa"/>
              <w:right w:w="105" w:type="dxa"/>
            </w:tcMar>
            <w:vAlign w:val="center"/>
          </w:tcPr>
          <w:p w14:paraId="047288F5" w14:textId="77777777" w:rsidR="006A4D66" w:rsidRDefault="00000000">
            <w:r>
              <w:rPr>
                <w:color w:val="000000"/>
                <w:sz w:val="19"/>
              </w:rPr>
              <w:t>Extend public data and risk outputs to the approved PDF month when available</w:t>
            </w:r>
          </w:p>
        </w:tc>
        <w:tc>
          <w:tcPr>
            <w:tcW w:w="2736" w:type="dxa"/>
            <w:shd w:val="clear" w:color="auto" w:fill="FFFFFF"/>
            <w:tcMar>
              <w:top w:w="100" w:type="dxa"/>
              <w:left w:w="105" w:type="dxa"/>
              <w:bottom w:w="100" w:type="dxa"/>
              <w:right w:w="105" w:type="dxa"/>
            </w:tcMar>
            <w:vAlign w:val="center"/>
          </w:tcPr>
          <w:p w14:paraId="38FCCD29" w14:textId="77777777" w:rsidR="006A4D66" w:rsidRDefault="00000000">
            <w:r>
              <w:rPr>
                <w:color w:val="000000"/>
                <w:sz w:val="19"/>
              </w:rPr>
              <w:t>Market and private timing become aligned</w:t>
            </w:r>
          </w:p>
        </w:tc>
      </w:tr>
      <w:tr w:rsidR="006A4D66" w14:paraId="003A9686" w14:textId="77777777">
        <w:trPr>
          <w:jc w:val="center"/>
        </w:trPr>
        <w:tc>
          <w:tcPr>
            <w:tcW w:w="2448" w:type="dxa"/>
            <w:shd w:val="clear" w:color="auto" w:fill="FFFFFF"/>
            <w:tcMar>
              <w:top w:w="100" w:type="dxa"/>
              <w:left w:w="105" w:type="dxa"/>
              <w:bottom w:w="100" w:type="dxa"/>
              <w:right w:w="105" w:type="dxa"/>
            </w:tcMar>
            <w:vAlign w:val="center"/>
          </w:tcPr>
          <w:p w14:paraId="16F84037" w14:textId="77777777" w:rsidR="006A4D66" w:rsidRDefault="00000000">
            <w:r>
              <w:rPr>
                <w:color w:val="000000"/>
                <w:sz w:val="19"/>
              </w:rPr>
              <w:t>Reset demo</w:t>
            </w:r>
          </w:p>
        </w:tc>
        <w:tc>
          <w:tcPr>
            <w:tcW w:w="4752" w:type="dxa"/>
            <w:shd w:val="clear" w:color="auto" w:fill="FFFFFF"/>
            <w:tcMar>
              <w:top w:w="100" w:type="dxa"/>
              <w:left w:w="105" w:type="dxa"/>
              <w:bottom w:w="100" w:type="dxa"/>
              <w:right w:w="105" w:type="dxa"/>
            </w:tcMar>
            <w:vAlign w:val="center"/>
          </w:tcPr>
          <w:p w14:paraId="4CC4319B" w14:textId="77777777" w:rsidR="006A4D66" w:rsidRDefault="00000000">
            <w:r>
              <w:rPr>
                <w:color w:val="000000"/>
                <w:sz w:val="19"/>
              </w:rPr>
              <w:t>Restore baseline state and back up current artifacts</w:t>
            </w:r>
          </w:p>
        </w:tc>
        <w:tc>
          <w:tcPr>
            <w:tcW w:w="2736" w:type="dxa"/>
            <w:shd w:val="clear" w:color="auto" w:fill="FFFFFF"/>
            <w:tcMar>
              <w:top w:w="100" w:type="dxa"/>
              <w:left w:w="105" w:type="dxa"/>
              <w:bottom w:w="100" w:type="dxa"/>
              <w:right w:w="105" w:type="dxa"/>
            </w:tcMar>
            <w:vAlign w:val="center"/>
          </w:tcPr>
          <w:p w14:paraId="1DAFE6EB" w14:textId="77777777" w:rsidR="006A4D66" w:rsidRDefault="00000000">
            <w:r>
              <w:rPr>
                <w:color w:val="000000"/>
                <w:sz w:val="19"/>
              </w:rPr>
              <w:t>Scenario can be replayed safely</w:t>
            </w:r>
          </w:p>
        </w:tc>
      </w:tr>
    </w:tbl>
    <w:p w14:paraId="62AD3B4A" w14:textId="77777777" w:rsidR="006A4D66" w:rsidRDefault="006A4D66">
      <w:pPr>
        <w:spacing w:after="120" w:line="259" w:lineRule="auto"/>
      </w:pPr>
    </w:p>
    <w:p w14:paraId="2AC870F5" w14:textId="77777777" w:rsidR="006A4D66" w:rsidRDefault="00000000">
      <w:pPr>
        <w:pStyle w:val="Heading2"/>
        <w:spacing w:after="120" w:line="259" w:lineRule="auto"/>
      </w:pPr>
      <w:r>
        <w:rPr>
          <w:rFonts w:ascii="Aptos" w:eastAsia="Aptos" w:hAnsi="Aptos"/>
          <w:b w:val="0"/>
          <w:color w:val="172033"/>
          <w:sz w:val="21"/>
        </w:rPr>
        <w:t>6.8 Dashboard Design Limitations</w:t>
      </w:r>
    </w:p>
    <w:p w14:paraId="66A23E85" w14:textId="77777777" w:rsidR="006A4D66" w:rsidRDefault="00000000">
      <w:pPr>
        <w:pStyle w:val="ListBullet"/>
        <w:spacing w:line="259" w:lineRule="auto"/>
      </w:pPr>
      <w:r>
        <w:rPr>
          <w:rFonts w:ascii="Aptos" w:eastAsia="Aptos" w:hAnsi="Aptos"/>
          <w:color w:val="172033"/>
          <w:sz w:val="21"/>
        </w:rPr>
        <w:t>The application is a single-user proof-of-concept without production authentication or role-based access.</w:t>
      </w:r>
    </w:p>
    <w:p w14:paraId="79455426" w14:textId="77777777" w:rsidR="006A4D66" w:rsidRDefault="00000000">
      <w:pPr>
        <w:pStyle w:val="ListBullet"/>
        <w:spacing w:line="259" w:lineRule="auto"/>
      </w:pPr>
      <w:r>
        <w:rPr>
          <w:rFonts w:ascii="Aptos" w:eastAsia="Aptos" w:hAnsi="Aptos"/>
          <w:color w:val="172033"/>
          <w:sz w:val="21"/>
        </w:rPr>
        <w:t>The dashboard reads committed or processed files; it is not connected to custodians, portfolio accounting systems, or GP portals.</w:t>
      </w:r>
    </w:p>
    <w:p w14:paraId="73BA1BDB" w14:textId="77777777" w:rsidR="006A4D66" w:rsidRDefault="00000000">
      <w:pPr>
        <w:pStyle w:val="ListBullet"/>
        <w:spacing w:line="259" w:lineRule="auto"/>
      </w:pPr>
      <w:r>
        <w:rPr>
          <w:rFonts w:ascii="Aptos" w:eastAsia="Aptos" w:hAnsi="Aptos"/>
          <w:color w:val="172033"/>
          <w:sz w:val="21"/>
        </w:rPr>
        <w:t>Synthetic return history supports interface and analytical testing but must not be interpreted as real performance.</w:t>
      </w:r>
    </w:p>
    <w:p w14:paraId="45CB8988" w14:textId="77777777" w:rsidR="006A4D66" w:rsidRDefault="00000000">
      <w:pPr>
        <w:pStyle w:val="ListBullet"/>
        <w:spacing w:line="259" w:lineRule="auto"/>
      </w:pPr>
      <w:r>
        <w:rPr>
          <w:rFonts w:ascii="Aptos" w:eastAsia="Aptos" w:hAnsi="Aptos"/>
          <w:color w:val="172033"/>
          <w:sz w:val="21"/>
        </w:rPr>
        <w:t>Private-market values remain dependent on manager reporting cadence and may be carried forward between statements.</w:t>
      </w:r>
    </w:p>
    <w:p w14:paraId="2C6812AE" w14:textId="77777777" w:rsidR="006A4D66" w:rsidRDefault="00000000">
      <w:pPr>
        <w:pStyle w:val="ListBullet"/>
        <w:spacing w:line="259" w:lineRule="auto"/>
      </w:pPr>
      <w:r>
        <w:rPr>
          <w:rFonts w:ascii="Aptos" w:eastAsia="Aptos" w:hAnsi="Aptos"/>
          <w:color w:val="172033"/>
          <w:sz w:val="21"/>
        </w:rPr>
        <w:t>The current design prioritizes traceability and demonstration stability over production-scale data orchestration.</w:t>
      </w:r>
    </w:p>
    <w:p w14:paraId="2FA162BF" w14:textId="77777777" w:rsidR="006A4D66" w:rsidRDefault="00000000">
      <w:pPr>
        <w:pStyle w:val="Heading2"/>
      </w:pPr>
      <w:r>
        <w:lastRenderedPageBreak/>
        <w:t>6.9 Why AI Extraction + Dashboard Is Better Than the Traditional Manual Flow</w:t>
      </w:r>
    </w:p>
    <w:p w14:paraId="5D560271" w14:textId="77777777" w:rsidR="006A4D66" w:rsidRDefault="00000000">
      <w:pPr>
        <w:spacing w:after="100" w:line="259" w:lineRule="auto"/>
      </w:pPr>
      <w:r>
        <w:rPr>
          <w:rFonts w:ascii="Aptos" w:hAnsi="Aptos"/>
          <w:color w:val="1F1F1F"/>
          <w:sz w:val="20"/>
        </w:rPr>
        <w:t>The advantage does not come from replacing professional judgment. It comes from moving people away from repetitive document reading and reconciliation toward review of exceptions and decisions, while keeping a clearer evidence trail.</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512"/>
        <w:gridCol w:w="2952"/>
        <w:gridCol w:w="3312"/>
        <w:gridCol w:w="2376"/>
      </w:tblGrid>
      <w:tr w:rsidR="006A4D66" w14:paraId="6E1BCEA8" w14:textId="77777777">
        <w:trPr>
          <w:tblHeader/>
          <w:jc w:val="center"/>
        </w:trPr>
        <w:tc>
          <w:tcPr>
            <w:tcW w:w="1512" w:type="dxa"/>
            <w:shd w:val="clear" w:color="auto" w:fill="D9EAF7"/>
            <w:tcMar>
              <w:top w:w="100" w:type="dxa"/>
              <w:left w:w="105" w:type="dxa"/>
              <w:bottom w:w="100" w:type="dxa"/>
              <w:right w:w="105" w:type="dxa"/>
            </w:tcMar>
            <w:vAlign w:val="center"/>
          </w:tcPr>
          <w:p w14:paraId="47A886B6" w14:textId="77777777" w:rsidR="006A4D66" w:rsidRDefault="00000000">
            <w:pPr>
              <w:jc w:val="center"/>
            </w:pPr>
            <w:r>
              <w:rPr>
                <w:b/>
                <w:color w:val="000000"/>
                <w:sz w:val="19"/>
              </w:rPr>
              <w:t>Dimension</w:t>
            </w:r>
          </w:p>
        </w:tc>
        <w:tc>
          <w:tcPr>
            <w:tcW w:w="2952" w:type="dxa"/>
            <w:shd w:val="clear" w:color="auto" w:fill="D9EAF7"/>
            <w:tcMar>
              <w:top w:w="100" w:type="dxa"/>
              <w:left w:w="105" w:type="dxa"/>
              <w:bottom w:w="100" w:type="dxa"/>
              <w:right w:w="105" w:type="dxa"/>
            </w:tcMar>
            <w:vAlign w:val="center"/>
          </w:tcPr>
          <w:p w14:paraId="2744CFE8" w14:textId="77777777" w:rsidR="006A4D66" w:rsidRDefault="00000000">
            <w:pPr>
              <w:jc w:val="center"/>
            </w:pPr>
            <w:r>
              <w:rPr>
                <w:b/>
                <w:color w:val="000000"/>
                <w:sz w:val="19"/>
              </w:rPr>
              <w:t>Traditional manual process</w:t>
            </w:r>
          </w:p>
        </w:tc>
        <w:tc>
          <w:tcPr>
            <w:tcW w:w="3312" w:type="dxa"/>
            <w:shd w:val="clear" w:color="auto" w:fill="D9EAF7"/>
            <w:tcMar>
              <w:top w:w="100" w:type="dxa"/>
              <w:left w:w="105" w:type="dxa"/>
              <w:bottom w:w="100" w:type="dxa"/>
              <w:right w:w="105" w:type="dxa"/>
            </w:tcMar>
            <w:vAlign w:val="center"/>
          </w:tcPr>
          <w:p w14:paraId="15E8BE51" w14:textId="77777777" w:rsidR="006A4D66" w:rsidRDefault="00000000">
            <w:pPr>
              <w:jc w:val="center"/>
            </w:pPr>
            <w:r>
              <w:rPr>
                <w:b/>
                <w:color w:val="000000"/>
                <w:sz w:val="19"/>
              </w:rPr>
              <w:t>Controlled AI extraction + dashboard</w:t>
            </w:r>
          </w:p>
        </w:tc>
        <w:tc>
          <w:tcPr>
            <w:tcW w:w="2376" w:type="dxa"/>
            <w:shd w:val="clear" w:color="auto" w:fill="D9EAF7"/>
            <w:tcMar>
              <w:top w:w="100" w:type="dxa"/>
              <w:left w:w="105" w:type="dxa"/>
              <w:bottom w:w="100" w:type="dxa"/>
              <w:right w:w="105" w:type="dxa"/>
            </w:tcMar>
            <w:vAlign w:val="center"/>
          </w:tcPr>
          <w:p w14:paraId="1CD9E466" w14:textId="77777777" w:rsidR="006A4D66" w:rsidRDefault="00000000">
            <w:pPr>
              <w:jc w:val="center"/>
            </w:pPr>
            <w:r>
              <w:rPr>
                <w:b/>
                <w:color w:val="000000"/>
                <w:sz w:val="19"/>
              </w:rPr>
              <w:t>Resulting value</w:t>
            </w:r>
          </w:p>
        </w:tc>
      </w:tr>
      <w:tr w:rsidR="006A4D66" w14:paraId="6FFFAA73" w14:textId="77777777">
        <w:trPr>
          <w:jc w:val="center"/>
        </w:trPr>
        <w:tc>
          <w:tcPr>
            <w:tcW w:w="1512" w:type="dxa"/>
            <w:shd w:val="clear" w:color="auto" w:fill="FFFFFF"/>
            <w:tcMar>
              <w:top w:w="100" w:type="dxa"/>
              <w:left w:w="105" w:type="dxa"/>
              <w:bottom w:w="100" w:type="dxa"/>
              <w:right w:w="105" w:type="dxa"/>
            </w:tcMar>
            <w:vAlign w:val="center"/>
          </w:tcPr>
          <w:p w14:paraId="3BD3E650" w14:textId="77777777" w:rsidR="006A4D66" w:rsidRDefault="00000000">
            <w:r>
              <w:rPr>
                <w:color w:val="000000"/>
                <w:sz w:val="19"/>
              </w:rPr>
              <w:t>Intake</w:t>
            </w:r>
          </w:p>
        </w:tc>
        <w:tc>
          <w:tcPr>
            <w:tcW w:w="2952" w:type="dxa"/>
            <w:shd w:val="clear" w:color="auto" w:fill="FFFFFF"/>
            <w:tcMar>
              <w:top w:w="100" w:type="dxa"/>
              <w:left w:w="105" w:type="dxa"/>
              <w:bottom w:w="100" w:type="dxa"/>
              <w:right w:w="105" w:type="dxa"/>
            </w:tcMar>
            <w:vAlign w:val="center"/>
          </w:tcPr>
          <w:p w14:paraId="4B375877" w14:textId="77777777" w:rsidR="006A4D66" w:rsidRDefault="00000000">
            <w:r>
              <w:rPr>
                <w:color w:val="000000"/>
                <w:sz w:val="19"/>
              </w:rPr>
              <w:t>Documents arrive in email or folders and are tracked inconsistently.</w:t>
            </w:r>
          </w:p>
        </w:tc>
        <w:tc>
          <w:tcPr>
            <w:tcW w:w="3312" w:type="dxa"/>
            <w:shd w:val="clear" w:color="auto" w:fill="FFFFFF"/>
            <w:tcMar>
              <w:top w:w="100" w:type="dxa"/>
              <w:left w:w="105" w:type="dxa"/>
              <w:bottom w:w="100" w:type="dxa"/>
              <w:right w:w="105" w:type="dxa"/>
            </w:tcMar>
            <w:vAlign w:val="center"/>
          </w:tcPr>
          <w:p w14:paraId="2549990F" w14:textId="77777777" w:rsidR="006A4D66" w:rsidRDefault="00000000">
            <w:r>
              <w:rPr>
                <w:color w:val="000000"/>
                <w:sz w:val="19"/>
              </w:rPr>
              <w:t>Documents are assigned identifiers, classified, and staged through one workflow.</w:t>
            </w:r>
          </w:p>
        </w:tc>
        <w:tc>
          <w:tcPr>
            <w:tcW w:w="2376" w:type="dxa"/>
            <w:shd w:val="clear" w:color="auto" w:fill="FFFFFF"/>
            <w:tcMar>
              <w:top w:w="100" w:type="dxa"/>
              <w:left w:w="105" w:type="dxa"/>
              <w:bottom w:w="100" w:type="dxa"/>
              <w:right w:w="105" w:type="dxa"/>
            </w:tcMar>
            <w:vAlign w:val="center"/>
          </w:tcPr>
          <w:p w14:paraId="1381A766" w14:textId="77777777" w:rsidR="006A4D66" w:rsidRDefault="00000000">
            <w:r>
              <w:rPr>
                <w:color w:val="000000"/>
                <w:sz w:val="19"/>
              </w:rPr>
              <w:t>Reduced risk that a document is missed or processed twice.</w:t>
            </w:r>
          </w:p>
        </w:tc>
      </w:tr>
      <w:tr w:rsidR="006A4D66" w14:paraId="3D626F77" w14:textId="77777777">
        <w:trPr>
          <w:jc w:val="center"/>
        </w:trPr>
        <w:tc>
          <w:tcPr>
            <w:tcW w:w="1512" w:type="dxa"/>
            <w:shd w:val="clear" w:color="auto" w:fill="FFFFFF"/>
            <w:tcMar>
              <w:top w:w="100" w:type="dxa"/>
              <w:left w:w="105" w:type="dxa"/>
              <w:bottom w:w="100" w:type="dxa"/>
              <w:right w:w="105" w:type="dxa"/>
            </w:tcMar>
            <w:vAlign w:val="center"/>
          </w:tcPr>
          <w:p w14:paraId="3E3AF909" w14:textId="77777777" w:rsidR="006A4D66" w:rsidRDefault="00000000">
            <w:r>
              <w:rPr>
                <w:color w:val="000000"/>
                <w:sz w:val="19"/>
              </w:rPr>
              <w:t>Data entry</w:t>
            </w:r>
          </w:p>
        </w:tc>
        <w:tc>
          <w:tcPr>
            <w:tcW w:w="2952" w:type="dxa"/>
            <w:shd w:val="clear" w:color="auto" w:fill="FFFFFF"/>
            <w:tcMar>
              <w:top w:w="100" w:type="dxa"/>
              <w:left w:w="105" w:type="dxa"/>
              <w:bottom w:w="100" w:type="dxa"/>
              <w:right w:w="105" w:type="dxa"/>
            </w:tcMar>
            <w:vAlign w:val="center"/>
          </w:tcPr>
          <w:p w14:paraId="7770A076" w14:textId="77777777" w:rsidR="006A4D66" w:rsidRDefault="00000000">
            <w:r>
              <w:rPr>
                <w:color w:val="000000"/>
                <w:sz w:val="19"/>
              </w:rPr>
              <w:t>Analysts re-key amounts, dates, fund names, and account data.</w:t>
            </w:r>
          </w:p>
        </w:tc>
        <w:tc>
          <w:tcPr>
            <w:tcW w:w="3312" w:type="dxa"/>
            <w:shd w:val="clear" w:color="auto" w:fill="FFFFFF"/>
            <w:tcMar>
              <w:top w:w="100" w:type="dxa"/>
              <w:left w:w="105" w:type="dxa"/>
              <w:bottom w:w="100" w:type="dxa"/>
              <w:right w:w="105" w:type="dxa"/>
            </w:tcMar>
            <w:vAlign w:val="center"/>
          </w:tcPr>
          <w:p w14:paraId="36C8D909" w14:textId="77777777" w:rsidR="006A4D66" w:rsidRDefault="00000000">
            <w:r>
              <w:rPr>
                <w:color w:val="000000"/>
                <w:sz w:val="19"/>
              </w:rPr>
              <w:t>Common fields are extracted into a consistent schema.</w:t>
            </w:r>
          </w:p>
        </w:tc>
        <w:tc>
          <w:tcPr>
            <w:tcW w:w="2376" w:type="dxa"/>
            <w:shd w:val="clear" w:color="auto" w:fill="FFFFFF"/>
            <w:tcMar>
              <w:top w:w="100" w:type="dxa"/>
              <w:left w:w="105" w:type="dxa"/>
              <w:bottom w:w="100" w:type="dxa"/>
              <w:right w:w="105" w:type="dxa"/>
            </w:tcMar>
            <w:vAlign w:val="center"/>
          </w:tcPr>
          <w:p w14:paraId="523B0603" w14:textId="77777777" w:rsidR="006A4D66" w:rsidRDefault="00000000">
            <w:r>
              <w:rPr>
                <w:color w:val="000000"/>
                <w:sz w:val="19"/>
              </w:rPr>
              <w:t>Less repetitive work and fewer transcription opportunities.</w:t>
            </w:r>
          </w:p>
        </w:tc>
      </w:tr>
      <w:tr w:rsidR="006A4D66" w14:paraId="3A748EA8" w14:textId="77777777">
        <w:trPr>
          <w:jc w:val="center"/>
        </w:trPr>
        <w:tc>
          <w:tcPr>
            <w:tcW w:w="1512" w:type="dxa"/>
            <w:shd w:val="clear" w:color="auto" w:fill="FFFFFF"/>
            <w:tcMar>
              <w:top w:w="100" w:type="dxa"/>
              <w:left w:w="105" w:type="dxa"/>
              <w:bottom w:w="100" w:type="dxa"/>
              <w:right w:w="105" w:type="dxa"/>
            </w:tcMar>
            <w:vAlign w:val="center"/>
          </w:tcPr>
          <w:p w14:paraId="045B01EC" w14:textId="77777777" w:rsidR="006A4D66" w:rsidRDefault="00000000">
            <w:r>
              <w:rPr>
                <w:color w:val="000000"/>
                <w:sz w:val="19"/>
              </w:rPr>
              <w:t>Validation</w:t>
            </w:r>
          </w:p>
        </w:tc>
        <w:tc>
          <w:tcPr>
            <w:tcW w:w="2952" w:type="dxa"/>
            <w:shd w:val="clear" w:color="auto" w:fill="FFFFFF"/>
            <w:tcMar>
              <w:top w:w="100" w:type="dxa"/>
              <w:left w:w="105" w:type="dxa"/>
              <w:bottom w:w="100" w:type="dxa"/>
              <w:right w:w="105" w:type="dxa"/>
            </w:tcMar>
            <w:vAlign w:val="center"/>
          </w:tcPr>
          <w:p w14:paraId="32657E79" w14:textId="77777777" w:rsidR="006A4D66" w:rsidRDefault="00000000">
            <w:r>
              <w:rPr>
                <w:color w:val="000000"/>
                <w:sz w:val="19"/>
              </w:rPr>
              <w:t>Checks depend on individual experience and spreadsheets.</w:t>
            </w:r>
          </w:p>
        </w:tc>
        <w:tc>
          <w:tcPr>
            <w:tcW w:w="3312" w:type="dxa"/>
            <w:shd w:val="clear" w:color="auto" w:fill="FFFFFF"/>
            <w:tcMar>
              <w:top w:w="100" w:type="dxa"/>
              <w:left w:w="105" w:type="dxa"/>
              <w:bottom w:w="100" w:type="dxa"/>
              <w:right w:w="105" w:type="dxa"/>
            </w:tcMar>
            <w:vAlign w:val="center"/>
          </w:tcPr>
          <w:p w14:paraId="7AB1A339" w14:textId="77777777" w:rsidR="006A4D66" w:rsidRDefault="00000000">
            <w:r>
              <w:rPr>
                <w:color w:val="000000"/>
                <w:sz w:val="19"/>
              </w:rPr>
              <w:t>Field, arithmetic, date, identifier, and cross-record checks are repeatable.</w:t>
            </w:r>
          </w:p>
        </w:tc>
        <w:tc>
          <w:tcPr>
            <w:tcW w:w="2376" w:type="dxa"/>
            <w:shd w:val="clear" w:color="auto" w:fill="FFFFFF"/>
            <w:tcMar>
              <w:top w:w="100" w:type="dxa"/>
              <w:left w:w="105" w:type="dxa"/>
              <w:bottom w:w="100" w:type="dxa"/>
              <w:right w:w="105" w:type="dxa"/>
            </w:tcMar>
            <w:vAlign w:val="center"/>
          </w:tcPr>
          <w:p w14:paraId="0BCFB58D" w14:textId="77777777" w:rsidR="006A4D66" w:rsidRDefault="00000000">
            <w:r>
              <w:rPr>
                <w:color w:val="000000"/>
                <w:sz w:val="19"/>
              </w:rPr>
              <w:t>Exceptions become visible and reviewable.</w:t>
            </w:r>
          </w:p>
        </w:tc>
      </w:tr>
      <w:tr w:rsidR="006A4D66" w14:paraId="36576E84" w14:textId="77777777">
        <w:trPr>
          <w:jc w:val="center"/>
        </w:trPr>
        <w:tc>
          <w:tcPr>
            <w:tcW w:w="1512" w:type="dxa"/>
            <w:shd w:val="clear" w:color="auto" w:fill="FFFFFF"/>
            <w:tcMar>
              <w:top w:w="100" w:type="dxa"/>
              <w:left w:w="105" w:type="dxa"/>
              <w:bottom w:w="100" w:type="dxa"/>
              <w:right w:w="105" w:type="dxa"/>
            </w:tcMar>
            <w:vAlign w:val="center"/>
          </w:tcPr>
          <w:p w14:paraId="249191DC" w14:textId="77777777" w:rsidR="006A4D66" w:rsidRDefault="00000000">
            <w:r>
              <w:rPr>
                <w:color w:val="000000"/>
                <w:sz w:val="19"/>
              </w:rPr>
              <w:t>Approval</w:t>
            </w:r>
          </w:p>
        </w:tc>
        <w:tc>
          <w:tcPr>
            <w:tcW w:w="2952" w:type="dxa"/>
            <w:shd w:val="clear" w:color="auto" w:fill="FFFFFF"/>
            <w:tcMar>
              <w:top w:w="100" w:type="dxa"/>
              <w:left w:w="105" w:type="dxa"/>
              <w:bottom w:w="100" w:type="dxa"/>
              <w:right w:w="105" w:type="dxa"/>
            </w:tcMar>
            <w:vAlign w:val="center"/>
          </w:tcPr>
          <w:p w14:paraId="7F955BB1" w14:textId="77777777" w:rsidR="006A4D66" w:rsidRDefault="00000000">
            <w:r>
              <w:rPr>
                <w:color w:val="000000"/>
                <w:sz w:val="19"/>
              </w:rPr>
              <w:t>A spreadsheet edit may immediately affect reporting.</w:t>
            </w:r>
          </w:p>
        </w:tc>
        <w:tc>
          <w:tcPr>
            <w:tcW w:w="3312" w:type="dxa"/>
            <w:shd w:val="clear" w:color="auto" w:fill="FFFFFF"/>
            <w:tcMar>
              <w:top w:w="100" w:type="dxa"/>
              <w:left w:w="105" w:type="dxa"/>
              <w:bottom w:w="100" w:type="dxa"/>
              <w:right w:w="105" w:type="dxa"/>
            </w:tcMar>
            <w:vAlign w:val="center"/>
          </w:tcPr>
          <w:p w14:paraId="1FEB8D0A" w14:textId="77777777" w:rsidR="006A4D66" w:rsidRDefault="00000000">
            <w:r>
              <w:rPr>
                <w:color w:val="000000"/>
                <w:sz w:val="19"/>
              </w:rPr>
              <w:t>Only approved records can enter the portfolio overlay.</w:t>
            </w:r>
          </w:p>
        </w:tc>
        <w:tc>
          <w:tcPr>
            <w:tcW w:w="2376" w:type="dxa"/>
            <w:shd w:val="clear" w:color="auto" w:fill="FFFFFF"/>
            <w:tcMar>
              <w:top w:w="100" w:type="dxa"/>
              <w:left w:w="105" w:type="dxa"/>
              <w:bottom w:w="100" w:type="dxa"/>
              <w:right w:w="105" w:type="dxa"/>
            </w:tcMar>
            <w:vAlign w:val="center"/>
          </w:tcPr>
          <w:p w14:paraId="2A8E7627" w14:textId="77777777" w:rsidR="006A4D66" w:rsidRDefault="00000000">
            <w:r>
              <w:rPr>
                <w:color w:val="000000"/>
                <w:sz w:val="19"/>
              </w:rPr>
              <w:t>Clear separation of extraction, review, and posting authority.</w:t>
            </w:r>
          </w:p>
        </w:tc>
      </w:tr>
      <w:tr w:rsidR="006A4D66" w14:paraId="72FAEBAD" w14:textId="77777777">
        <w:trPr>
          <w:jc w:val="center"/>
        </w:trPr>
        <w:tc>
          <w:tcPr>
            <w:tcW w:w="1512" w:type="dxa"/>
            <w:shd w:val="clear" w:color="auto" w:fill="FFFFFF"/>
            <w:tcMar>
              <w:top w:w="100" w:type="dxa"/>
              <w:left w:w="105" w:type="dxa"/>
              <w:bottom w:w="100" w:type="dxa"/>
              <w:right w:w="105" w:type="dxa"/>
            </w:tcMar>
            <w:vAlign w:val="center"/>
          </w:tcPr>
          <w:p w14:paraId="53378835" w14:textId="77777777" w:rsidR="006A4D66" w:rsidRDefault="00000000">
            <w:r>
              <w:rPr>
                <w:color w:val="000000"/>
                <w:sz w:val="19"/>
              </w:rPr>
              <w:t>Reporting</w:t>
            </w:r>
          </w:p>
        </w:tc>
        <w:tc>
          <w:tcPr>
            <w:tcW w:w="2952" w:type="dxa"/>
            <w:shd w:val="clear" w:color="auto" w:fill="FFFFFF"/>
            <w:tcMar>
              <w:top w:w="100" w:type="dxa"/>
              <w:left w:w="105" w:type="dxa"/>
              <w:bottom w:w="100" w:type="dxa"/>
              <w:right w:w="105" w:type="dxa"/>
            </w:tcMar>
            <w:vAlign w:val="center"/>
          </w:tcPr>
          <w:p w14:paraId="14713352" w14:textId="77777777" w:rsidR="006A4D66" w:rsidRDefault="00000000">
            <w:r>
              <w:rPr>
                <w:color w:val="000000"/>
                <w:sz w:val="19"/>
              </w:rPr>
              <w:t>Portfolio, liquidity, and document status are reconciled across files.</w:t>
            </w:r>
          </w:p>
        </w:tc>
        <w:tc>
          <w:tcPr>
            <w:tcW w:w="3312" w:type="dxa"/>
            <w:shd w:val="clear" w:color="auto" w:fill="FFFFFF"/>
            <w:tcMar>
              <w:top w:w="100" w:type="dxa"/>
              <w:left w:w="105" w:type="dxa"/>
              <w:bottom w:w="100" w:type="dxa"/>
              <w:right w:w="105" w:type="dxa"/>
            </w:tcMar>
            <w:vAlign w:val="center"/>
          </w:tcPr>
          <w:p w14:paraId="55CA9100" w14:textId="77777777" w:rsidR="006A4D66" w:rsidRDefault="00000000">
            <w:r>
              <w:rPr>
                <w:color w:val="000000"/>
                <w:sz w:val="19"/>
              </w:rPr>
              <w:t>The same approved data feeds portfolio and control views.</w:t>
            </w:r>
          </w:p>
        </w:tc>
        <w:tc>
          <w:tcPr>
            <w:tcW w:w="2376" w:type="dxa"/>
            <w:shd w:val="clear" w:color="auto" w:fill="FFFFFF"/>
            <w:tcMar>
              <w:top w:w="100" w:type="dxa"/>
              <w:left w:w="105" w:type="dxa"/>
              <w:bottom w:w="100" w:type="dxa"/>
              <w:right w:w="105" w:type="dxa"/>
            </w:tcMar>
            <w:vAlign w:val="center"/>
          </w:tcPr>
          <w:p w14:paraId="5729A063" w14:textId="77777777" w:rsidR="006A4D66" w:rsidRDefault="00000000">
            <w:r>
              <w:rPr>
                <w:color w:val="000000"/>
                <w:sz w:val="19"/>
              </w:rPr>
              <w:t>Faster, more consistent refresh and stronger lineage.</w:t>
            </w:r>
          </w:p>
        </w:tc>
      </w:tr>
      <w:tr w:rsidR="006A4D66" w14:paraId="40C6D7E9" w14:textId="77777777">
        <w:trPr>
          <w:jc w:val="center"/>
        </w:trPr>
        <w:tc>
          <w:tcPr>
            <w:tcW w:w="1512" w:type="dxa"/>
            <w:shd w:val="clear" w:color="auto" w:fill="FFFFFF"/>
            <w:tcMar>
              <w:top w:w="100" w:type="dxa"/>
              <w:left w:w="105" w:type="dxa"/>
              <w:bottom w:w="100" w:type="dxa"/>
              <w:right w:w="105" w:type="dxa"/>
            </w:tcMar>
            <w:vAlign w:val="center"/>
          </w:tcPr>
          <w:p w14:paraId="1F303367" w14:textId="77777777" w:rsidR="006A4D66" w:rsidRDefault="00000000">
            <w:r>
              <w:rPr>
                <w:color w:val="000000"/>
                <w:sz w:val="19"/>
              </w:rPr>
              <w:t>Auditability</w:t>
            </w:r>
          </w:p>
        </w:tc>
        <w:tc>
          <w:tcPr>
            <w:tcW w:w="2952" w:type="dxa"/>
            <w:shd w:val="clear" w:color="auto" w:fill="FFFFFF"/>
            <w:tcMar>
              <w:top w:w="100" w:type="dxa"/>
              <w:left w:w="105" w:type="dxa"/>
              <w:bottom w:w="100" w:type="dxa"/>
              <w:right w:w="105" w:type="dxa"/>
            </w:tcMar>
            <w:vAlign w:val="center"/>
          </w:tcPr>
          <w:p w14:paraId="1730AAF2" w14:textId="77777777" w:rsidR="006A4D66" w:rsidRDefault="00000000">
            <w:r>
              <w:rPr>
                <w:color w:val="000000"/>
                <w:sz w:val="19"/>
              </w:rPr>
              <w:t>Evidence is spread across source files, email, and working papers.</w:t>
            </w:r>
          </w:p>
        </w:tc>
        <w:tc>
          <w:tcPr>
            <w:tcW w:w="3312" w:type="dxa"/>
            <w:shd w:val="clear" w:color="auto" w:fill="FFFFFF"/>
            <w:tcMar>
              <w:top w:w="100" w:type="dxa"/>
              <w:left w:w="105" w:type="dxa"/>
              <w:bottom w:w="100" w:type="dxa"/>
              <w:right w:w="105" w:type="dxa"/>
            </w:tcMar>
            <w:vAlign w:val="center"/>
          </w:tcPr>
          <w:p w14:paraId="411AC60E" w14:textId="77777777" w:rsidR="006A4D66" w:rsidRDefault="00000000">
            <w:r>
              <w:rPr>
                <w:color w:val="000000"/>
                <w:sz w:val="19"/>
              </w:rPr>
              <w:t>Document IDs, outputs, validation results, and application status are persisted.</w:t>
            </w:r>
          </w:p>
        </w:tc>
        <w:tc>
          <w:tcPr>
            <w:tcW w:w="2376" w:type="dxa"/>
            <w:shd w:val="clear" w:color="auto" w:fill="FFFFFF"/>
            <w:tcMar>
              <w:top w:w="100" w:type="dxa"/>
              <w:left w:w="105" w:type="dxa"/>
              <w:bottom w:w="100" w:type="dxa"/>
              <w:right w:w="105" w:type="dxa"/>
            </w:tcMar>
            <w:vAlign w:val="center"/>
          </w:tcPr>
          <w:p w14:paraId="3B2CCD25" w14:textId="77777777" w:rsidR="006A4D66" w:rsidRDefault="00000000">
            <w:r>
              <w:rPr>
                <w:color w:val="000000"/>
                <w:sz w:val="19"/>
              </w:rPr>
              <w:t>A reviewer can trace a dashboard change back to its source.</w:t>
            </w:r>
          </w:p>
        </w:tc>
      </w:tr>
    </w:tbl>
    <w:p w14:paraId="2755ECD3" w14:textId="77777777" w:rsidR="006A4D66" w:rsidRDefault="00000000">
      <w:pPr>
        <w:spacing w:after="100" w:line="259" w:lineRule="auto"/>
      </w:pPr>
      <w:r>
        <w:rPr>
          <w:rFonts w:ascii="Aptos" w:hAnsi="Aptos"/>
          <w:b/>
          <w:color w:val="1F1F1F"/>
          <w:sz w:val="20"/>
        </w:rPr>
        <w:t>Important limitation. This proof of concept demonstrates workflow feasibility and control logic, but it does not yet provide measured time savings, error-rate reduction, or financial ROI from a production pilot. The ROI framework in Section 8 therefore separates demonstrated capabilities from benefits that still require real operating evidence.</w:t>
      </w:r>
    </w:p>
    <w:p w14:paraId="266B12B3" w14:textId="77777777" w:rsidR="006A4D66" w:rsidRDefault="00000000">
      <w:pPr>
        <w:pStyle w:val="Heading2"/>
      </w:pPr>
      <w:r>
        <w:t>6.10 What the Dashboard Enables for Each Stakeholder</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088"/>
        <w:gridCol w:w="5400"/>
        <w:gridCol w:w="2664"/>
        <w:gridCol w:w="15"/>
      </w:tblGrid>
      <w:tr w:rsidR="006A4D66" w14:paraId="115D703A" w14:textId="77777777">
        <w:trPr>
          <w:tblHeader/>
          <w:jc w:val="center"/>
        </w:trPr>
        <w:tc>
          <w:tcPr>
            <w:tcW w:w="2088" w:type="dxa"/>
            <w:shd w:val="clear" w:color="auto" w:fill="D9EAF7"/>
            <w:tcMar>
              <w:top w:w="100" w:type="dxa"/>
              <w:left w:w="105" w:type="dxa"/>
              <w:bottom w:w="100" w:type="dxa"/>
              <w:right w:w="105" w:type="dxa"/>
            </w:tcMar>
            <w:vAlign w:val="center"/>
          </w:tcPr>
          <w:p w14:paraId="74B931C5" w14:textId="77777777" w:rsidR="006A4D66" w:rsidRDefault="00000000">
            <w:pPr>
              <w:jc w:val="center"/>
            </w:pPr>
            <w:r>
              <w:rPr>
                <w:b/>
                <w:color w:val="000000"/>
                <w:sz w:val="19"/>
              </w:rPr>
              <w:t>Stakeholder</w:t>
            </w:r>
          </w:p>
        </w:tc>
        <w:tc>
          <w:tcPr>
            <w:tcW w:w="5400" w:type="dxa"/>
            <w:shd w:val="clear" w:color="auto" w:fill="D9EAF7"/>
            <w:tcMar>
              <w:top w:w="100" w:type="dxa"/>
              <w:left w:w="105" w:type="dxa"/>
              <w:bottom w:w="100" w:type="dxa"/>
              <w:right w:w="105" w:type="dxa"/>
            </w:tcMar>
            <w:vAlign w:val="center"/>
          </w:tcPr>
          <w:p w14:paraId="7FB73D1C" w14:textId="77777777" w:rsidR="006A4D66" w:rsidRDefault="00000000">
            <w:pPr>
              <w:jc w:val="center"/>
            </w:pPr>
            <w:r>
              <w:rPr>
                <w:b/>
                <w:color w:val="000000"/>
                <w:sz w:val="19"/>
              </w:rPr>
              <w:t>Questions the dashboard helps answer</w:t>
            </w:r>
          </w:p>
        </w:tc>
        <w:tc>
          <w:tcPr>
            <w:tcW w:w="2664" w:type="dxa"/>
            <w:gridSpan w:val="2"/>
            <w:shd w:val="clear" w:color="auto" w:fill="D9EAF7"/>
            <w:tcMar>
              <w:top w:w="100" w:type="dxa"/>
              <w:left w:w="105" w:type="dxa"/>
              <w:bottom w:w="100" w:type="dxa"/>
              <w:right w:w="105" w:type="dxa"/>
            </w:tcMar>
            <w:vAlign w:val="center"/>
          </w:tcPr>
          <w:p w14:paraId="33B0669D" w14:textId="77777777" w:rsidR="006A4D66" w:rsidRDefault="00000000">
            <w:pPr>
              <w:jc w:val="center"/>
            </w:pPr>
            <w:r>
              <w:rPr>
                <w:b/>
                <w:color w:val="000000"/>
                <w:sz w:val="19"/>
              </w:rPr>
              <w:t>Primary pages / controls</w:t>
            </w:r>
          </w:p>
        </w:tc>
      </w:tr>
      <w:tr w:rsidR="006A4D66" w14:paraId="28871837" w14:textId="77777777">
        <w:trPr>
          <w:jc w:val="center"/>
        </w:trPr>
        <w:tc>
          <w:tcPr>
            <w:tcW w:w="2088" w:type="dxa"/>
            <w:shd w:val="clear" w:color="auto" w:fill="FFFFFF"/>
            <w:tcMar>
              <w:top w:w="100" w:type="dxa"/>
              <w:left w:w="105" w:type="dxa"/>
              <w:bottom w:w="100" w:type="dxa"/>
              <w:right w:w="105" w:type="dxa"/>
            </w:tcMar>
            <w:vAlign w:val="center"/>
          </w:tcPr>
          <w:p w14:paraId="48A716B8" w14:textId="77777777" w:rsidR="006A4D66" w:rsidRDefault="00000000">
            <w:r>
              <w:rPr>
                <w:color w:val="000000"/>
                <w:sz w:val="19"/>
              </w:rPr>
              <w:t>CIO / Head of Investments</w:t>
            </w:r>
          </w:p>
        </w:tc>
        <w:tc>
          <w:tcPr>
            <w:tcW w:w="5400" w:type="dxa"/>
            <w:shd w:val="clear" w:color="auto" w:fill="FFFFFF"/>
            <w:tcMar>
              <w:top w:w="100" w:type="dxa"/>
              <w:left w:w="105" w:type="dxa"/>
              <w:bottom w:w="100" w:type="dxa"/>
              <w:right w:w="105" w:type="dxa"/>
            </w:tcMar>
            <w:vAlign w:val="center"/>
          </w:tcPr>
          <w:p w14:paraId="4D1F6CC8" w14:textId="77777777" w:rsidR="006A4D66" w:rsidRDefault="00000000">
            <w:r>
              <w:rPr>
                <w:color w:val="000000"/>
                <w:sz w:val="19"/>
              </w:rPr>
              <w:t>What is the current portfolio mix? Where are liquidity constraints or concentration risks? Which May events are approved versus still unresolved?</w:t>
            </w:r>
          </w:p>
        </w:tc>
        <w:tc>
          <w:tcPr>
            <w:tcW w:w="2664" w:type="dxa"/>
            <w:gridSpan w:val="2"/>
            <w:shd w:val="clear" w:color="auto" w:fill="FFFFFF"/>
            <w:tcMar>
              <w:top w:w="100" w:type="dxa"/>
              <w:left w:w="105" w:type="dxa"/>
              <w:bottom w:w="100" w:type="dxa"/>
              <w:right w:w="105" w:type="dxa"/>
            </w:tcMar>
            <w:vAlign w:val="center"/>
          </w:tcPr>
          <w:p w14:paraId="499D09A0" w14:textId="77777777" w:rsidR="006A4D66" w:rsidRDefault="00000000">
            <w:r>
              <w:rPr>
                <w:color w:val="000000"/>
                <w:sz w:val="19"/>
              </w:rPr>
              <w:t>Overview; Asset Class; Liquidity &amp; Commitments; Risk Profile</w:t>
            </w:r>
          </w:p>
        </w:tc>
      </w:tr>
      <w:tr w:rsidR="006A4D66" w14:paraId="11C2A7AA" w14:textId="77777777">
        <w:trPr>
          <w:jc w:val="center"/>
        </w:trPr>
        <w:tc>
          <w:tcPr>
            <w:tcW w:w="2088" w:type="dxa"/>
            <w:shd w:val="clear" w:color="auto" w:fill="FFFFFF"/>
            <w:tcMar>
              <w:top w:w="100" w:type="dxa"/>
              <w:left w:w="105" w:type="dxa"/>
              <w:bottom w:w="100" w:type="dxa"/>
              <w:right w:w="105" w:type="dxa"/>
            </w:tcMar>
            <w:vAlign w:val="center"/>
          </w:tcPr>
          <w:p w14:paraId="61B8CEB2" w14:textId="77777777" w:rsidR="006A4D66" w:rsidRDefault="00000000">
            <w:r>
              <w:rPr>
                <w:color w:val="000000"/>
                <w:sz w:val="19"/>
              </w:rPr>
              <w:t>Investment analyst</w:t>
            </w:r>
          </w:p>
        </w:tc>
        <w:tc>
          <w:tcPr>
            <w:tcW w:w="5400" w:type="dxa"/>
            <w:shd w:val="clear" w:color="auto" w:fill="FFFFFF"/>
            <w:tcMar>
              <w:top w:w="100" w:type="dxa"/>
              <w:left w:w="105" w:type="dxa"/>
              <w:bottom w:w="100" w:type="dxa"/>
              <w:right w:w="105" w:type="dxa"/>
            </w:tcMar>
            <w:vAlign w:val="center"/>
          </w:tcPr>
          <w:p w14:paraId="09DE5EE8" w14:textId="77777777" w:rsidR="006A4D66" w:rsidRDefault="00000000">
            <w:r>
              <w:rPr>
                <w:color w:val="000000"/>
                <w:sz w:val="19"/>
              </w:rPr>
              <w:t>Which funds, holdings, sectors, geographies, and public proxies drive exposure and performance? What changed after approved document ingestion?</w:t>
            </w:r>
          </w:p>
        </w:tc>
        <w:tc>
          <w:tcPr>
            <w:tcW w:w="2664" w:type="dxa"/>
            <w:gridSpan w:val="2"/>
            <w:shd w:val="clear" w:color="auto" w:fill="FFFFFF"/>
            <w:tcMar>
              <w:top w:w="100" w:type="dxa"/>
              <w:left w:w="105" w:type="dxa"/>
              <w:bottom w:w="100" w:type="dxa"/>
              <w:right w:w="105" w:type="dxa"/>
            </w:tcMar>
            <w:vAlign w:val="center"/>
          </w:tcPr>
          <w:p w14:paraId="32EB8E66" w14:textId="77777777" w:rsidR="006A4D66" w:rsidRDefault="00000000">
            <w:r>
              <w:rPr>
                <w:color w:val="000000"/>
                <w:sz w:val="19"/>
              </w:rPr>
              <w:t>Public Markets; Private Markets; Asset Class; Risk Profile</w:t>
            </w:r>
          </w:p>
        </w:tc>
      </w:tr>
      <w:tr w:rsidR="006A4D66" w14:paraId="0B52C5A9" w14:textId="77777777">
        <w:trPr>
          <w:jc w:val="center"/>
        </w:trPr>
        <w:tc>
          <w:tcPr>
            <w:tcW w:w="2088" w:type="dxa"/>
            <w:shd w:val="clear" w:color="auto" w:fill="FFFFFF"/>
            <w:tcMar>
              <w:top w:w="100" w:type="dxa"/>
              <w:left w:w="105" w:type="dxa"/>
              <w:bottom w:w="100" w:type="dxa"/>
              <w:right w:w="105" w:type="dxa"/>
            </w:tcMar>
            <w:vAlign w:val="center"/>
          </w:tcPr>
          <w:p w14:paraId="73A6D89B" w14:textId="77777777" w:rsidR="006A4D66" w:rsidRDefault="00000000">
            <w:r>
              <w:rPr>
                <w:color w:val="000000"/>
                <w:sz w:val="19"/>
              </w:rPr>
              <w:t>Operations / Finance</w:t>
            </w:r>
          </w:p>
        </w:tc>
        <w:tc>
          <w:tcPr>
            <w:tcW w:w="5400" w:type="dxa"/>
            <w:shd w:val="clear" w:color="auto" w:fill="FFFFFF"/>
            <w:tcMar>
              <w:top w:w="100" w:type="dxa"/>
              <w:left w:w="105" w:type="dxa"/>
              <w:bottom w:w="100" w:type="dxa"/>
              <w:right w:w="105" w:type="dxa"/>
            </w:tcMar>
            <w:vAlign w:val="center"/>
          </w:tcPr>
          <w:p w14:paraId="62D0A6D2" w14:textId="77777777" w:rsidR="006A4D66" w:rsidRDefault="00000000">
            <w:r>
              <w:rPr>
                <w:color w:val="000000"/>
                <w:sz w:val="19"/>
              </w:rPr>
              <w:t>Which documents arrived, which fields failed validation, what requires review, and what was actually applied?</w:t>
            </w:r>
          </w:p>
        </w:tc>
        <w:tc>
          <w:tcPr>
            <w:tcW w:w="2664" w:type="dxa"/>
            <w:gridSpan w:val="2"/>
            <w:shd w:val="clear" w:color="auto" w:fill="FFFFFF"/>
            <w:tcMar>
              <w:top w:w="100" w:type="dxa"/>
              <w:left w:w="105" w:type="dxa"/>
              <w:bottom w:w="100" w:type="dxa"/>
              <w:right w:w="105" w:type="dxa"/>
            </w:tcMar>
            <w:vAlign w:val="center"/>
          </w:tcPr>
          <w:p w14:paraId="799CB182" w14:textId="77777777" w:rsidR="006A4D66" w:rsidRDefault="00000000">
            <w:r>
              <w:rPr>
                <w:color w:val="000000"/>
                <w:sz w:val="19"/>
              </w:rPr>
              <w:t>Document Intake; Workflow &amp; Controls; Liquidity &amp; Commitments</w:t>
            </w:r>
          </w:p>
        </w:tc>
      </w:tr>
      <w:tr w:rsidR="006A4D66" w14:paraId="4D0F1D5A" w14:textId="77777777">
        <w:trPr>
          <w:jc w:val="center"/>
        </w:trPr>
        <w:tc>
          <w:tcPr>
            <w:tcW w:w="2088" w:type="dxa"/>
            <w:shd w:val="clear" w:color="auto" w:fill="FFFFFF"/>
            <w:tcMar>
              <w:top w:w="100" w:type="dxa"/>
              <w:left w:w="105" w:type="dxa"/>
              <w:bottom w:w="100" w:type="dxa"/>
              <w:right w:w="105" w:type="dxa"/>
            </w:tcMar>
            <w:vAlign w:val="center"/>
          </w:tcPr>
          <w:p w14:paraId="01759A6C" w14:textId="77777777" w:rsidR="006A4D66" w:rsidRDefault="00000000">
            <w:r>
              <w:rPr>
                <w:color w:val="000000"/>
                <w:sz w:val="19"/>
              </w:rPr>
              <w:t>Principal / Management</w:t>
            </w:r>
          </w:p>
        </w:tc>
        <w:tc>
          <w:tcPr>
            <w:tcW w:w="5400" w:type="dxa"/>
            <w:shd w:val="clear" w:color="auto" w:fill="FFFFFF"/>
            <w:tcMar>
              <w:top w:w="100" w:type="dxa"/>
              <w:left w:w="105" w:type="dxa"/>
              <w:bottom w:w="100" w:type="dxa"/>
              <w:right w:w="105" w:type="dxa"/>
            </w:tcMar>
            <w:vAlign w:val="center"/>
          </w:tcPr>
          <w:p w14:paraId="17B1D34A" w14:textId="77777777" w:rsidR="006A4D66" w:rsidRDefault="00000000">
            <w:r>
              <w:rPr>
                <w:color w:val="000000"/>
                <w:sz w:val="19"/>
              </w:rPr>
              <w:t>Is the portfolio information decision-ready, and where does uncertainty remain?</w:t>
            </w:r>
          </w:p>
        </w:tc>
        <w:tc>
          <w:tcPr>
            <w:tcW w:w="2664" w:type="dxa"/>
            <w:gridSpan w:val="2"/>
            <w:shd w:val="clear" w:color="auto" w:fill="FFFFFF"/>
            <w:tcMar>
              <w:top w:w="100" w:type="dxa"/>
              <w:left w:w="105" w:type="dxa"/>
              <w:bottom w:w="100" w:type="dxa"/>
              <w:right w:w="105" w:type="dxa"/>
            </w:tcMar>
            <w:vAlign w:val="center"/>
          </w:tcPr>
          <w:p w14:paraId="1C037E40" w14:textId="77777777" w:rsidR="006A4D66" w:rsidRDefault="00000000">
            <w:r>
              <w:rPr>
                <w:color w:val="000000"/>
                <w:sz w:val="19"/>
              </w:rPr>
              <w:t>Overview with clear baseline/overlay labels and exception status</w:t>
            </w:r>
          </w:p>
        </w:tc>
      </w:tr>
      <w:tr w:rsidR="006A4D66" w14:paraId="2820B387" w14:textId="77777777">
        <w:trPr>
          <w:gridAfter w:val="1"/>
          <w:wAfter w:w="15" w:type="dxa"/>
          <w:jc w:val="center"/>
        </w:trPr>
        <w:tc>
          <w:tcPr>
            <w:tcW w:w="10152" w:type="dxa"/>
            <w:gridSpan w:val="3"/>
            <w:shd w:val="clear" w:color="auto" w:fill="D9EAF7"/>
            <w:tcMar>
              <w:top w:w="105" w:type="dxa"/>
              <w:left w:w="120" w:type="dxa"/>
              <w:bottom w:w="105" w:type="dxa"/>
              <w:right w:w="120" w:type="dxa"/>
            </w:tcMar>
            <w:vAlign w:val="center"/>
          </w:tcPr>
          <w:p w14:paraId="57E5DB73" w14:textId="77777777" w:rsidR="006A4D66" w:rsidRDefault="00000000">
            <w:r>
              <w:rPr>
                <w:b/>
                <w:color w:val="000000"/>
                <w:sz w:val="19"/>
              </w:rPr>
              <w:t xml:space="preserve">Decision-support principle: </w:t>
            </w:r>
            <w:r>
              <w:rPr>
                <w:color w:val="000000"/>
                <w:sz w:val="19"/>
              </w:rPr>
              <w:t>The dashboard does not merely display totals. It exposes state boundaries: official baseline, approved overlay, projected cash flows, proxy-based risk analytics, and unresolved workflow items are labeled separately so users know what each number means.</w:t>
            </w:r>
          </w:p>
        </w:tc>
      </w:tr>
    </w:tbl>
    <w:p w14:paraId="09941957" w14:textId="77777777" w:rsidR="00730BCB" w:rsidRDefault="00AD7534">
      <w:pPr>
        <w:pStyle w:val="Heading1"/>
      </w:pPr>
      <w:r>
        <w:t>7. Public-Market Risk Overlay and Governance</w:t>
      </w:r>
    </w:p>
    <w:p w14:paraId="119CC32C" w14:textId="77777777" w:rsidR="00730BCB" w:rsidRDefault="00730BCB"/>
    <w:p w14:paraId="45F83B09" w14:textId="77777777" w:rsidR="006A4D66" w:rsidRDefault="00000000">
      <w:pPr>
        <w:pStyle w:val="Heading2"/>
        <w:spacing w:after="120" w:line="259" w:lineRule="auto"/>
      </w:pPr>
      <w:r>
        <w:rPr>
          <w:rFonts w:ascii="Aptos" w:eastAsia="Aptos" w:hAnsi="Aptos"/>
          <w:b w:val="0"/>
          <w:color w:val="172033"/>
          <w:sz w:val="21"/>
        </w:rPr>
        <w:lastRenderedPageBreak/>
        <w:t>7.1 Risk Objective and Scope</w:t>
      </w:r>
    </w:p>
    <w:p w14:paraId="5EFDB01E" w14:textId="77777777" w:rsidR="006A4D66" w:rsidRDefault="00000000">
      <w:pPr>
        <w:spacing w:after="120" w:line="259" w:lineRule="auto"/>
      </w:pPr>
      <w:r>
        <w:rPr>
          <w:rFonts w:ascii="Aptos" w:eastAsia="Aptos" w:hAnsi="Aptos"/>
          <w:color w:val="172033"/>
          <w:sz w:val="21"/>
        </w:rPr>
        <w:t>The risk module adds observable market context to an alternatives-heavy portfolio. It is intentionally defined as a public-proxy overlay. Public and liquid holdings use real monthly proxy price history, while private positions enter only where a defensible mapping exists. The module does not claim to measure complete family-office risk.</w:t>
      </w:r>
    </w:p>
    <w:p w14:paraId="455A65A9" w14:textId="77777777" w:rsidR="006A4D66" w:rsidRDefault="00000000">
      <w:pPr>
        <w:pStyle w:val="Heading2"/>
        <w:spacing w:after="120" w:line="259" w:lineRule="auto"/>
      </w:pPr>
      <w:r>
        <w:rPr>
          <w:rFonts w:ascii="Aptos" w:eastAsia="Aptos" w:hAnsi="Aptos"/>
          <w:b w:val="0"/>
          <w:color w:val="172033"/>
          <w:sz w:val="21"/>
        </w:rPr>
        <w:t>7.2 Market Data and Proxy Mapping</w:t>
      </w:r>
    </w:p>
    <w:p w14:paraId="37FADA6A" w14:textId="77777777" w:rsidR="006A4D66" w:rsidRDefault="00000000">
      <w:pPr>
        <w:spacing w:after="120" w:line="259" w:lineRule="auto"/>
      </w:pPr>
      <w:r>
        <w:rPr>
          <w:rFonts w:ascii="Aptos" w:eastAsia="Aptos" w:hAnsi="Aptos"/>
          <w:color w:val="172033"/>
          <w:sz w:val="21"/>
        </w:rPr>
        <w:t>The committed real monthly proxy file covers 30 tickers from June 2016 through April 2026. Holdings are mapped to ETFs, indices, or liquid securities representing their broad economic exposure. Mapping confidence and category remain available so users can distinguish direct market observations from approximations.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3312"/>
        <w:gridCol w:w="2304"/>
        <w:gridCol w:w="4320"/>
      </w:tblGrid>
      <w:tr w:rsidR="006A4D66" w14:paraId="7702F9DD" w14:textId="77777777">
        <w:trPr>
          <w:tblHeader/>
          <w:jc w:val="center"/>
        </w:trPr>
        <w:tc>
          <w:tcPr>
            <w:tcW w:w="3312" w:type="dxa"/>
            <w:shd w:val="clear" w:color="auto" w:fill="D9EAF7"/>
            <w:tcMar>
              <w:top w:w="100" w:type="dxa"/>
              <w:left w:w="105" w:type="dxa"/>
              <w:bottom w:w="100" w:type="dxa"/>
              <w:right w:w="105" w:type="dxa"/>
            </w:tcMar>
            <w:vAlign w:val="center"/>
          </w:tcPr>
          <w:p w14:paraId="2D99DC11" w14:textId="77777777" w:rsidR="006A4D66" w:rsidRDefault="00000000">
            <w:pPr>
              <w:jc w:val="center"/>
            </w:pPr>
            <w:r>
              <w:rPr>
                <w:b/>
                <w:color w:val="000000"/>
                <w:sz w:val="19"/>
              </w:rPr>
              <w:t>Metric</w:t>
            </w:r>
          </w:p>
        </w:tc>
        <w:tc>
          <w:tcPr>
            <w:tcW w:w="2304" w:type="dxa"/>
            <w:shd w:val="clear" w:color="auto" w:fill="D9EAF7"/>
            <w:tcMar>
              <w:top w:w="100" w:type="dxa"/>
              <w:left w:w="105" w:type="dxa"/>
              <w:bottom w:w="100" w:type="dxa"/>
              <w:right w:w="105" w:type="dxa"/>
            </w:tcMar>
            <w:vAlign w:val="center"/>
          </w:tcPr>
          <w:p w14:paraId="029C3D90" w14:textId="77777777" w:rsidR="006A4D66" w:rsidRDefault="00000000">
            <w:pPr>
              <w:jc w:val="center"/>
            </w:pPr>
            <w:r>
              <w:rPr>
                <w:b/>
                <w:color w:val="000000"/>
                <w:sz w:val="19"/>
              </w:rPr>
              <w:t>Final dashboard result</w:t>
            </w:r>
          </w:p>
        </w:tc>
        <w:tc>
          <w:tcPr>
            <w:tcW w:w="4320" w:type="dxa"/>
            <w:shd w:val="clear" w:color="auto" w:fill="D9EAF7"/>
            <w:tcMar>
              <w:top w:w="100" w:type="dxa"/>
              <w:left w:w="105" w:type="dxa"/>
              <w:bottom w:w="100" w:type="dxa"/>
              <w:right w:w="105" w:type="dxa"/>
            </w:tcMar>
            <w:vAlign w:val="center"/>
          </w:tcPr>
          <w:p w14:paraId="3EF2786E" w14:textId="77777777" w:rsidR="006A4D66" w:rsidRDefault="00000000">
            <w:pPr>
              <w:jc w:val="center"/>
            </w:pPr>
            <w:r>
              <w:rPr>
                <w:b/>
                <w:color w:val="000000"/>
                <w:sz w:val="19"/>
              </w:rPr>
              <w:t>Meaning</w:t>
            </w:r>
          </w:p>
        </w:tc>
      </w:tr>
      <w:tr w:rsidR="006A4D66" w14:paraId="6F318EB7" w14:textId="77777777">
        <w:trPr>
          <w:jc w:val="center"/>
        </w:trPr>
        <w:tc>
          <w:tcPr>
            <w:tcW w:w="3312" w:type="dxa"/>
            <w:shd w:val="clear" w:color="auto" w:fill="FFFFFF"/>
            <w:tcMar>
              <w:top w:w="100" w:type="dxa"/>
              <w:left w:w="105" w:type="dxa"/>
              <w:bottom w:w="100" w:type="dxa"/>
              <w:right w:w="105" w:type="dxa"/>
            </w:tcMar>
            <w:vAlign w:val="center"/>
          </w:tcPr>
          <w:p w14:paraId="48388553" w14:textId="77777777" w:rsidR="006A4D66" w:rsidRDefault="00000000">
            <w:r>
              <w:rPr>
                <w:color w:val="000000"/>
                <w:sz w:val="19"/>
              </w:rPr>
              <w:t>Proxy basket annualized volatility</w:t>
            </w:r>
          </w:p>
        </w:tc>
        <w:tc>
          <w:tcPr>
            <w:tcW w:w="2304" w:type="dxa"/>
            <w:shd w:val="clear" w:color="auto" w:fill="FFFFFF"/>
            <w:tcMar>
              <w:top w:w="100" w:type="dxa"/>
              <w:left w:w="105" w:type="dxa"/>
              <w:bottom w:w="100" w:type="dxa"/>
              <w:right w:w="105" w:type="dxa"/>
            </w:tcMar>
            <w:vAlign w:val="center"/>
          </w:tcPr>
          <w:p w14:paraId="3B5FAC86" w14:textId="77777777" w:rsidR="006A4D66" w:rsidRDefault="00000000">
            <w:r>
              <w:rPr>
                <w:color w:val="000000"/>
                <w:sz w:val="19"/>
              </w:rPr>
              <w:t>11.3%</w:t>
            </w:r>
          </w:p>
        </w:tc>
        <w:tc>
          <w:tcPr>
            <w:tcW w:w="4320" w:type="dxa"/>
            <w:shd w:val="clear" w:color="auto" w:fill="FFFFFF"/>
            <w:tcMar>
              <w:top w:w="100" w:type="dxa"/>
              <w:left w:w="105" w:type="dxa"/>
              <w:bottom w:w="100" w:type="dxa"/>
              <w:right w:w="105" w:type="dxa"/>
            </w:tcMar>
            <w:vAlign w:val="center"/>
          </w:tcPr>
          <w:p w14:paraId="606A75AE" w14:textId="77777777" w:rsidR="006A4D66" w:rsidRDefault="00000000">
            <w:r>
              <w:rPr>
                <w:color w:val="000000"/>
                <w:sz w:val="19"/>
              </w:rPr>
              <w:t>Observed variability of the weighted public-proxy basket</w:t>
            </w:r>
          </w:p>
        </w:tc>
      </w:tr>
      <w:tr w:rsidR="006A4D66" w14:paraId="15052F32" w14:textId="77777777">
        <w:trPr>
          <w:jc w:val="center"/>
        </w:trPr>
        <w:tc>
          <w:tcPr>
            <w:tcW w:w="3312" w:type="dxa"/>
            <w:shd w:val="clear" w:color="auto" w:fill="FFFFFF"/>
            <w:tcMar>
              <w:top w:w="100" w:type="dxa"/>
              <w:left w:w="105" w:type="dxa"/>
              <w:bottom w:w="100" w:type="dxa"/>
              <w:right w:w="105" w:type="dxa"/>
            </w:tcMar>
            <w:vAlign w:val="center"/>
          </w:tcPr>
          <w:p w14:paraId="5B3D0202" w14:textId="77777777" w:rsidR="006A4D66" w:rsidRDefault="00000000">
            <w:r>
              <w:rPr>
                <w:color w:val="000000"/>
                <w:sz w:val="19"/>
              </w:rPr>
              <w:t>Proxy basket max drawdown</w:t>
            </w:r>
          </w:p>
        </w:tc>
        <w:tc>
          <w:tcPr>
            <w:tcW w:w="2304" w:type="dxa"/>
            <w:shd w:val="clear" w:color="auto" w:fill="FFFFFF"/>
            <w:tcMar>
              <w:top w:w="100" w:type="dxa"/>
              <w:left w:w="105" w:type="dxa"/>
              <w:bottom w:w="100" w:type="dxa"/>
              <w:right w:w="105" w:type="dxa"/>
            </w:tcMar>
            <w:vAlign w:val="center"/>
          </w:tcPr>
          <w:p w14:paraId="4E82E669" w14:textId="77777777" w:rsidR="006A4D66" w:rsidRDefault="00000000">
            <w:r>
              <w:rPr>
                <w:color w:val="000000"/>
                <w:sz w:val="19"/>
              </w:rPr>
              <w:t>-21.7%</w:t>
            </w:r>
          </w:p>
        </w:tc>
        <w:tc>
          <w:tcPr>
            <w:tcW w:w="4320" w:type="dxa"/>
            <w:shd w:val="clear" w:color="auto" w:fill="FFFFFF"/>
            <w:tcMar>
              <w:top w:w="100" w:type="dxa"/>
              <w:left w:w="105" w:type="dxa"/>
              <w:bottom w:w="100" w:type="dxa"/>
              <w:right w:w="105" w:type="dxa"/>
            </w:tcMar>
            <w:vAlign w:val="center"/>
          </w:tcPr>
          <w:p w14:paraId="0ECE2243" w14:textId="77777777" w:rsidR="006A4D66" w:rsidRDefault="00000000">
            <w:r>
              <w:rPr>
                <w:color w:val="000000"/>
                <w:sz w:val="19"/>
              </w:rPr>
              <w:t>Largest peak-to-trough decline in the proxy history</w:t>
            </w:r>
          </w:p>
        </w:tc>
      </w:tr>
      <w:tr w:rsidR="006A4D66" w14:paraId="64B86974" w14:textId="77777777">
        <w:trPr>
          <w:jc w:val="center"/>
        </w:trPr>
        <w:tc>
          <w:tcPr>
            <w:tcW w:w="3312" w:type="dxa"/>
            <w:shd w:val="clear" w:color="auto" w:fill="FFFFFF"/>
            <w:tcMar>
              <w:top w:w="100" w:type="dxa"/>
              <w:left w:w="105" w:type="dxa"/>
              <w:bottom w:w="100" w:type="dxa"/>
              <w:right w:w="105" w:type="dxa"/>
            </w:tcMar>
            <w:vAlign w:val="center"/>
          </w:tcPr>
          <w:p w14:paraId="02F05641" w14:textId="77777777" w:rsidR="006A4D66" w:rsidRDefault="00000000">
            <w:r>
              <w:rPr>
                <w:color w:val="000000"/>
                <w:sz w:val="19"/>
              </w:rPr>
              <w:t>Proxy basket Sharpe ratio</w:t>
            </w:r>
          </w:p>
        </w:tc>
        <w:tc>
          <w:tcPr>
            <w:tcW w:w="2304" w:type="dxa"/>
            <w:shd w:val="clear" w:color="auto" w:fill="FFFFFF"/>
            <w:tcMar>
              <w:top w:w="100" w:type="dxa"/>
              <w:left w:w="105" w:type="dxa"/>
              <w:bottom w:w="100" w:type="dxa"/>
              <w:right w:w="105" w:type="dxa"/>
            </w:tcMar>
            <w:vAlign w:val="center"/>
          </w:tcPr>
          <w:p w14:paraId="59299ADB" w14:textId="77777777" w:rsidR="006A4D66" w:rsidRDefault="00000000">
            <w:r>
              <w:rPr>
                <w:color w:val="000000"/>
                <w:sz w:val="19"/>
              </w:rPr>
              <w:t>1.22</w:t>
            </w:r>
          </w:p>
        </w:tc>
        <w:tc>
          <w:tcPr>
            <w:tcW w:w="4320" w:type="dxa"/>
            <w:shd w:val="clear" w:color="auto" w:fill="FFFFFF"/>
            <w:tcMar>
              <w:top w:w="100" w:type="dxa"/>
              <w:left w:w="105" w:type="dxa"/>
              <w:bottom w:w="100" w:type="dxa"/>
              <w:right w:w="105" w:type="dxa"/>
            </w:tcMar>
            <w:vAlign w:val="center"/>
          </w:tcPr>
          <w:p w14:paraId="2C26B9F3" w14:textId="77777777" w:rsidR="006A4D66" w:rsidRDefault="00000000">
            <w:r>
              <w:rPr>
                <w:color w:val="000000"/>
                <w:sz w:val="19"/>
              </w:rPr>
              <w:t>Return-to-volatility measure using the available risk-free proxy</w:t>
            </w:r>
          </w:p>
        </w:tc>
      </w:tr>
      <w:tr w:rsidR="006A4D66" w14:paraId="2D1A6E12" w14:textId="77777777">
        <w:trPr>
          <w:jc w:val="center"/>
        </w:trPr>
        <w:tc>
          <w:tcPr>
            <w:tcW w:w="3312" w:type="dxa"/>
            <w:shd w:val="clear" w:color="auto" w:fill="FFFFFF"/>
            <w:tcMar>
              <w:top w:w="100" w:type="dxa"/>
              <w:left w:w="105" w:type="dxa"/>
              <w:bottom w:w="100" w:type="dxa"/>
              <w:right w:w="105" w:type="dxa"/>
            </w:tcMar>
            <w:vAlign w:val="center"/>
          </w:tcPr>
          <w:p w14:paraId="11B2809A" w14:textId="77777777" w:rsidR="006A4D66" w:rsidRDefault="00000000">
            <w:r>
              <w:rPr>
                <w:color w:val="000000"/>
                <w:sz w:val="19"/>
              </w:rPr>
              <w:t>Real data coverage</w:t>
            </w:r>
          </w:p>
        </w:tc>
        <w:tc>
          <w:tcPr>
            <w:tcW w:w="2304" w:type="dxa"/>
            <w:shd w:val="clear" w:color="auto" w:fill="FFFFFF"/>
            <w:tcMar>
              <w:top w:w="100" w:type="dxa"/>
              <w:left w:w="105" w:type="dxa"/>
              <w:bottom w:w="100" w:type="dxa"/>
              <w:right w:w="105" w:type="dxa"/>
            </w:tcMar>
            <w:vAlign w:val="center"/>
          </w:tcPr>
          <w:p w14:paraId="07FC5849" w14:textId="77777777" w:rsidR="006A4D66" w:rsidRDefault="00000000">
            <w:r>
              <w:rPr>
                <w:color w:val="000000"/>
                <w:sz w:val="19"/>
              </w:rPr>
              <w:t>100.0%</w:t>
            </w:r>
          </w:p>
        </w:tc>
        <w:tc>
          <w:tcPr>
            <w:tcW w:w="4320" w:type="dxa"/>
            <w:shd w:val="clear" w:color="auto" w:fill="FFFFFF"/>
            <w:tcMar>
              <w:top w:w="100" w:type="dxa"/>
              <w:left w:w="105" w:type="dxa"/>
              <w:bottom w:w="100" w:type="dxa"/>
              <w:right w:w="105" w:type="dxa"/>
            </w:tcMar>
            <w:vAlign w:val="center"/>
          </w:tcPr>
          <w:p w14:paraId="76D38ECE" w14:textId="77777777" w:rsidR="006A4D66" w:rsidRDefault="00000000">
            <w:r>
              <w:rPr>
                <w:color w:val="000000"/>
                <w:sz w:val="19"/>
              </w:rPr>
              <w:t>Mapped proxy series use committed real monthly data</w:t>
            </w:r>
          </w:p>
        </w:tc>
      </w:tr>
      <w:tr w:rsidR="006A4D66" w14:paraId="45D6A48C" w14:textId="77777777">
        <w:trPr>
          <w:jc w:val="center"/>
        </w:trPr>
        <w:tc>
          <w:tcPr>
            <w:tcW w:w="3312" w:type="dxa"/>
            <w:shd w:val="clear" w:color="auto" w:fill="FFFFFF"/>
            <w:tcMar>
              <w:top w:w="100" w:type="dxa"/>
              <w:left w:w="105" w:type="dxa"/>
              <w:bottom w:w="100" w:type="dxa"/>
              <w:right w:w="105" w:type="dxa"/>
            </w:tcMar>
            <w:vAlign w:val="center"/>
          </w:tcPr>
          <w:p w14:paraId="69FD7E54" w14:textId="77777777" w:rsidR="006A4D66" w:rsidRDefault="00000000">
            <w:r>
              <w:rPr>
                <w:color w:val="000000"/>
                <w:sz w:val="19"/>
              </w:rPr>
              <w:t>Proxy tickers</w:t>
            </w:r>
          </w:p>
        </w:tc>
        <w:tc>
          <w:tcPr>
            <w:tcW w:w="2304" w:type="dxa"/>
            <w:shd w:val="clear" w:color="auto" w:fill="FFFFFF"/>
            <w:tcMar>
              <w:top w:w="100" w:type="dxa"/>
              <w:left w:w="105" w:type="dxa"/>
              <w:bottom w:w="100" w:type="dxa"/>
              <w:right w:w="105" w:type="dxa"/>
            </w:tcMar>
            <w:vAlign w:val="center"/>
          </w:tcPr>
          <w:p w14:paraId="3CE45BE5" w14:textId="77777777" w:rsidR="006A4D66" w:rsidRDefault="00000000">
            <w:r>
              <w:rPr>
                <w:color w:val="000000"/>
                <w:sz w:val="19"/>
              </w:rPr>
              <w:t>30</w:t>
            </w:r>
          </w:p>
        </w:tc>
        <w:tc>
          <w:tcPr>
            <w:tcW w:w="4320" w:type="dxa"/>
            <w:shd w:val="clear" w:color="auto" w:fill="FFFFFF"/>
            <w:tcMar>
              <w:top w:w="100" w:type="dxa"/>
              <w:left w:w="105" w:type="dxa"/>
              <w:bottom w:w="100" w:type="dxa"/>
              <w:right w:w="105" w:type="dxa"/>
            </w:tcMar>
            <w:vAlign w:val="center"/>
          </w:tcPr>
          <w:p w14:paraId="1FA631F1" w14:textId="77777777" w:rsidR="006A4D66" w:rsidRDefault="00000000">
            <w:r>
              <w:rPr>
                <w:color w:val="000000"/>
                <w:sz w:val="19"/>
              </w:rPr>
              <w:t>Breadth of market series</w:t>
            </w:r>
          </w:p>
        </w:tc>
      </w:tr>
      <w:tr w:rsidR="006A4D66" w14:paraId="2B295484" w14:textId="77777777">
        <w:trPr>
          <w:jc w:val="center"/>
        </w:trPr>
        <w:tc>
          <w:tcPr>
            <w:tcW w:w="3312" w:type="dxa"/>
            <w:shd w:val="clear" w:color="auto" w:fill="FFFFFF"/>
            <w:tcMar>
              <w:top w:w="100" w:type="dxa"/>
              <w:left w:w="105" w:type="dxa"/>
              <w:bottom w:w="100" w:type="dxa"/>
              <w:right w:w="105" w:type="dxa"/>
            </w:tcMar>
            <w:vAlign w:val="center"/>
          </w:tcPr>
          <w:p w14:paraId="567358F6" w14:textId="77777777" w:rsidR="006A4D66" w:rsidRDefault="00000000">
            <w:r>
              <w:rPr>
                <w:color w:val="000000"/>
                <w:sz w:val="19"/>
              </w:rPr>
              <w:t>Mapped holdings</w:t>
            </w:r>
          </w:p>
        </w:tc>
        <w:tc>
          <w:tcPr>
            <w:tcW w:w="2304" w:type="dxa"/>
            <w:shd w:val="clear" w:color="auto" w:fill="FFFFFF"/>
            <w:tcMar>
              <w:top w:w="100" w:type="dxa"/>
              <w:left w:w="105" w:type="dxa"/>
              <w:bottom w:w="100" w:type="dxa"/>
              <w:right w:w="105" w:type="dxa"/>
            </w:tcMar>
            <w:vAlign w:val="center"/>
          </w:tcPr>
          <w:p w14:paraId="2228C7DC" w14:textId="77777777" w:rsidR="006A4D66" w:rsidRDefault="00000000">
            <w:r>
              <w:rPr>
                <w:color w:val="000000"/>
                <w:sz w:val="19"/>
              </w:rPr>
              <w:t>36</w:t>
            </w:r>
          </w:p>
        </w:tc>
        <w:tc>
          <w:tcPr>
            <w:tcW w:w="4320" w:type="dxa"/>
            <w:shd w:val="clear" w:color="auto" w:fill="FFFFFF"/>
            <w:tcMar>
              <w:top w:w="100" w:type="dxa"/>
              <w:left w:w="105" w:type="dxa"/>
              <w:bottom w:w="100" w:type="dxa"/>
              <w:right w:w="105" w:type="dxa"/>
            </w:tcMar>
            <w:vAlign w:val="center"/>
          </w:tcPr>
          <w:p w14:paraId="11880B61" w14:textId="77777777" w:rsidR="006A4D66" w:rsidRDefault="00000000">
            <w:r>
              <w:rPr>
                <w:color w:val="000000"/>
                <w:sz w:val="19"/>
              </w:rPr>
              <w:t>Holdings represented in the overlay</w:t>
            </w:r>
          </w:p>
        </w:tc>
      </w:tr>
      <w:tr w:rsidR="006A4D66" w14:paraId="005B273E" w14:textId="77777777">
        <w:trPr>
          <w:jc w:val="center"/>
        </w:trPr>
        <w:tc>
          <w:tcPr>
            <w:tcW w:w="3312" w:type="dxa"/>
            <w:shd w:val="clear" w:color="auto" w:fill="FFFFFF"/>
            <w:tcMar>
              <w:top w:w="100" w:type="dxa"/>
              <w:left w:w="105" w:type="dxa"/>
              <w:bottom w:w="100" w:type="dxa"/>
              <w:right w:w="105" w:type="dxa"/>
            </w:tcMar>
            <w:vAlign w:val="center"/>
          </w:tcPr>
          <w:p w14:paraId="6B9C2258" w14:textId="77777777" w:rsidR="006A4D66" w:rsidRDefault="00000000">
            <w:r>
              <w:rPr>
                <w:color w:val="000000"/>
                <w:sz w:val="19"/>
              </w:rPr>
              <w:t>Stress scenarios</w:t>
            </w:r>
          </w:p>
        </w:tc>
        <w:tc>
          <w:tcPr>
            <w:tcW w:w="2304" w:type="dxa"/>
            <w:shd w:val="clear" w:color="auto" w:fill="FFFFFF"/>
            <w:tcMar>
              <w:top w:w="100" w:type="dxa"/>
              <w:left w:w="105" w:type="dxa"/>
              <w:bottom w:w="100" w:type="dxa"/>
              <w:right w:w="105" w:type="dxa"/>
            </w:tcMar>
            <w:vAlign w:val="center"/>
          </w:tcPr>
          <w:p w14:paraId="5FDE745E" w14:textId="77777777" w:rsidR="006A4D66" w:rsidRDefault="00000000">
            <w:r>
              <w:rPr>
                <w:color w:val="000000"/>
                <w:sz w:val="19"/>
              </w:rPr>
              <w:t>5</w:t>
            </w:r>
          </w:p>
        </w:tc>
        <w:tc>
          <w:tcPr>
            <w:tcW w:w="4320" w:type="dxa"/>
            <w:shd w:val="clear" w:color="auto" w:fill="FFFFFF"/>
            <w:tcMar>
              <w:top w:w="100" w:type="dxa"/>
              <w:left w:w="105" w:type="dxa"/>
              <w:bottom w:w="100" w:type="dxa"/>
              <w:right w:w="105" w:type="dxa"/>
            </w:tcMar>
            <w:vAlign w:val="center"/>
          </w:tcPr>
          <w:p w14:paraId="7423114A" w14:textId="77777777" w:rsidR="006A4D66" w:rsidRDefault="00000000">
            <w:r>
              <w:rPr>
                <w:color w:val="000000"/>
                <w:sz w:val="19"/>
              </w:rPr>
              <w:t>Deterministic scenario set</w:t>
            </w:r>
          </w:p>
        </w:tc>
      </w:tr>
    </w:tbl>
    <w:p w14:paraId="43FD2374" w14:textId="77777777" w:rsidR="006A4D66" w:rsidRDefault="006A4D66">
      <w:pPr>
        <w:spacing w:after="120" w:line="259" w:lineRule="auto"/>
      </w:pPr>
    </w:p>
    <w:p w14:paraId="6146003E" w14:textId="77777777" w:rsidR="006A4D66" w:rsidRDefault="00000000">
      <w:pPr>
        <w:pStyle w:val="Heading2"/>
        <w:spacing w:after="120" w:line="259" w:lineRule="auto"/>
      </w:pPr>
      <w:r>
        <w:rPr>
          <w:rFonts w:ascii="Aptos" w:eastAsia="Aptos" w:hAnsi="Aptos"/>
          <w:b w:val="0"/>
          <w:color w:val="172033"/>
          <w:sz w:val="21"/>
        </w:rPr>
        <w:t>7.3 Risk Analytics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016"/>
        <w:gridCol w:w="4032"/>
        <w:gridCol w:w="3888"/>
      </w:tblGrid>
      <w:tr w:rsidR="006A4D66" w14:paraId="2283B9DC" w14:textId="77777777">
        <w:trPr>
          <w:tblHeader/>
          <w:jc w:val="center"/>
        </w:trPr>
        <w:tc>
          <w:tcPr>
            <w:tcW w:w="2016" w:type="dxa"/>
            <w:shd w:val="clear" w:color="auto" w:fill="D9EAF7"/>
            <w:tcMar>
              <w:top w:w="100" w:type="dxa"/>
              <w:left w:w="105" w:type="dxa"/>
              <w:bottom w:w="100" w:type="dxa"/>
              <w:right w:w="105" w:type="dxa"/>
            </w:tcMar>
            <w:vAlign w:val="center"/>
          </w:tcPr>
          <w:p w14:paraId="5584305A" w14:textId="77777777" w:rsidR="006A4D66" w:rsidRDefault="00000000">
            <w:pPr>
              <w:jc w:val="center"/>
            </w:pPr>
            <w:r>
              <w:rPr>
                <w:b/>
                <w:color w:val="000000"/>
                <w:sz w:val="19"/>
              </w:rPr>
              <w:t>Analysis</w:t>
            </w:r>
          </w:p>
        </w:tc>
        <w:tc>
          <w:tcPr>
            <w:tcW w:w="4032" w:type="dxa"/>
            <w:shd w:val="clear" w:color="auto" w:fill="D9EAF7"/>
            <w:tcMar>
              <w:top w:w="100" w:type="dxa"/>
              <w:left w:w="105" w:type="dxa"/>
              <w:bottom w:w="100" w:type="dxa"/>
              <w:right w:w="105" w:type="dxa"/>
            </w:tcMar>
            <w:vAlign w:val="center"/>
          </w:tcPr>
          <w:p w14:paraId="4B3FC0C4" w14:textId="77777777" w:rsidR="006A4D66" w:rsidRDefault="00000000">
            <w:pPr>
              <w:jc w:val="center"/>
            </w:pPr>
            <w:r>
              <w:rPr>
                <w:b/>
                <w:color w:val="000000"/>
                <w:sz w:val="19"/>
              </w:rPr>
              <w:t>Method</w:t>
            </w:r>
          </w:p>
        </w:tc>
        <w:tc>
          <w:tcPr>
            <w:tcW w:w="3888" w:type="dxa"/>
            <w:shd w:val="clear" w:color="auto" w:fill="D9EAF7"/>
            <w:tcMar>
              <w:top w:w="100" w:type="dxa"/>
              <w:left w:w="105" w:type="dxa"/>
              <w:bottom w:w="100" w:type="dxa"/>
              <w:right w:w="105" w:type="dxa"/>
            </w:tcMar>
            <w:vAlign w:val="center"/>
          </w:tcPr>
          <w:p w14:paraId="67D2F166" w14:textId="77777777" w:rsidR="006A4D66" w:rsidRDefault="00000000">
            <w:pPr>
              <w:jc w:val="center"/>
            </w:pPr>
            <w:r>
              <w:rPr>
                <w:b/>
                <w:color w:val="000000"/>
                <w:sz w:val="19"/>
              </w:rPr>
              <w:t>Decision use</w:t>
            </w:r>
          </w:p>
        </w:tc>
      </w:tr>
      <w:tr w:rsidR="006A4D66" w14:paraId="224BEFBC" w14:textId="77777777">
        <w:trPr>
          <w:jc w:val="center"/>
        </w:trPr>
        <w:tc>
          <w:tcPr>
            <w:tcW w:w="2016" w:type="dxa"/>
            <w:shd w:val="clear" w:color="auto" w:fill="FFFFFF"/>
            <w:tcMar>
              <w:top w:w="100" w:type="dxa"/>
              <w:left w:w="105" w:type="dxa"/>
              <w:bottom w:w="100" w:type="dxa"/>
              <w:right w:w="105" w:type="dxa"/>
            </w:tcMar>
            <w:vAlign w:val="center"/>
          </w:tcPr>
          <w:p w14:paraId="327E04AA" w14:textId="77777777" w:rsidR="006A4D66" w:rsidRDefault="00000000">
            <w:r>
              <w:rPr>
                <w:color w:val="000000"/>
                <w:sz w:val="19"/>
              </w:rPr>
              <w:t>Volatility</w:t>
            </w:r>
          </w:p>
        </w:tc>
        <w:tc>
          <w:tcPr>
            <w:tcW w:w="4032" w:type="dxa"/>
            <w:shd w:val="clear" w:color="auto" w:fill="FFFFFF"/>
            <w:tcMar>
              <w:top w:w="100" w:type="dxa"/>
              <w:left w:w="105" w:type="dxa"/>
              <w:bottom w:w="100" w:type="dxa"/>
              <w:right w:w="105" w:type="dxa"/>
            </w:tcMar>
            <w:vAlign w:val="center"/>
          </w:tcPr>
          <w:p w14:paraId="2785BC22" w14:textId="77777777" w:rsidR="006A4D66" w:rsidRDefault="00000000">
            <w:r>
              <w:rPr>
                <w:color w:val="000000"/>
                <w:sz w:val="19"/>
              </w:rPr>
              <w:t>Annualized standard deviation of monthly proxy returns</w:t>
            </w:r>
          </w:p>
        </w:tc>
        <w:tc>
          <w:tcPr>
            <w:tcW w:w="3888" w:type="dxa"/>
            <w:shd w:val="clear" w:color="auto" w:fill="FFFFFF"/>
            <w:tcMar>
              <w:top w:w="100" w:type="dxa"/>
              <w:left w:w="105" w:type="dxa"/>
              <w:bottom w:w="100" w:type="dxa"/>
              <w:right w:w="105" w:type="dxa"/>
            </w:tcMar>
            <w:vAlign w:val="center"/>
          </w:tcPr>
          <w:p w14:paraId="508F3E0A" w14:textId="77777777" w:rsidR="006A4D66" w:rsidRDefault="00000000">
            <w:r>
              <w:rPr>
                <w:color w:val="000000"/>
                <w:sz w:val="19"/>
              </w:rPr>
              <w:t>Compare observable risk intensity across proxies</w:t>
            </w:r>
          </w:p>
        </w:tc>
      </w:tr>
      <w:tr w:rsidR="006A4D66" w14:paraId="4925FE8E" w14:textId="77777777">
        <w:trPr>
          <w:jc w:val="center"/>
        </w:trPr>
        <w:tc>
          <w:tcPr>
            <w:tcW w:w="2016" w:type="dxa"/>
            <w:shd w:val="clear" w:color="auto" w:fill="FFFFFF"/>
            <w:tcMar>
              <w:top w:w="100" w:type="dxa"/>
              <w:left w:w="105" w:type="dxa"/>
              <w:bottom w:w="100" w:type="dxa"/>
              <w:right w:w="105" w:type="dxa"/>
            </w:tcMar>
            <w:vAlign w:val="center"/>
          </w:tcPr>
          <w:p w14:paraId="5638BA90" w14:textId="77777777" w:rsidR="006A4D66" w:rsidRDefault="00000000">
            <w:r>
              <w:rPr>
                <w:color w:val="000000"/>
                <w:sz w:val="19"/>
              </w:rPr>
              <w:t>Drawdown</w:t>
            </w:r>
          </w:p>
        </w:tc>
        <w:tc>
          <w:tcPr>
            <w:tcW w:w="4032" w:type="dxa"/>
            <w:shd w:val="clear" w:color="auto" w:fill="FFFFFF"/>
            <w:tcMar>
              <w:top w:w="100" w:type="dxa"/>
              <w:left w:w="105" w:type="dxa"/>
              <w:bottom w:w="100" w:type="dxa"/>
              <w:right w:w="105" w:type="dxa"/>
            </w:tcMar>
            <w:vAlign w:val="center"/>
          </w:tcPr>
          <w:p w14:paraId="595A1A27" w14:textId="77777777" w:rsidR="006A4D66" w:rsidRDefault="00000000">
            <w:r>
              <w:rPr>
                <w:color w:val="000000"/>
                <w:sz w:val="19"/>
              </w:rPr>
              <w:t>Cumulative peak-to-trough decline</w:t>
            </w:r>
          </w:p>
        </w:tc>
        <w:tc>
          <w:tcPr>
            <w:tcW w:w="3888" w:type="dxa"/>
            <w:shd w:val="clear" w:color="auto" w:fill="FFFFFF"/>
            <w:tcMar>
              <w:top w:w="100" w:type="dxa"/>
              <w:left w:w="105" w:type="dxa"/>
              <w:bottom w:w="100" w:type="dxa"/>
              <w:right w:w="105" w:type="dxa"/>
            </w:tcMar>
            <w:vAlign w:val="center"/>
          </w:tcPr>
          <w:p w14:paraId="70AA1CF6" w14:textId="77777777" w:rsidR="006A4D66" w:rsidRDefault="00000000">
            <w:r>
              <w:rPr>
                <w:color w:val="000000"/>
                <w:sz w:val="19"/>
              </w:rPr>
              <w:t>Understand historical loss depth</w:t>
            </w:r>
          </w:p>
        </w:tc>
      </w:tr>
      <w:tr w:rsidR="006A4D66" w14:paraId="032031A8" w14:textId="77777777">
        <w:trPr>
          <w:jc w:val="center"/>
        </w:trPr>
        <w:tc>
          <w:tcPr>
            <w:tcW w:w="2016" w:type="dxa"/>
            <w:shd w:val="clear" w:color="auto" w:fill="FFFFFF"/>
            <w:tcMar>
              <w:top w:w="100" w:type="dxa"/>
              <w:left w:w="105" w:type="dxa"/>
              <w:bottom w:w="100" w:type="dxa"/>
              <w:right w:w="105" w:type="dxa"/>
            </w:tcMar>
            <w:vAlign w:val="center"/>
          </w:tcPr>
          <w:p w14:paraId="51A36AB9" w14:textId="77777777" w:rsidR="006A4D66" w:rsidRDefault="00000000">
            <w:r>
              <w:rPr>
                <w:color w:val="000000"/>
                <w:sz w:val="19"/>
              </w:rPr>
              <w:t>Correlation</w:t>
            </w:r>
          </w:p>
        </w:tc>
        <w:tc>
          <w:tcPr>
            <w:tcW w:w="4032" w:type="dxa"/>
            <w:shd w:val="clear" w:color="auto" w:fill="FFFFFF"/>
            <w:tcMar>
              <w:top w:w="100" w:type="dxa"/>
              <w:left w:w="105" w:type="dxa"/>
              <w:bottom w:w="100" w:type="dxa"/>
              <w:right w:w="105" w:type="dxa"/>
            </w:tcMar>
            <w:vAlign w:val="center"/>
          </w:tcPr>
          <w:p w14:paraId="05420C95" w14:textId="77777777" w:rsidR="006A4D66" w:rsidRDefault="00000000">
            <w:r>
              <w:rPr>
                <w:color w:val="000000"/>
                <w:sz w:val="19"/>
              </w:rPr>
              <w:t>Pairwise correlation of proxy returns</w:t>
            </w:r>
          </w:p>
        </w:tc>
        <w:tc>
          <w:tcPr>
            <w:tcW w:w="3888" w:type="dxa"/>
            <w:shd w:val="clear" w:color="auto" w:fill="FFFFFF"/>
            <w:tcMar>
              <w:top w:w="100" w:type="dxa"/>
              <w:left w:w="105" w:type="dxa"/>
              <w:bottom w:w="100" w:type="dxa"/>
              <w:right w:w="105" w:type="dxa"/>
            </w:tcMar>
            <w:vAlign w:val="center"/>
          </w:tcPr>
          <w:p w14:paraId="51E96DA5" w14:textId="77777777" w:rsidR="006A4D66" w:rsidRDefault="00000000">
            <w:r>
              <w:rPr>
                <w:color w:val="000000"/>
                <w:sz w:val="19"/>
              </w:rPr>
              <w:t>Identify concentration and diversification behavior</w:t>
            </w:r>
          </w:p>
        </w:tc>
      </w:tr>
      <w:tr w:rsidR="006A4D66" w14:paraId="0EE64F42" w14:textId="77777777">
        <w:trPr>
          <w:jc w:val="center"/>
        </w:trPr>
        <w:tc>
          <w:tcPr>
            <w:tcW w:w="2016" w:type="dxa"/>
            <w:shd w:val="clear" w:color="auto" w:fill="FFFFFF"/>
            <w:tcMar>
              <w:top w:w="100" w:type="dxa"/>
              <w:left w:w="105" w:type="dxa"/>
              <w:bottom w:w="100" w:type="dxa"/>
              <w:right w:w="105" w:type="dxa"/>
            </w:tcMar>
            <w:vAlign w:val="center"/>
          </w:tcPr>
          <w:p w14:paraId="051D9DED" w14:textId="77777777" w:rsidR="006A4D66" w:rsidRDefault="00000000">
            <w:r>
              <w:rPr>
                <w:color w:val="000000"/>
                <w:sz w:val="19"/>
              </w:rPr>
              <w:t>Stress testing</w:t>
            </w:r>
          </w:p>
        </w:tc>
        <w:tc>
          <w:tcPr>
            <w:tcW w:w="4032" w:type="dxa"/>
            <w:shd w:val="clear" w:color="auto" w:fill="FFFFFF"/>
            <w:tcMar>
              <w:top w:w="100" w:type="dxa"/>
              <w:left w:w="105" w:type="dxa"/>
              <w:bottom w:w="100" w:type="dxa"/>
              <w:right w:w="105" w:type="dxa"/>
            </w:tcMar>
            <w:vAlign w:val="center"/>
          </w:tcPr>
          <w:p w14:paraId="5C4040CD" w14:textId="77777777" w:rsidR="006A4D66" w:rsidRDefault="00000000">
            <w:r>
              <w:rPr>
                <w:color w:val="000000"/>
                <w:sz w:val="19"/>
              </w:rPr>
              <w:t>Scenario return assumptions by exposure category</w:t>
            </w:r>
          </w:p>
        </w:tc>
        <w:tc>
          <w:tcPr>
            <w:tcW w:w="3888" w:type="dxa"/>
            <w:shd w:val="clear" w:color="auto" w:fill="FFFFFF"/>
            <w:tcMar>
              <w:top w:w="100" w:type="dxa"/>
              <w:left w:w="105" w:type="dxa"/>
              <w:bottom w:w="100" w:type="dxa"/>
              <w:right w:w="105" w:type="dxa"/>
            </w:tcMar>
            <w:vAlign w:val="center"/>
          </w:tcPr>
          <w:p w14:paraId="2802CFB0" w14:textId="77777777" w:rsidR="006A4D66" w:rsidRDefault="00000000">
            <w:r>
              <w:rPr>
                <w:color w:val="000000"/>
                <w:sz w:val="19"/>
              </w:rPr>
              <w:t>Estimate directional sensitivity under adverse conditions</w:t>
            </w:r>
          </w:p>
        </w:tc>
      </w:tr>
      <w:tr w:rsidR="006A4D66" w14:paraId="710BB6C7" w14:textId="77777777">
        <w:trPr>
          <w:jc w:val="center"/>
        </w:trPr>
        <w:tc>
          <w:tcPr>
            <w:tcW w:w="2016" w:type="dxa"/>
            <w:shd w:val="clear" w:color="auto" w:fill="FFFFFF"/>
            <w:tcMar>
              <w:top w:w="100" w:type="dxa"/>
              <w:left w:w="105" w:type="dxa"/>
              <w:bottom w:w="100" w:type="dxa"/>
              <w:right w:w="105" w:type="dxa"/>
            </w:tcMar>
            <w:vAlign w:val="center"/>
          </w:tcPr>
          <w:p w14:paraId="347B52EC" w14:textId="77777777" w:rsidR="006A4D66" w:rsidRDefault="00000000">
            <w:r>
              <w:rPr>
                <w:color w:val="000000"/>
                <w:sz w:val="19"/>
              </w:rPr>
              <w:t>Risk dimensions</w:t>
            </w:r>
          </w:p>
        </w:tc>
        <w:tc>
          <w:tcPr>
            <w:tcW w:w="4032" w:type="dxa"/>
            <w:shd w:val="clear" w:color="auto" w:fill="FFFFFF"/>
            <w:tcMar>
              <w:top w:w="100" w:type="dxa"/>
              <w:left w:w="105" w:type="dxa"/>
              <w:bottom w:w="100" w:type="dxa"/>
              <w:right w:w="105" w:type="dxa"/>
            </w:tcMar>
            <w:vAlign w:val="center"/>
          </w:tcPr>
          <w:p w14:paraId="7A28E732" w14:textId="77777777" w:rsidR="006A4D66" w:rsidRDefault="00000000">
            <w:r>
              <w:rPr>
                <w:color w:val="000000"/>
                <w:sz w:val="19"/>
              </w:rPr>
              <w:t>Aggregation by asset class, sector, region, liquidity, and proxy</w:t>
            </w:r>
          </w:p>
        </w:tc>
        <w:tc>
          <w:tcPr>
            <w:tcW w:w="3888" w:type="dxa"/>
            <w:shd w:val="clear" w:color="auto" w:fill="FFFFFF"/>
            <w:tcMar>
              <w:top w:w="100" w:type="dxa"/>
              <w:left w:w="105" w:type="dxa"/>
              <w:bottom w:w="100" w:type="dxa"/>
              <w:right w:w="105" w:type="dxa"/>
            </w:tcMar>
            <w:vAlign w:val="center"/>
          </w:tcPr>
          <w:p w14:paraId="0E3A639A" w14:textId="77777777" w:rsidR="006A4D66" w:rsidRDefault="00000000">
            <w:r>
              <w:rPr>
                <w:color w:val="000000"/>
                <w:sz w:val="19"/>
              </w:rPr>
              <w:t>Connect risk to portfolio structure</w:t>
            </w:r>
          </w:p>
        </w:tc>
      </w:tr>
    </w:tbl>
    <w:p w14:paraId="696FD418" w14:textId="77777777" w:rsidR="006A4D66" w:rsidRDefault="006A4D66">
      <w:pPr>
        <w:spacing w:after="120" w:line="259" w:lineRule="auto"/>
      </w:pPr>
    </w:p>
    <w:p w14:paraId="02289AD4" w14:textId="77777777" w:rsidR="006A4D66" w:rsidRDefault="00000000">
      <w:pPr>
        <w:pStyle w:val="Heading2"/>
        <w:spacing w:after="120" w:line="259" w:lineRule="auto"/>
      </w:pPr>
      <w:r>
        <w:rPr>
          <w:rFonts w:ascii="Aptos" w:eastAsia="Aptos" w:hAnsi="Aptos"/>
          <w:b w:val="0"/>
          <w:color w:val="172033"/>
          <w:sz w:val="21"/>
        </w:rPr>
        <w:t>7.4 Interpretation Limits</w:t>
      </w:r>
    </w:p>
    <w:p w14:paraId="6AC85F06" w14:textId="77777777" w:rsidR="006A4D66" w:rsidRDefault="00000000">
      <w:pPr>
        <w:pStyle w:val="ListBullet"/>
        <w:spacing w:line="259" w:lineRule="auto"/>
      </w:pPr>
      <w:r>
        <w:rPr>
          <w:rFonts w:ascii="Aptos" w:eastAsia="Aptos" w:hAnsi="Aptos"/>
          <w:color w:val="172033"/>
          <w:sz w:val="21"/>
        </w:rPr>
        <w:t>Private assets are appraisal-based, infrequently valued, and subject to smoothing; public proxies can overstate short-term volatility while understating idiosyncratic private risk.</w:t>
      </w:r>
    </w:p>
    <w:p w14:paraId="23F2693D" w14:textId="77777777" w:rsidR="006A4D66" w:rsidRDefault="00000000">
      <w:pPr>
        <w:pStyle w:val="ListBullet"/>
        <w:spacing w:line="259" w:lineRule="auto"/>
      </w:pPr>
      <w:r>
        <w:rPr>
          <w:rFonts w:ascii="Aptos" w:eastAsia="Aptos" w:hAnsi="Aptos"/>
          <w:color w:val="172033"/>
          <w:sz w:val="21"/>
        </w:rPr>
        <w:t>Proxy mapping creates basis risk because a liquid index cannot reproduce manager selection, leverage, fees, vintage, geography, or cash-flow timing.</w:t>
      </w:r>
    </w:p>
    <w:p w14:paraId="25BBFD89" w14:textId="77777777" w:rsidR="006A4D66" w:rsidRDefault="00000000">
      <w:pPr>
        <w:pStyle w:val="ListBullet"/>
        <w:spacing w:line="259" w:lineRule="auto"/>
      </w:pPr>
      <w:r>
        <w:rPr>
          <w:rFonts w:ascii="Aptos" w:eastAsia="Aptos" w:hAnsi="Aptos"/>
          <w:color w:val="172033"/>
          <w:sz w:val="21"/>
        </w:rPr>
        <w:t>Historical correlations can change during market stress and should not be treated as stable parameters.</w:t>
      </w:r>
    </w:p>
    <w:p w14:paraId="37FA4956" w14:textId="77777777" w:rsidR="006A4D66" w:rsidRDefault="00000000">
      <w:pPr>
        <w:pStyle w:val="ListBullet"/>
        <w:spacing w:line="259" w:lineRule="auto"/>
      </w:pPr>
      <w:r>
        <w:rPr>
          <w:rFonts w:ascii="Aptos" w:eastAsia="Aptos" w:hAnsi="Aptos"/>
          <w:color w:val="172033"/>
          <w:sz w:val="21"/>
        </w:rPr>
        <w:lastRenderedPageBreak/>
        <w:t>Scenario returns are transparent assumptions, not forecasts or investment recommendations.</w:t>
      </w:r>
    </w:p>
    <w:p w14:paraId="17DC368C" w14:textId="77777777" w:rsidR="006A4D66" w:rsidRDefault="00000000">
      <w:pPr>
        <w:pStyle w:val="ListBullet"/>
        <w:spacing w:line="259" w:lineRule="auto"/>
      </w:pPr>
      <w:r>
        <w:rPr>
          <w:rFonts w:ascii="Aptos" w:eastAsia="Aptos" w:hAnsi="Aptos"/>
          <w:color w:val="172033"/>
          <w:sz w:val="21"/>
        </w:rPr>
        <w:t>The module excludes full look-through exposure, derivative Greeks, tax and entity constraints, and production liquidity modeling.</w:t>
      </w:r>
    </w:p>
    <w:p w14:paraId="76254537" w14:textId="77777777" w:rsidR="006A4D66" w:rsidRDefault="00000000">
      <w:pPr>
        <w:pStyle w:val="Heading2"/>
        <w:spacing w:after="120" w:line="259" w:lineRule="auto"/>
      </w:pPr>
      <w:r>
        <w:rPr>
          <w:rFonts w:ascii="Aptos" w:eastAsia="Aptos" w:hAnsi="Aptos"/>
          <w:b w:val="0"/>
          <w:color w:val="172033"/>
          <w:sz w:val="21"/>
        </w:rPr>
        <w:t>7.5 Data Governance and Human Oversight</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016"/>
        <w:gridCol w:w="4032"/>
        <w:gridCol w:w="3888"/>
      </w:tblGrid>
      <w:tr w:rsidR="006A4D66" w14:paraId="54D4B8BE" w14:textId="77777777">
        <w:trPr>
          <w:tblHeader/>
          <w:jc w:val="center"/>
        </w:trPr>
        <w:tc>
          <w:tcPr>
            <w:tcW w:w="2016" w:type="dxa"/>
            <w:shd w:val="clear" w:color="auto" w:fill="D9EAF7"/>
            <w:tcMar>
              <w:top w:w="100" w:type="dxa"/>
              <w:left w:w="105" w:type="dxa"/>
              <w:bottom w:w="100" w:type="dxa"/>
              <w:right w:w="105" w:type="dxa"/>
            </w:tcMar>
            <w:vAlign w:val="center"/>
          </w:tcPr>
          <w:p w14:paraId="0EDD3D34" w14:textId="77777777" w:rsidR="006A4D66" w:rsidRDefault="00000000">
            <w:pPr>
              <w:jc w:val="center"/>
            </w:pPr>
            <w:r>
              <w:rPr>
                <w:b/>
                <w:color w:val="000000"/>
                <w:sz w:val="19"/>
              </w:rPr>
              <w:t>Control layer</w:t>
            </w:r>
          </w:p>
        </w:tc>
        <w:tc>
          <w:tcPr>
            <w:tcW w:w="4032" w:type="dxa"/>
            <w:shd w:val="clear" w:color="auto" w:fill="D9EAF7"/>
            <w:tcMar>
              <w:top w:w="100" w:type="dxa"/>
              <w:left w:w="105" w:type="dxa"/>
              <w:bottom w:w="100" w:type="dxa"/>
              <w:right w:w="105" w:type="dxa"/>
            </w:tcMar>
            <w:vAlign w:val="center"/>
          </w:tcPr>
          <w:p w14:paraId="5881AEDC" w14:textId="77777777" w:rsidR="006A4D66" w:rsidRDefault="00000000">
            <w:pPr>
              <w:jc w:val="center"/>
            </w:pPr>
            <w:r>
              <w:rPr>
                <w:b/>
                <w:color w:val="000000"/>
                <w:sz w:val="19"/>
              </w:rPr>
              <w:t>Prototype implementation</w:t>
            </w:r>
          </w:p>
        </w:tc>
        <w:tc>
          <w:tcPr>
            <w:tcW w:w="3888" w:type="dxa"/>
            <w:shd w:val="clear" w:color="auto" w:fill="D9EAF7"/>
            <w:tcMar>
              <w:top w:w="100" w:type="dxa"/>
              <w:left w:w="105" w:type="dxa"/>
              <w:bottom w:w="100" w:type="dxa"/>
              <w:right w:w="105" w:type="dxa"/>
            </w:tcMar>
            <w:vAlign w:val="center"/>
          </w:tcPr>
          <w:p w14:paraId="021E05E4" w14:textId="77777777" w:rsidR="006A4D66" w:rsidRDefault="00000000">
            <w:pPr>
              <w:jc w:val="center"/>
            </w:pPr>
            <w:r>
              <w:rPr>
                <w:b/>
                <w:color w:val="000000"/>
                <w:sz w:val="19"/>
              </w:rPr>
              <w:t>Production requirement</w:t>
            </w:r>
          </w:p>
        </w:tc>
      </w:tr>
      <w:tr w:rsidR="006A4D66" w14:paraId="56DACC4E" w14:textId="77777777">
        <w:trPr>
          <w:jc w:val="center"/>
        </w:trPr>
        <w:tc>
          <w:tcPr>
            <w:tcW w:w="2016" w:type="dxa"/>
            <w:shd w:val="clear" w:color="auto" w:fill="FFFFFF"/>
            <w:tcMar>
              <w:top w:w="100" w:type="dxa"/>
              <w:left w:w="105" w:type="dxa"/>
              <w:bottom w:w="100" w:type="dxa"/>
              <w:right w:w="105" w:type="dxa"/>
            </w:tcMar>
            <w:vAlign w:val="center"/>
          </w:tcPr>
          <w:p w14:paraId="7FC044B6" w14:textId="77777777" w:rsidR="006A4D66" w:rsidRDefault="00000000">
            <w:r>
              <w:rPr>
                <w:color w:val="000000"/>
                <w:sz w:val="19"/>
              </w:rPr>
              <w:t>Data lineage</w:t>
            </w:r>
          </w:p>
        </w:tc>
        <w:tc>
          <w:tcPr>
            <w:tcW w:w="4032" w:type="dxa"/>
            <w:shd w:val="clear" w:color="auto" w:fill="FFFFFF"/>
            <w:tcMar>
              <w:top w:w="100" w:type="dxa"/>
              <w:left w:w="105" w:type="dxa"/>
              <w:bottom w:w="100" w:type="dxa"/>
              <w:right w:w="105" w:type="dxa"/>
            </w:tcMar>
            <w:vAlign w:val="center"/>
          </w:tcPr>
          <w:p w14:paraId="0E18FC59" w14:textId="77777777" w:rsidR="006A4D66" w:rsidRDefault="00000000">
            <w:r>
              <w:rPr>
                <w:color w:val="000000"/>
                <w:sz w:val="19"/>
              </w:rPr>
              <w:t>Document IDs, extraction mode, source tables, update reason</w:t>
            </w:r>
          </w:p>
        </w:tc>
        <w:tc>
          <w:tcPr>
            <w:tcW w:w="3888" w:type="dxa"/>
            <w:shd w:val="clear" w:color="auto" w:fill="FFFFFF"/>
            <w:tcMar>
              <w:top w:w="100" w:type="dxa"/>
              <w:left w:w="105" w:type="dxa"/>
              <w:bottom w:w="100" w:type="dxa"/>
              <w:right w:w="105" w:type="dxa"/>
            </w:tcMar>
            <w:vAlign w:val="center"/>
          </w:tcPr>
          <w:p w14:paraId="6F9589F7" w14:textId="77777777" w:rsidR="006A4D66" w:rsidRDefault="00000000">
            <w:r>
              <w:rPr>
                <w:color w:val="000000"/>
                <w:sz w:val="19"/>
              </w:rPr>
              <w:t>Immutable lineage, catalog, retention, and reconciliation ownership</w:t>
            </w:r>
          </w:p>
        </w:tc>
      </w:tr>
      <w:tr w:rsidR="006A4D66" w14:paraId="37705E6D" w14:textId="77777777">
        <w:trPr>
          <w:jc w:val="center"/>
        </w:trPr>
        <w:tc>
          <w:tcPr>
            <w:tcW w:w="2016" w:type="dxa"/>
            <w:shd w:val="clear" w:color="auto" w:fill="FFFFFF"/>
            <w:tcMar>
              <w:top w:w="100" w:type="dxa"/>
              <w:left w:w="105" w:type="dxa"/>
              <w:bottom w:w="100" w:type="dxa"/>
              <w:right w:w="105" w:type="dxa"/>
            </w:tcMar>
            <w:vAlign w:val="center"/>
          </w:tcPr>
          <w:p w14:paraId="22DCA4AE" w14:textId="77777777" w:rsidR="006A4D66" w:rsidRDefault="00000000">
            <w:r>
              <w:rPr>
                <w:color w:val="000000"/>
                <w:sz w:val="19"/>
              </w:rPr>
              <w:t>Privacy</w:t>
            </w:r>
          </w:p>
        </w:tc>
        <w:tc>
          <w:tcPr>
            <w:tcW w:w="4032" w:type="dxa"/>
            <w:shd w:val="clear" w:color="auto" w:fill="FFFFFF"/>
            <w:tcMar>
              <w:top w:w="100" w:type="dxa"/>
              <w:left w:w="105" w:type="dxa"/>
              <w:bottom w:w="100" w:type="dxa"/>
              <w:right w:w="105" w:type="dxa"/>
            </w:tcMar>
            <w:vAlign w:val="center"/>
          </w:tcPr>
          <w:p w14:paraId="05A6609C" w14:textId="77777777" w:rsidR="006A4D66" w:rsidRDefault="00000000">
            <w:r>
              <w:rPr>
                <w:color w:val="000000"/>
                <w:sz w:val="19"/>
              </w:rPr>
              <w:t>Synthetic data only</w:t>
            </w:r>
          </w:p>
        </w:tc>
        <w:tc>
          <w:tcPr>
            <w:tcW w:w="3888" w:type="dxa"/>
            <w:shd w:val="clear" w:color="auto" w:fill="FFFFFF"/>
            <w:tcMar>
              <w:top w:w="100" w:type="dxa"/>
              <w:left w:w="105" w:type="dxa"/>
              <w:bottom w:w="100" w:type="dxa"/>
              <w:right w:w="105" w:type="dxa"/>
            </w:tcMar>
            <w:vAlign w:val="center"/>
          </w:tcPr>
          <w:p w14:paraId="5AD4F964" w14:textId="77777777" w:rsidR="006A4D66" w:rsidRDefault="00000000">
            <w:r>
              <w:rPr>
                <w:color w:val="000000"/>
                <w:sz w:val="19"/>
              </w:rPr>
              <w:t>Encryption, access control, data minimization, vendor review</w:t>
            </w:r>
          </w:p>
        </w:tc>
      </w:tr>
      <w:tr w:rsidR="006A4D66" w14:paraId="3B982FA3" w14:textId="77777777">
        <w:trPr>
          <w:jc w:val="center"/>
        </w:trPr>
        <w:tc>
          <w:tcPr>
            <w:tcW w:w="2016" w:type="dxa"/>
            <w:shd w:val="clear" w:color="auto" w:fill="FFFFFF"/>
            <w:tcMar>
              <w:top w:w="100" w:type="dxa"/>
              <w:left w:w="105" w:type="dxa"/>
              <w:bottom w:w="100" w:type="dxa"/>
              <w:right w:w="105" w:type="dxa"/>
            </w:tcMar>
            <w:vAlign w:val="center"/>
          </w:tcPr>
          <w:p w14:paraId="6CE3410E" w14:textId="77777777" w:rsidR="006A4D66" w:rsidRDefault="00000000">
            <w:r>
              <w:rPr>
                <w:color w:val="000000"/>
                <w:sz w:val="19"/>
              </w:rPr>
              <w:t>Human review</w:t>
            </w:r>
          </w:p>
        </w:tc>
        <w:tc>
          <w:tcPr>
            <w:tcW w:w="4032" w:type="dxa"/>
            <w:shd w:val="clear" w:color="auto" w:fill="FFFFFF"/>
            <w:tcMar>
              <w:top w:w="100" w:type="dxa"/>
              <w:left w:w="105" w:type="dxa"/>
              <w:bottom w:w="100" w:type="dxa"/>
              <w:right w:w="105" w:type="dxa"/>
            </w:tcMar>
            <w:vAlign w:val="center"/>
          </w:tcPr>
          <w:p w14:paraId="65439E89" w14:textId="77777777" w:rsidR="006A4D66" w:rsidRDefault="00000000">
            <w:r>
              <w:rPr>
                <w:color w:val="000000"/>
                <w:sz w:val="19"/>
              </w:rPr>
              <w:t>Needs-review and rejected states block update</w:t>
            </w:r>
          </w:p>
        </w:tc>
        <w:tc>
          <w:tcPr>
            <w:tcW w:w="3888" w:type="dxa"/>
            <w:shd w:val="clear" w:color="auto" w:fill="FFFFFF"/>
            <w:tcMar>
              <w:top w:w="100" w:type="dxa"/>
              <w:left w:w="105" w:type="dxa"/>
              <w:bottom w:w="100" w:type="dxa"/>
              <w:right w:w="105" w:type="dxa"/>
            </w:tcMar>
            <w:vAlign w:val="center"/>
          </w:tcPr>
          <w:p w14:paraId="6E25CF8C" w14:textId="77777777" w:rsidR="006A4D66" w:rsidRDefault="00000000">
            <w:r>
              <w:rPr>
                <w:color w:val="000000"/>
                <w:sz w:val="19"/>
              </w:rPr>
              <w:t>Maker-checker workflow, segregation of duties, approval thresholds</w:t>
            </w:r>
          </w:p>
        </w:tc>
      </w:tr>
      <w:tr w:rsidR="006A4D66" w14:paraId="574C0482" w14:textId="77777777">
        <w:trPr>
          <w:jc w:val="center"/>
        </w:trPr>
        <w:tc>
          <w:tcPr>
            <w:tcW w:w="2016" w:type="dxa"/>
            <w:shd w:val="clear" w:color="auto" w:fill="FFFFFF"/>
            <w:tcMar>
              <w:top w:w="100" w:type="dxa"/>
              <w:left w:w="105" w:type="dxa"/>
              <w:bottom w:w="100" w:type="dxa"/>
              <w:right w:w="105" w:type="dxa"/>
            </w:tcMar>
            <w:vAlign w:val="center"/>
          </w:tcPr>
          <w:p w14:paraId="58684AC4" w14:textId="77777777" w:rsidR="006A4D66" w:rsidRDefault="00000000">
            <w:r>
              <w:rPr>
                <w:color w:val="000000"/>
                <w:sz w:val="19"/>
              </w:rPr>
              <w:t>Model risk</w:t>
            </w:r>
          </w:p>
        </w:tc>
        <w:tc>
          <w:tcPr>
            <w:tcW w:w="4032" w:type="dxa"/>
            <w:shd w:val="clear" w:color="auto" w:fill="FFFFFF"/>
            <w:tcMar>
              <w:top w:w="100" w:type="dxa"/>
              <w:left w:w="105" w:type="dxa"/>
              <w:bottom w:w="100" w:type="dxa"/>
              <w:right w:w="105" w:type="dxa"/>
            </w:tcMar>
            <w:vAlign w:val="center"/>
          </w:tcPr>
          <w:p w14:paraId="34093724" w14:textId="77777777" w:rsidR="006A4D66" w:rsidRDefault="00000000">
            <w:r>
              <w:rPr>
                <w:color w:val="000000"/>
                <w:sz w:val="19"/>
              </w:rPr>
              <w:t>Baseline reproducibility and optional LLM comparison</w:t>
            </w:r>
          </w:p>
        </w:tc>
        <w:tc>
          <w:tcPr>
            <w:tcW w:w="3888" w:type="dxa"/>
            <w:shd w:val="clear" w:color="auto" w:fill="FFFFFF"/>
            <w:tcMar>
              <w:top w:w="100" w:type="dxa"/>
              <w:left w:w="105" w:type="dxa"/>
              <w:bottom w:w="100" w:type="dxa"/>
              <w:right w:w="105" w:type="dxa"/>
            </w:tcMar>
            <w:vAlign w:val="center"/>
          </w:tcPr>
          <w:p w14:paraId="6095362B" w14:textId="77777777" w:rsidR="006A4D66" w:rsidRDefault="00000000">
            <w:r>
              <w:rPr>
                <w:color w:val="000000"/>
                <w:sz w:val="19"/>
              </w:rPr>
              <w:t>Field-level benchmark, drift monitoring, prompt/model versioning</w:t>
            </w:r>
          </w:p>
        </w:tc>
      </w:tr>
      <w:tr w:rsidR="006A4D66" w14:paraId="42CC163E" w14:textId="77777777">
        <w:trPr>
          <w:jc w:val="center"/>
        </w:trPr>
        <w:tc>
          <w:tcPr>
            <w:tcW w:w="2016" w:type="dxa"/>
            <w:shd w:val="clear" w:color="auto" w:fill="FFFFFF"/>
            <w:tcMar>
              <w:top w:w="100" w:type="dxa"/>
              <w:left w:w="105" w:type="dxa"/>
              <w:bottom w:w="100" w:type="dxa"/>
              <w:right w:w="105" w:type="dxa"/>
            </w:tcMar>
            <w:vAlign w:val="center"/>
          </w:tcPr>
          <w:p w14:paraId="1A55D6DB" w14:textId="77777777" w:rsidR="006A4D66" w:rsidRDefault="00000000">
            <w:r>
              <w:rPr>
                <w:color w:val="000000"/>
                <w:sz w:val="19"/>
              </w:rPr>
              <w:t>Operational resilience</w:t>
            </w:r>
          </w:p>
        </w:tc>
        <w:tc>
          <w:tcPr>
            <w:tcW w:w="4032" w:type="dxa"/>
            <w:shd w:val="clear" w:color="auto" w:fill="FFFFFF"/>
            <w:tcMar>
              <w:top w:w="100" w:type="dxa"/>
              <w:left w:w="105" w:type="dxa"/>
              <w:bottom w:w="100" w:type="dxa"/>
              <w:right w:w="105" w:type="dxa"/>
            </w:tcMar>
            <w:vAlign w:val="center"/>
          </w:tcPr>
          <w:p w14:paraId="6A204B0D" w14:textId="77777777" w:rsidR="006A4D66" w:rsidRDefault="00000000">
            <w:r>
              <w:rPr>
                <w:color w:val="000000"/>
                <w:sz w:val="19"/>
              </w:rPr>
              <w:t>Explicit errors and deterministic demo commands</w:t>
            </w:r>
          </w:p>
        </w:tc>
        <w:tc>
          <w:tcPr>
            <w:tcW w:w="3888" w:type="dxa"/>
            <w:shd w:val="clear" w:color="auto" w:fill="FFFFFF"/>
            <w:tcMar>
              <w:top w:w="100" w:type="dxa"/>
              <w:left w:w="105" w:type="dxa"/>
              <w:bottom w:w="100" w:type="dxa"/>
              <w:right w:w="105" w:type="dxa"/>
            </w:tcMar>
            <w:vAlign w:val="center"/>
          </w:tcPr>
          <w:p w14:paraId="73EC141A" w14:textId="77777777" w:rsidR="006A4D66" w:rsidRDefault="00000000">
            <w:r>
              <w:rPr>
                <w:color w:val="000000"/>
                <w:sz w:val="19"/>
              </w:rPr>
              <w:t>Monitoring, retries, incident response, backups, recovery objectives</w:t>
            </w:r>
          </w:p>
        </w:tc>
      </w:tr>
    </w:tbl>
    <w:p w14:paraId="2A7E1879" w14:textId="77777777" w:rsidR="006A4D66" w:rsidRDefault="006A4D66">
      <w:pPr>
        <w:spacing w:after="120" w:line="259" w:lineRule="auto"/>
      </w:pPr>
    </w:p>
    <w:p w14:paraId="427DAC87" w14:textId="77777777" w:rsidR="006A4D66" w:rsidRDefault="00000000">
      <w:pPr>
        <w:pStyle w:val="Heading2"/>
        <w:spacing w:after="120" w:line="259" w:lineRule="auto"/>
      </w:pPr>
      <w:r>
        <w:rPr>
          <w:rFonts w:ascii="Aptos" w:eastAsia="Aptos" w:hAnsi="Aptos"/>
          <w:b w:val="0"/>
          <w:color w:val="172033"/>
          <w:sz w:val="21"/>
        </w:rPr>
        <w:t>7.6 Governance Conclusion</w:t>
      </w:r>
    </w:p>
    <w:p w14:paraId="6A509753" w14:textId="77777777" w:rsidR="006A4D66" w:rsidRDefault="00000000">
      <w:pPr>
        <w:spacing w:after="120" w:line="259" w:lineRule="auto"/>
      </w:pPr>
      <w:r>
        <w:rPr>
          <w:rFonts w:ascii="Aptos" w:eastAsia="Aptos" w:hAnsi="Aptos"/>
          <w:color w:val="172033"/>
          <w:sz w:val="21"/>
        </w:rPr>
        <w:t>The project’s central governance principle is that extraction quality and authorization are different questions. AI can identify, structure, compare, and escalate information. It should not independently approve a payment, determine an official valuation, or authorize an investment decision. The review queue and approved-only update layer make this boundary visible in both code and dashboard behavior.</w:t>
      </w:r>
    </w:p>
    <w:p w14:paraId="30CA34A7" w14:textId="77777777" w:rsidR="00730BCB" w:rsidRDefault="00AD7534">
      <w:pPr>
        <w:pStyle w:val="Heading1"/>
      </w:pPr>
      <w:r>
        <w:t>8. Process Improvement, ROI Framework, and Implementation Roadmap</w:t>
      </w:r>
    </w:p>
    <w:p w14:paraId="5852BAEA" w14:textId="77777777" w:rsidR="00730BCB" w:rsidRDefault="00730BCB"/>
    <w:p w14:paraId="78D99173" w14:textId="77777777" w:rsidR="006A4D66" w:rsidRDefault="00000000">
      <w:pPr>
        <w:pStyle w:val="Heading2"/>
        <w:spacing w:after="120" w:line="259" w:lineRule="auto"/>
      </w:pPr>
      <w:r>
        <w:rPr>
          <w:rFonts w:ascii="Aptos" w:eastAsia="Aptos" w:hAnsi="Aptos"/>
          <w:b w:val="0"/>
          <w:color w:val="172033"/>
          <w:sz w:val="21"/>
        </w:rPr>
        <w:t>8.1 Current-State vs Future-State Process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160"/>
        <w:gridCol w:w="3888"/>
        <w:gridCol w:w="3888"/>
      </w:tblGrid>
      <w:tr w:rsidR="006A4D66" w14:paraId="37CC4F39" w14:textId="77777777">
        <w:trPr>
          <w:tblHeader/>
          <w:jc w:val="center"/>
        </w:trPr>
        <w:tc>
          <w:tcPr>
            <w:tcW w:w="2160" w:type="dxa"/>
            <w:shd w:val="clear" w:color="auto" w:fill="D9EAF7"/>
            <w:tcMar>
              <w:top w:w="100" w:type="dxa"/>
              <w:left w:w="105" w:type="dxa"/>
              <w:bottom w:w="100" w:type="dxa"/>
              <w:right w:w="105" w:type="dxa"/>
            </w:tcMar>
            <w:vAlign w:val="center"/>
          </w:tcPr>
          <w:p w14:paraId="4DADDEF0" w14:textId="77777777" w:rsidR="006A4D66" w:rsidRDefault="00000000">
            <w:pPr>
              <w:jc w:val="center"/>
            </w:pPr>
            <w:r>
              <w:rPr>
                <w:b/>
                <w:color w:val="000000"/>
                <w:sz w:val="19"/>
              </w:rPr>
              <w:t>Process stage</w:t>
            </w:r>
          </w:p>
        </w:tc>
        <w:tc>
          <w:tcPr>
            <w:tcW w:w="3888" w:type="dxa"/>
            <w:shd w:val="clear" w:color="auto" w:fill="D9EAF7"/>
            <w:tcMar>
              <w:top w:w="100" w:type="dxa"/>
              <w:left w:w="105" w:type="dxa"/>
              <w:bottom w:w="100" w:type="dxa"/>
              <w:right w:w="105" w:type="dxa"/>
            </w:tcMar>
            <w:vAlign w:val="center"/>
          </w:tcPr>
          <w:p w14:paraId="224E8843" w14:textId="77777777" w:rsidR="006A4D66" w:rsidRDefault="00000000">
            <w:pPr>
              <w:jc w:val="center"/>
            </w:pPr>
            <w:r>
              <w:rPr>
                <w:b/>
                <w:color w:val="000000"/>
                <w:sz w:val="19"/>
              </w:rPr>
              <w:t>Typical manual state</w:t>
            </w:r>
          </w:p>
        </w:tc>
        <w:tc>
          <w:tcPr>
            <w:tcW w:w="3888" w:type="dxa"/>
            <w:shd w:val="clear" w:color="auto" w:fill="D9EAF7"/>
            <w:tcMar>
              <w:top w:w="100" w:type="dxa"/>
              <w:left w:w="105" w:type="dxa"/>
              <w:bottom w:w="100" w:type="dxa"/>
              <w:right w:w="105" w:type="dxa"/>
            </w:tcMar>
            <w:vAlign w:val="center"/>
          </w:tcPr>
          <w:p w14:paraId="39CE3B78" w14:textId="77777777" w:rsidR="006A4D66" w:rsidRDefault="00000000">
            <w:pPr>
              <w:jc w:val="center"/>
            </w:pPr>
            <w:r>
              <w:rPr>
                <w:b/>
                <w:color w:val="000000"/>
                <w:sz w:val="19"/>
              </w:rPr>
              <w:t>Prototype-enabled state</w:t>
            </w:r>
          </w:p>
        </w:tc>
      </w:tr>
      <w:tr w:rsidR="006A4D66" w14:paraId="4579FB74" w14:textId="77777777">
        <w:trPr>
          <w:jc w:val="center"/>
        </w:trPr>
        <w:tc>
          <w:tcPr>
            <w:tcW w:w="2160" w:type="dxa"/>
            <w:shd w:val="clear" w:color="auto" w:fill="FFFFFF"/>
            <w:tcMar>
              <w:top w:w="100" w:type="dxa"/>
              <w:left w:w="105" w:type="dxa"/>
              <w:bottom w:w="100" w:type="dxa"/>
              <w:right w:w="105" w:type="dxa"/>
            </w:tcMar>
            <w:vAlign w:val="center"/>
          </w:tcPr>
          <w:p w14:paraId="34081560" w14:textId="77777777" w:rsidR="006A4D66" w:rsidRDefault="00000000">
            <w:r>
              <w:rPr>
                <w:color w:val="000000"/>
                <w:sz w:val="19"/>
              </w:rPr>
              <w:t>Document intake</w:t>
            </w:r>
          </w:p>
        </w:tc>
        <w:tc>
          <w:tcPr>
            <w:tcW w:w="3888" w:type="dxa"/>
            <w:shd w:val="clear" w:color="auto" w:fill="FFFFFF"/>
            <w:tcMar>
              <w:top w:w="100" w:type="dxa"/>
              <w:left w:w="105" w:type="dxa"/>
              <w:bottom w:w="100" w:type="dxa"/>
              <w:right w:w="105" w:type="dxa"/>
            </w:tcMar>
            <w:vAlign w:val="center"/>
          </w:tcPr>
          <w:p w14:paraId="3528CB48" w14:textId="77777777" w:rsidR="006A4D66" w:rsidRDefault="00000000">
            <w:r>
              <w:rPr>
                <w:color w:val="000000"/>
                <w:sz w:val="19"/>
              </w:rPr>
              <w:t>Download and rename files manually</w:t>
            </w:r>
          </w:p>
        </w:tc>
        <w:tc>
          <w:tcPr>
            <w:tcW w:w="3888" w:type="dxa"/>
            <w:shd w:val="clear" w:color="auto" w:fill="FFFFFF"/>
            <w:tcMar>
              <w:top w:w="100" w:type="dxa"/>
              <w:left w:w="105" w:type="dxa"/>
              <w:bottom w:w="100" w:type="dxa"/>
              <w:right w:w="105" w:type="dxa"/>
            </w:tcMar>
            <w:vAlign w:val="center"/>
          </w:tcPr>
          <w:p w14:paraId="790B66F7" w14:textId="77777777" w:rsidR="006A4D66" w:rsidRDefault="00000000">
            <w:r>
              <w:rPr>
                <w:color w:val="000000"/>
                <w:sz w:val="19"/>
              </w:rPr>
              <w:t>Stage documents with metadata and processing status</w:t>
            </w:r>
          </w:p>
        </w:tc>
      </w:tr>
      <w:tr w:rsidR="006A4D66" w14:paraId="52640952" w14:textId="77777777">
        <w:trPr>
          <w:jc w:val="center"/>
        </w:trPr>
        <w:tc>
          <w:tcPr>
            <w:tcW w:w="2160" w:type="dxa"/>
            <w:shd w:val="clear" w:color="auto" w:fill="FFFFFF"/>
            <w:tcMar>
              <w:top w:w="100" w:type="dxa"/>
              <w:left w:w="105" w:type="dxa"/>
              <w:bottom w:w="100" w:type="dxa"/>
              <w:right w:w="105" w:type="dxa"/>
            </w:tcMar>
            <w:vAlign w:val="center"/>
          </w:tcPr>
          <w:p w14:paraId="73B0765E" w14:textId="77777777" w:rsidR="006A4D66" w:rsidRDefault="00000000">
            <w:r>
              <w:rPr>
                <w:color w:val="000000"/>
                <w:sz w:val="19"/>
              </w:rPr>
              <w:t>Data entry</w:t>
            </w:r>
          </w:p>
        </w:tc>
        <w:tc>
          <w:tcPr>
            <w:tcW w:w="3888" w:type="dxa"/>
            <w:shd w:val="clear" w:color="auto" w:fill="FFFFFF"/>
            <w:tcMar>
              <w:top w:w="100" w:type="dxa"/>
              <w:left w:w="105" w:type="dxa"/>
              <w:bottom w:w="100" w:type="dxa"/>
              <w:right w:w="105" w:type="dxa"/>
            </w:tcMar>
            <w:vAlign w:val="center"/>
          </w:tcPr>
          <w:p w14:paraId="53B9DD32" w14:textId="77777777" w:rsidR="006A4D66" w:rsidRDefault="00000000">
            <w:r>
              <w:rPr>
                <w:color w:val="000000"/>
                <w:sz w:val="19"/>
              </w:rPr>
              <w:t>Copy fields into spreadsheets</w:t>
            </w:r>
          </w:p>
        </w:tc>
        <w:tc>
          <w:tcPr>
            <w:tcW w:w="3888" w:type="dxa"/>
            <w:shd w:val="clear" w:color="auto" w:fill="FFFFFF"/>
            <w:tcMar>
              <w:top w:w="100" w:type="dxa"/>
              <w:left w:w="105" w:type="dxa"/>
              <w:bottom w:w="100" w:type="dxa"/>
              <w:right w:w="105" w:type="dxa"/>
            </w:tcMar>
            <w:vAlign w:val="center"/>
          </w:tcPr>
          <w:p w14:paraId="1C67BA55" w14:textId="77777777" w:rsidR="006A4D66" w:rsidRDefault="00000000">
            <w:r>
              <w:rPr>
                <w:color w:val="000000"/>
                <w:sz w:val="19"/>
              </w:rPr>
              <w:t>Extract schema-specific structured records</w:t>
            </w:r>
          </w:p>
        </w:tc>
      </w:tr>
      <w:tr w:rsidR="006A4D66" w14:paraId="0A3B1563" w14:textId="77777777">
        <w:trPr>
          <w:jc w:val="center"/>
        </w:trPr>
        <w:tc>
          <w:tcPr>
            <w:tcW w:w="2160" w:type="dxa"/>
            <w:shd w:val="clear" w:color="auto" w:fill="FFFFFF"/>
            <w:tcMar>
              <w:top w:w="100" w:type="dxa"/>
              <w:left w:w="105" w:type="dxa"/>
              <w:bottom w:w="100" w:type="dxa"/>
              <w:right w:w="105" w:type="dxa"/>
            </w:tcMar>
            <w:vAlign w:val="center"/>
          </w:tcPr>
          <w:p w14:paraId="62C682B4" w14:textId="77777777" w:rsidR="006A4D66" w:rsidRDefault="00000000">
            <w:r>
              <w:rPr>
                <w:color w:val="000000"/>
                <w:sz w:val="19"/>
              </w:rPr>
              <w:t>Reconciliation</w:t>
            </w:r>
          </w:p>
        </w:tc>
        <w:tc>
          <w:tcPr>
            <w:tcW w:w="3888" w:type="dxa"/>
            <w:shd w:val="clear" w:color="auto" w:fill="FFFFFF"/>
            <w:tcMar>
              <w:top w:w="100" w:type="dxa"/>
              <w:left w:w="105" w:type="dxa"/>
              <w:bottom w:w="100" w:type="dxa"/>
              <w:right w:w="105" w:type="dxa"/>
            </w:tcMar>
            <w:vAlign w:val="center"/>
          </w:tcPr>
          <w:p w14:paraId="74910D27" w14:textId="77777777" w:rsidR="006A4D66" w:rsidRDefault="00000000">
            <w:r>
              <w:rPr>
                <w:color w:val="000000"/>
                <w:sz w:val="19"/>
              </w:rPr>
              <w:t>Ad hoc reviewer checks</w:t>
            </w:r>
          </w:p>
        </w:tc>
        <w:tc>
          <w:tcPr>
            <w:tcW w:w="3888" w:type="dxa"/>
            <w:shd w:val="clear" w:color="auto" w:fill="FFFFFF"/>
            <w:tcMar>
              <w:top w:w="100" w:type="dxa"/>
              <w:left w:w="105" w:type="dxa"/>
              <w:bottom w:w="100" w:type="dxa"/>
              <w:right w:w="105" w:type="dxa"/>
            </w:tcMar>
            <w:vAlign w:val="center"/>
          </w:tcPr>
          <w:p w14:paraId="7BB2823B" w14:textId="77777777" w:rsidR="006A4D66" w:rsidRDefault="00000000">
            <w:r>
              <w:rPr>
                <w:color w:val="000000"/>
                <w:sz w:val="19"/>
              </w:rPr>
              <w:t>Apply explicit validation rules and exception messages</w:t>
            </w:r>
          </w:p>
        </w:tc>
      </w:tr>
      <w:tr w:rsidR="006A4D66" w14:paraId="5B3CAA6C" w14:textId="77777777">
        <w:trPr>
          <w:jc w:val="center"/>
        </w:trPr>
        <w:tc>
          <w:tcPr>
            <w:tcW w:w="2160" w:type="dxa"/>
            <w:shd w:val="clear" w:color="auto" w:fill="FFFFFF"/>
            <w:tcMar>
              <w:top w:w="100" w:type="dxa"/>
              <w:left w:w="105" w:type="dxa"/>
              <w:bottom w:w="100" w:type="dxa"/>
              <w:right w:w="105" w:type="dxa"/>
            </w:tcMar>
            <w:vAlign w:val="center"/>
          </w:tcPr>
          <w:p w14:paraId="17B02580" w14:textId="77777777" w:rsidR="006A4D66" w:rsidRDefault="00000000">
            <w:r>
              <w:rPr>
                <w:color w:val="000000"/>
                <w:sz w:val="19"/>
              </w:rPr>
              <w:t>Approval</w:t>
            </w:r>
          </w:p>
        </w:tc>
        <w:tc>
          <w:tcPr>
            <w:tcW w:w="3888" w:type="dxa"/>
            <w:shd w:val="clear" w:color="auto" w:fill="FFFFFF"/>
            <w:tcMar>
              <w:top w:w="100" w:type="dxa"/>
              <w:left w:w="105" w:type="dxa"/>
              <w:bottom w:w="100" w:type="dxa"/>
              <w:right w:w="105" w:type="dxa"/>
            </w:tcMar>
            <w:vAlign w:val="center"/>
          </w:tcPr>
          <w:p w14:paraId="5B9B4B42" w14:textId="77777777" w:rsidR="006A4D66" w:rsidRDefault="00000000">
            <w:r>
              <w:rPr>
                <w:color w:val="000000"/>
                <w:sz w:val="19"/>
              </w:rPr>
              <w:t>Email or spreadsheet sign-off</w:t>
            </w:r>
          </w:p>
        </w:tc>
        <w:tc>
          <w:tcPr>
            <w:tcW w:w="3888" w:type="dxa"/>
            <w:shd w:val="clear" w:color="auto" w:fill="FFFFFF"/>
            <w:tcMar>
              <w:top w:w="100" w:type="dxa"/>
              <w:left w:w="105" w:type="dxa"/>
              <w:bottom w:w="100" w:type="dxa"/>
              <w:right w:w="105" w:type="dxa"/>
            </w:tcMar>
            <w:vAlign w:val="center"/>
          </w:tcPr>
          <w:p w14:paraId="6FA2FFCF" w14:textId="77777777" w:rsidR="006A4D66" w:rsidRDefault="00000000">
            <w:r>
              <w:rPr>
                <w:color w:val="000000"/>
                <w:sz w:val="19"/>
              </w:rPr>
              <w:t>Record effective review decision and status</w:t>
            </w:r>
          </w:p>
        </w:tc>
      </w:tr>
      <w:tr w:rsidR="006A4D66" w14:paraId="1FF1F2C1" w14:textId="77777777">
        <w:trPr>
          <w:jc w:val="center"/>
        </w:trPr>
        <w:tc>
          <w:tcPr>
            <w:tcW w:w="2160" w:type="dxa"/>
            <w:shd w:val="clear" w:color="auto" w:fill="FFFFFF"/>
            <w:tcMar>
              <w:top w:w="100" w:type="dxa"/>
              <w:left w:w="105" w:type="dxa"/>
              <w:bottom w:w="100" w:type="dxa"/>
              <w:right w:w="105" w:type="dxa"/>
            </w:tcMar>
            <w:vAlign w:val="center"/>
          </w:tcPr>
          <w:p w14:paraId="4162E599" w14:textId="77777777" w:rsidR="006A4D66" w:rsidRDefault="00000000">
            <w:r>
              <w:rPr>
                <w:color w:val="000000"/>
                <w:sz w:val="19"/>
              </w:rPr>
              <w:t>Portfolio update</w:t>
            </w:r>
          </w:p>
        </w:tc>
        <w:tc>
          <w:tcPr>
            <w:tcW w:w="3888" w:type="dxa"/>
            <w:shd w:val="clear" w:color="auto" w:fill="FFFFFF"/>
            <w:tcMar>
              <w:top w:w="100" w:type="dxa"/>
              <w:left w:w="105" w:type="dxa"/>
              <w:bottom w:w="100" w:type="dxa"/>
              <w:right w:w="105" w:type="dxa"/>
            </w:tcMar>
            <w:vAlign w:val="center"/>
          </w:tcPr>
          <w:p w14:paraId="0A0EFBCC" w14:textId="77777777" w:rsidR="006A4D66" w:rsidRDefault="00000000">
            <w:r>
              <w:rPr>
                <w:color w:val="000000"/>
                <w:sz w:val="19"/>
              </w:rPr>
              <w:t>Manual edits across separate files</w:t>
            </w:r>
          </w:p>
        </w:tc>
        <w:tc>
          <w:tcPr>
            <w:tcW w:w="3888" w:type="dxa"/>
            <w:shd w:val="clear" w:color="auto" w:fill="FFFFFF"/>
            <w:tcMar>
              <w:top w:w="100" w:type="dxa"/>
              <w:left w:w="105" w:type="dxa"/>
              <w:bottom w:w="100" w:type="dxa"/>
              <w:right w:w="105" w:type="dxa"/>
            </w:tcMar>
            <w:vAlign w:val="center"/>
          </w:tcPr>
          <w:p w14:paraId="7BDE7315" w14:textId="77777777" w:rsidR="006A4D66" w:rsidRDefault="00000000">
            <w:r>
              <w:rPr>
                <w:color w:val="000000"/>
                <w:sz w:val="19"/>
              </w:rPr>
              <w:t>Apply approved-only updates to processed datasets</w:t>
            </w:r>
          </w:p>
        </w:tc>
      </w:tr>
      <w:tr w:rsidR="006A4D66" w14:paraId="13E2D1BF" w14:textId="77777777">
        <w:trPr>
          <w:jc w:val="center"/>
        </w:trPr>
        <w:tc>
          <w:tcPr>
            <w:tcW w:w="2160" w:type="dxa"/>
            <w:shd w:val="clear" w:color="auto" w:fill="FFFFFF"/>
            <w:tcMar>
              <w:top w:w="100" w:type="dxa"/>
              <w:left w:w="105" w:type="dxa"/>
              <w:bottom w:w="100" w:type="dxa"/>
              <w:right w:w="105" w:type="dxa"/>
            </w:tcMar>
            <w:vAlign w:val="center"/>
          </w:tcPr>
          <w:p w14:paraId="1FFA8ED6" w14:textId="77777777" w:rsidR="006A4D66" w:rsidRDefault="00000000">
            <w:r>
              <w:rPr>
                <w:color w:val="000000"/>
                <w:sz w:val="19"/>
              </w:rPr>
              <w:t>Reporting</w:t>
            </w:r>
          </w:p>
        </w:tc>
        <w:tc>
          <w:tcPr>
            <w:tcW w:w="3888" w:type="dxa"/>
            <w:shd w:val="clear" w:color="auto" w:fill="FFFFFF"/>
            <w:tcMar>
              <w:top w:w="100" w:type="dxa"/>
              <w:left w:w="105" w:type="dxa"/>
              <w:bottom w:w="100" w:type="dxa"/>
              <w:right w:w="105" w:type="dxa"/>
            </w:tcMar>
            <w:vAlign w:val="center"/>
          </w:tcPr>
          <w:p w14:paraId="6A466E79" w14:textId="77777777" w:rsidR="006A4D66" w:rsidRDefault="00000000">
            <w:r>
              <w:rPr>
                <w:color w:val="000000"/>
                <w:sz w:val="19"/>
              </w:rPr>
              <w:t>Rebuild periodic pack</w:t>
            </w:r>
          </w:p>
        </w:tc>
        <w:tc>
          <w:tcPr>
            <w:tcW w:w="3888" w:type="dxa"/>
            <w:shd w:val="clear" w:color="auto" w:fill="FFFFFF"/>
            <w:tcMar>
              <w:top w:w="100" w:type="dxa"/>
              <w:left w:w="105" w:type="dxa"/>
              <w:bottom w:w="100" w:type="dxa"/>
              <w:right w:w="105" w:type="dxa"/>
            </w:tcMar>
            <w:vAlign w:val="center"/>
          </w:tcPr>
          <w:p w14:paraId="2B0903C8" w14:textId="77777777" w:rsidR="006A4D66" w:rsidRDefault="00000000">
            <w:r>
              <w:rPr>
                <w:color w:val="000000"/>
                <w:sz w:val="19"/>
              </w:rPr>
              <w:t>Refresh a connected dashboard with workflow evidence</w:t>
            </w:r>
          </w:p>
        </w:tc>
      </w:tr>
      <w:tr w:rsidR="006A4D66" w14:paraId="4ABC5869" w14:textId="77777777">
        <w:trPr>
          <w:jc w:val="center"/>
        </w:trPr>
        <w:tc>
          <w:tcPr>
            <w:tcW w:w="2160" w:type="dxa"/>
            <w:shd w:val="clear" w:color="auto" w:fill="FFFFFF"/>
            <w:tcMar>
              <w:top w:w="100" w:type="dxa"/>
              <w:left w:w="105" w:type="dxa"/>
              <w:bottom w:w="100" w:type="dxa"/>
              <w:right w:w="105" w:type="dxa"/>
            </w:tcMar>
            <w:vAlign w:val="center"/>
          </w:tcPr>
          <w:p w14:paraId="7F9547CD" w14:textId="77777777" w:rsidR="006A4D66" w:rsidRDefault="00000000">
            <w:r>
              <w:rPr>
                <w:color w:val="000000"/>
                <w:sz w:val="19"/>
              </w:rPr>
              <w:t>Risk context</w:t>
            </w:r>
          </w:p>
        </w:tc>
        <w:tc>
          <w:tcPr>
            <w:tcW w:w="3888" w:type="dxa"/>
            <w:shd w:val="clear" w:color="auto" w:fill="FFFFFF"/>
            <w:tcMar>
              <w:top w:w="100" w:type="dxa"/>
              <w:left w:w="105" w:type="dxa"/>
              <w:bottom w:w="100" w:type="dxa"/>
              <w:right w:w="105" w:type="dxa"/>
            </w:tcMar>
            <w:vAlign w:val="center"/>
          </w:tcPr>
          <w:p w14:paraId="1CF08540" w14:textId="77777777" w:rsidR="006A4D66" w:rsidRDefault="00000000">
            <w:r>
              <w:rPr>
                <w:color w:val="000000"/>
                <w:sz w:val="19"/>
              </w:rPr>
              <w:t>Separate market workbook</w:t>
            </w:r>
          </w:p>
        </w:tc>
        <w:tc>
          <w:tcPr>
            <w:tcW w:w="3888" w:type="dxa"/>
            <w:shd w:val="clear" w:color="auto" w:fill="FFFFFF"/>
            <w:tcMar>
              <w:top w:w="100" w:type="dxa"/>
              <w:left w:w="105" w:type="dxa"/>
              <w:bottom w:w="100" w:type="dxa"/>
              <w:right w:w="105" w:type="dxa"/>
            </w:tcMar>
            <w:vAlign w:val="center"/>
          </w:tcPr>
          <w:p w14:paraId="5234B2CE" w14:textId="77777777" w:rsidR="006A4D66" w:rsidRDefault="00000000">
            <w:r>
              <w:rPr>
                <w:color w:val="000000"/>
                <w:sz w:val="19"/>
              </w:rPr>
              <w:t>Use a labeled public-proxy overlay</w:t>
            </w:r>
          </w:p>
        </w:tc>
      </w:tr>
    </w:tbl>
    <w:p w14:paraId="36988A3D" w14:textId="77777777" w:rsidR="006A4D66" w:rsidRDefault="006A4D66">
      <w:pPr>
        <w:spacing w:after="120" w:line="259" w:lineRule="auto"/>
      </w:pPr>
    </w:p>
    <w:p w14:paraId="14FC14B0" w14:textId="77777777" w:rsidR="006A4D66" w:rsidRDefault="00000000">
      <w:pPr>
        <w:pStyle w:val="Heading2"/>
        <w:spacing w:after="120" w:line="259" w:lineRule="auto"/>
      </w:pPr>
      <w:r>
        <w:rPr>
          <w:rFonts w:ascii="Aptos" w:eastAsia="Aptos" w:hAnsi="Aptos"/>
          <w:b w:val="0"/>
          <w:color w:val="172033"/>
          <w:sz w:val="21"/>
        </w:rPr>
        <w:lastRenderedPageBreak/>
        <w:t>8.2 Process-Control Improvements</w:t>
      </w:r>
    </w:p>
    <w:p w14:paraId="25B26534" w14:textId="77777777" w:rsidR="006A4D66" w:rsidRDefault="00000000">
      <w:pPr>
        <w:pStyle w:val="ListBullet"/>
        <w:spacing w:line="259" w:lineRule="auto"/>
      </w:pPr>
      <w:r>
        <w:rPr>
          <w:rFonts w:ascii="Aptos" w:eastAsia="Aptos" w:hAnsi="Aptos"/>
          <w:color w:val="172033"/>
          <w:sz w:val="21"/>
        </w:rPr>
        <w:t>Completeness improves because every document is classified, tracked, and assigned a processing status.</w:t>
      </w:r>
    </w:p>
    <w:p w14:paraId="47E13762" w14:textId="77777777" w:rsidR="006A4D66" w:rsidRDefault="00000000">
      <w:pPr>
        <w:pStyle w:val="ListBullet"/>
        <w:spacing w:line="259" w:lineRule="auto"/>
      </w:pPr>
      <w:r>
        <w:rPr>
          <w:rFonts w:ascii="Aptos" w:eastAsia="Aptos" w:hAnsi="Aptos"/>
          <w:color w:val="172033"/>
          <w:sz w:val="21"/>
        </w:rPr>
        <w:t>Consistency improves because extracted fields follow schema definitions and validation rules.</w:t>
      </w:r>
    </w:p>
    <w:p w14:paraId="26168CFC" w14:textId="77777777" w:rsidR="006A4D66" w:rsidRDefault="00000000">
      <w:pPr>
        <w:pStyle w:val="ListBullet"/>
        <w:spacing w:line="259" w:lineRule="auto"/>
      </w:pPr>
      <w:r>
        <w:rPr>
          <w:rFonts w:ascii="Aptos" w:eastAsia="Aptos" w:hAnsi="Aptos"/>
          <w:color w:val="172033"/>
          <w:sz w:val="21"/>
        </w:rPr>
        <w:t>Timeliness improves because routine field preparation and dashboard refresh can be automated.</w:t>
      </w:r>
    </w:p>
    <w:p w14:paraId="4A2B65FB" w14:textId="77777777" w:rsidR="006A4D66" w:rsidRDefault="00000000">
      <w:pPr>
        <w:pStyle w:val="ListBullet"/>
        <w:spacing w:line="259" w:lineRule="auto"/>
      </w:pPr>
      <w:r>
        <w:rPr>
          <w:rFonts w:ascii="Aptos" w:eastAsia="Aptos" w:hAnsi="Aptos"/>
          <w:color w:val="172033"/>
          <w:sz w:val="21"/>
        </w:rPr>
        <w:t>Accountability improves because unresolved documents remain visible and blocked rather than disappearing into manual workbooks.</w:t>
      </w:r>
    </w:p>
    <w:p w14:paraId="7DF41E21" w14:textId="77777777" w:rsidR="006A4D66" w:rsidRDefault="00000000">
      <w:pPr>
        <w:pStyle w:val="ListBullet"/>
        <w:spacing w:line="259" w:lineRule="auto"/>
      </w:pPr>
      <w:r>
        <w:rPr>
          <w:rFonts w:ascii="Aptos" w:eastAsia="Aptos" w:hAnsi="Aptos"/>
          <w:color w:val="172033"/>
          <w:sz w:val="21"/>
        </w:rPr>
        <w:t>Auditability improves because the source document, rule result, review decision, and update reason remain connected.</w:t>
      </w:r>
    </w:p>
    <w:p w14:paraId="1934D0ED" w14:textId="77777777" w:rsidR="006A4D66" w:rsidRDefault="00000000">
      <w:pPr>
        <w:pStyle w:val="Heading2"/>
        <w:spacing w:after="120" w:line="259" w:lineRule="auto"/>
      </w:pPr>
      <w:r>
        <w:rPr>
          <w:rFonts w:ascii="Aptos" w:eastAsia="Aptos" w:hAnsi="Aptos"/>
          <w:b w:val="0"/>
          <w:color w:val="172033"/>
          <w:sz w:val="21"/>
        </w:rPr>
        <w:t>8.3 ROI Framework</w:t>
      </w:r>
    </w:p>
    <w:p w14:paraId="1A3FCE05" w14:textId="77777777" w:rsidR="006A4D66" w:rsidRDefault="00000000">
      <w:pPr>
        <w:spacing w:after="120" w:line="259" w:lineRule="auto"/>
      </w:pPr>
      <w:r>
        <w:rPr>
          <w:rFonts w:ascii="Aptos" w:eastAsia="Aptos" w:hAnsi="Aptos"/>
          <w:color w:val="172033"/>
          <w:sz w:val="21"/>
        </w:rPr>
        <w:t>The proof-of-concept does not claim a realized financial return. Instead, it defines a transparent framework for a controlled pilot. Benefits should be measured against a baseline sample of document-processing effort and exception rates.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2016"/>
        <w:gridCol w:w="4032"/>
        <w:gridCol w:w="3888"/>
      </w:tblGrid>
      <w:tr w:rsidR="006A4D66" w14:paraId="759ABC71" w14:textId="77777777">
        <w:trPr>
          <w:tblHeader/>
          <w:jc w:val="center"/>
        </w:trPr>
        <w:tc>
          <w:tcPr>
            <w:tcW w:w="2016" w:type="dxa"/>
            <w:shd w:val="clear" w:color="auto" w:fill="D9EAF7"/>
            <w:tcMar>
              <w:top w:w="100" w:type="dxa"/>
              <w:left w:w="105" w:type="dxa"/>
              <w:bottom w:w="100" w:type="dxa"/>
              <w:right w:w="105" w:type="dxa"/>
            </w:tcMar>
            <w:vAlign w:val="center"/>
          </w:tcPr>
          <w:p w14:paraId="1CCF58F4" w14:textId="77777777" w:rsidR="006A4D66" w:rsidRDefault="00000000">
            <w:pPr>
              <w:jc w:val="center"/>
            </w:pPr>
            <w:r>
              <w:rPr>
                <w:b/>
                <w:color w:val="000000"/>
                <w:sz w:val="19"/>
              </w:rPr>
              <w:t>Value driver</w:t>
            </w:r>
          </w:p>
        </w:tc>
        <w:tc>
          <w:tcPr>
            <w:tcW w:w="4032" w:type="dxa"/>
            <w:shd w:val="clear" w:color="auto" w:fill="D9EAF7"/>
            <w:tcMar>
              <w:top w:w="100" w:type="dxa"/>
              <w:left w:w="105" w:type="dxa"/>
              <w:bottom w:w="100" w:type="dxa"/>
              <w:right w:w="105" w:type="dxa"/>
            </w:tcMar>
            <w:vAlign w:val="center"/>
          </w:tcPr>
          <w:p w14:paraId="599458E3" w14:textId="77777777" w:rsidR="006A4D66" w:rsidRDefault="00000000">
            <w:pPr>
              <w:jc w:val="center"/>
            </w:pPr>
            <w:r>
              <w:rPr>
                <w:b/>
                <w:color w:val="000000"/>
                <w:sz w:val="19"/>
              </w:rPr>
              <w:t>Suggested measurement</w:t>
            </w:r>
          </w:p>
        </w:tc>
        <w:tc>
          <w:tcPr>
            <w:tcW w:w="3888" w:type="dxa"/>
            <w:shd w:val="clear" w:color="auto" w:fill="D9EAF7"/>
            <w:tcMar>
              <w:top w:w="100" w:type="dxa"/>
              <w:left w:w="105" w:type="dxa"/>
              <w:bottom w:w="100" w:type="dxa"/>
              <w:right w:w="105" w:type="dxa"/>
            </w:tcMar>
            <w:vAlign w:val="center"/>
          </w:tcPr>
          <w:p w14:paraId="2B22EAE9" w14:textId="77777777" w:rsidR="006A4D66" w:rsidRDefault="00000000">
            <w:pPr>
              <w:jc w:val="center"/>
            </w:pPr>
            <w:r>
              <w:rPr>
                <w:b/>
                <w:color w:val="000000"/>
                <w:sz w:val="19"/>
              </w:rPr>
              <w:t>Illustrative formula</w:t>
            </w:r>
          </w:p>
        </w:tc>
      </w:tr>
      <w:tr w:rsidR="006A4D66" w14:paraId="1EDB827D" w14:textId="77777777">
        <w:trPr>
          <w:jc w:val="center"/>
        </w:trPr>
        <w:tc>
          <w:tcPr>
            <w:tcW w:w="2016" w:type="dxa"/>
            <w:shd w:val="clear" w:color="auto" w:fill="FFFFFF"/>
            <w:tcMar>
              <w:top w:w="100" w:type="dxa"/>
              <w:left w:w="105" w:type="dxa"/>
              <w:bottom w:w="100" w:type="dxa"/>
              <w:right w:w="105" w:type="dxa"/>
            </w:tcMar>
            <w:vAlign w:val="center"/>
          </w:tcPr>
          <w:p w14:paraId="4C3C260C" w14:textId="77777777" w:rsidR="006A4D66" w:rsidRDefault="00000000">
            <w:r>
              <w:rPr>
                <w:color w:val="000000"/>
                <w:sz w:val="19"/>
              </w:rPr>
              <w:t>Analyst time</w:t>
            </w:r>
          </w:p>
        </w:tc>
        <w:tc>
          <w:tcPr>
            <w:tcW w:w="4032" w:type="dxa"/>
            <w:shd w:val="clear" w:color="auto" w:fill="FFFFFF"/>
            <w:tcMar>
              <w:top w:w="100" w:type="dxa"/>
              <w:left w:w="105" w:type="dxa"/>
              <w:bottom w:w="100" w:type="dxa"/>
              <w:right w:w="105" w:type="dxa"/>
            </w:tcMar>
            <w:vAlign w:val="center"/>
          </w:tcPr>
          <w:p w14:paraId="3A8C82E3" w14:textId="77777777" w:rsidR="006A4D66" w:rsidRDefault="00000000">
            <w:r>
              <w:rPr>
                <w:color w:val="000000"/>
                <w:sz w:val="19"/>
              </w:rPr>
              <w:t>Minutes per document before and after pilot</w:t>
            </w:r>
          </w:p>
        </w:tc>
        <w:tc>
          <w:tcPr>
            <w:tcW w:w="3888" w:type="dxa"/>
            <w:shd w:val="clear" w:color="auto" w:fill="FFFFFF"/>
            <w:tcMar>
              <w:top w:w="100" w:type="dxa"/>
              <w:left w:w="105" w:type="dxa"/>
              <w:bottom w:w="100" w:type="dxa"/>
              <w:right w:w="105" w:type="dxa"/>
            </w:tcMar>
            <w:vAlign w:val="center"/>
          </w:tcPr>
          <w:p w14:paraId="3B8600DA" w14:textId="77777777" w:rsidR="006A4D66" w:rsidRDefault="00000000">
            <w:r>
              <w:rPr>
                <w:color w:val="000000"/>
                <w:sz w:val="19"/>
              </w:rPr>
              <w:t>Documents × minutes saved × loaded hourly cost</w:t>
            </w:r>
          </w:p>
        </w:tc>
      </w:tr>
      <w:tr w:rsidR="006A4D66" w14:paraId="4055EF80" w14:textId="77777777">
        <w:trPr>
          <w:jc w:val="center"/>
        </w:trPr>
        <w:tc>
          <w:tcPr>
            <w:tcW w:w="2016" w:type="dxa"/>
            <w:shd w:val="clear" w:color="auto" w:fill="FFFFFF"/>
            <w:tcMar>
              <w:top w:w="100" w:type="dxa"/>
              <w:left w:w="105" w:type="dxa"/>
              <w:bottom w:w="100" w:type="dxa"/>
              <w:right w:w="105" w:type="dxa"/>
            </w:tcMar>
            <w:vAlign w:val="center"/>
          </w:tcPr>
          <w:p w14:paraId="6629C056" w14:textId="77777777" w:rsidR="006A4D66" w:rsidRDefault="00000000">
            <w:r>
              <w:rPr>
                <w:color w:val="000000"/>
                <w:sz w:val="19"/>
              </w:rPr>
              <w:t>Review focus</w:t>
            </w:r>
          </w:p>
        </w:tc>
        <w:tc>
          <w:tcPr>
            <w:tcW w:w="4032" w:type="dxa"/>
            <w:shd w:val="clear" w:color="auto" w:fill="FFFFFF"/>
            <w:tcMar>
              <w:top w:w="100" w:type="dxa"/>
              <w:left w:w="105" w:type="dxa"/>
              <w:bottom w:w="100" w:type="dxa"/>
              <w:right w:w="105" w:type="dxa"/>
            </w:tcMar>
            <w:vAlign w:val="center"/>
          </w:tcPr>
          <w:p w14:paraId="6AC495A8" w14:textId="77777777" w:rsidR="006A4D66" w:rsidRDefault="00000000">
            <w:r>
              <w:rPr>
                <w:color w:val="000000"/>
                <w:sz w:val="19"/>
              </w:rPr>
              <w:t>Share of documents routed to exception review</w:t>
            </w:r>
          </w:p>
        </w:tc>
        <w:tc>
          <w:tcPr>
            <w:tcW w:w="3888" w:type="dxa"/>
            <w:shd w:val="clear" w:color="auto" w:fill="FFFFFF"/>
            <w:tcMar>
              <w:top w:w="100" w:type="dxa"/>
              <w:left w:w="105" w:type="dxa"/>
              <w:bottom w:w="100" w:type="dxa"/>
              <w:right w:w="105" w:type="dxa"/>
            </w:tcMar>
            <w:vAlign w:val="center"/>
          </w:tcPr>
          <w:p w14:paraId="12AE35E3" w14:textId="77777777" w:rsidR="006A4D66" w:rsidRDefault="00000000">
            <w:r>
              <w:rPr>
                <w:color w:val="000000"/>
                <w:sz w:val="19"/>
              </w:rPr>
              <w:t>Total documents − straight-through eligible documents</w:t>
            </w:r>
          </w:p>
        </w:tc>
      </w:tr>
      <w:tr w:rsidR="006A4D66" w14:paraId="292381F6" w14:textId="77777777">
        <w:trPr>
          <w:jc w:val="center"/>
        </w:trPr>
        <w:tc>
          <w:tcPr>
            <w:tcW w:w="2016" w:type="dxa"/>
            <w:shd w:val="clear" w:color="auto" w:fill="FFFFFF"/>
            <w:tcMar>
              <w:top w:w="100" w:type="dxa"/>
              <w:left w:w="105" w:type="dxa"/>
              <w:bottom w:w="100" w:type="dxa"/>
              <w:right w:w="105" w:type="dxa"/>
            </w:tcMar>
            <w:vAlign w:val="center"/>
          </w:tcPr>
          <w:p w14:paraId="3BD1D785" w14:textId="77777777" w:rsidR="006A4D66" w:rsidRDefault="00000000">
            <w:r>
              <w:rPr>
                <w:color w:val="000000"/>
                <w:sz w:val="19"/>
              </w:rPr>
              <w:t>Error avoidance</w:t>
            </w:r>
          </w:p>
        </w:tc>
        <w:tc>
          <w:tcPr>
            <w:tcW w:w="4032" w:type="dxa"/>
            <w:shd w:val="clear" w:color="auto" w:fill="FFFFFF"/>
            <w:tcMar>
              <w:top w:w="100" w:type="dxa"/>
              <w:left w:w="105" w:type="dxa"/>
              <w:bottom w:w="100" w:type="dxa"/>
              <w:right w:w="105" w:type="dxa"/>
            </w:tcMar>
            <w:vAlign w:val="center"/>
          </w:tcPr>
          <w:p w14:paraId="7C45D0DF" w14:textId="77777777" w:rsidR="006A4D66" w:rsidRDefault="00000000">
            <w:r>
              <w:rPr>
                <w:color w:val="000000"/>
                <w:sz w:val="19"/>
              </w:rPr>
              <w:t>Rework incidents, late-call events, and reconciliation breaks</w:t>
            </w:r>
          </w:p>
        </w:tc>
        <w:tc>
          <w:tcPr>
            <w:tcW w:w="3888" w:type="dxa"/>
            <w:shd w:val="clear" w:color="auto" w:fill="FFFFFF"/>
            <w:tcMar>
              <w:top w:w="100" w:type="dxa"/>
              <w:left w:w="105" w:type="dxa"/>
              <w:bottom w:w="100" w:type="dxa"/>
              <w:right w:w="105" w:type="dxa"/>
            </w:tcMar>
            <w:vAlign w:val="center"/>
          </w:tcPr>
          <w:p w14:paraId="1D6AE6C3" w14:textId="77777777" w:rsidR="006A4D66" w:rsidRDefault="00000000">
            <w:r>
              <w:rPr>
                <w:color w:val="000000"/>
                <w:sz w:val="19"/>
              </w:rPr>
              <w:t>Avoided incidents × expected remediation cost</w:t>
            </w:r>
          </w:p>
        </w:tc>
      </w:tr>
      <w:tr w:rsidR="006A4D66" w14:paraId="2B379177" w14:textId="77777777">
        <w:trPr>
          <w:jc w:val="center"/>
        </w:trPr>
        <w:tc>
          <w:tcPr>
            <w:tcW w:w="2016" w:type="dxa"/>
            <w:shd w:val="clear" w:color="auto" w:fill="FFFFFF"/>
            <w:tcMar>
              <w:top w:w="100" w:type="dxa"/>
              <w:left w:w="105" w:type="dxa"/>
              <w:bottom w:w="100" w:type="dxa"/>
              <w:right w:w="105" w:type="dxa"/>
            </w:tcMar>
            <w:vAlign w:val="center"/>
          </w:tcPr>
          <w:p w14:paraId="523D79E8" w14:textId="77777777" w:rsidR="006A4D66" w:rsidRDefault="00000000">
            <w:r>
              <w:rPr>
                <w:color w:val="000000"/>
                <w:sz w:val="19"/>
              </w:rPr>
              <w:t>Reporting cycle</w:t>
            </w:r>
          </w:p>
        </w:tc>
        <w:tc>
          <w:tcPr>
            <w:tcW w:w="4032" w:type="dxa"/>
            <w:shd w:val="clear" w:color="auto" w:fill="FFFFFF"/>
            <w:tcMar>
              <w:top w:w="100" w:type="dxa"/>
              <w:left w:w="105" w:type="dxa"/>
              <w:bottom w:w="100" w:type="dxa"/>
              <w:right w:w="105" w:type="dxa"/>
            </w:tcMar>
            <w:vAlign w:val="center"/>
          </w:tcPr>
          <w:p w14:paraId="1B7A9452" w14:textId="77777777" w:rsidR="006A4D66" w:rsidRDefault="00000000">
            <w:r>
              <w:rPr>
                <w:color w:val="000000"/>
                <w:sz w:val="19"/>
              </w:rPr>
              <w:t>Elapsed time from receipt to dashboard availability</w:t>
            </w:r>
          </w:p>
        </w:tc>
        <w:tc>
          <w:tcPr>
            <w:tcW w:w="3888" w:type="dxa"/>
            <w:shd w:val="clear" w:color="auto" w:fill="FFFFFF"/>
            <w:tcMar>
              <w:top w:w="100" w:type="dxa"/>
              <w:left w:w="105" w:type="dxa"/>
              <w:bottom w:w="100" w:type="dxa"/>
              <w:right w:w="105" w:type="dxa"/>
            </w:tcMar>
            <w:vAlign w:val="center"/>
          </w:tcPr>
          <w:p w14:paraId="4898DBDD" w14:textId="77777777" w:rsidR="006A4D66" w:rsidRDefault="00000000">
            <w:r>
              <w:rPr>
                <w:color w:val="000000"/>
                <w:sz w:val="19"/>
              </w:rPr>
              <w:t>Baseline cycle time − pilot cycle time</w:t>
            </w:r>
          </w:p>
        </w:tc>
      </w:tr>
      <w:tr w:rsidR="006A4D66" w14:paraId="46BB98BE" w14:textId="77777777">
        <w:trPr>
          <w:jc w:val="center"/>
        </w:trPr>
        <w:tc>
          <w:tcPr>
            <w:tcW w:w="2016" w:type="dxa"/>
            <w:shd w:val="clear" w:color="auto" w:fill="FFFFFF"/>
            <w:tcMar>
              <w:top w:w="100" w:type="dxa"/>
              <w:left w:w="105" w:type="dxa"/>
              <w:bottom w:w="100" w:type="dxa"/>
              <w:right w:w="105" w:type="dxa"/>
            </w:tcMar>
            <w:vAlign w:val="center"/>
          </w:tcPr>
          <w:p w14:paraId="0DD45674" w14:textId="77777777" w:rsidR="006A4D66" w:rsidRDefault="00000000">
            <w:r>
              <w:rPr>
                <w:color w:val="000000"/>
                <w:sz w:val="19"/>
              </w:rPr>
              <w:t>Control evidence</w:t>
            </w:r>
          </w:p>
        </w:tc>
        <w:tc>
          <w:tcPr>
            <w:tcW w:w="4032" w:type="dxa"/>
            <w:shd w:val="clear" w:color="auto" w:fill="FFFFFF"/>
            <w:tcMar>
              <w:top w:w="100" w:type="dxa"/>
              <w:left w:w="105" w:type="dxa"/>
              <w:bottom w:w="100" w:type="dxa"/>
              <w:right w:w="105" w:type="dxa"/>
            </w:tcMar>
            <w:vAlign w:val="center"/>
          </w:tcPr>
          <w:p w14:paraId="260559EA" w14:textId="77777777" w:rsidR="006A4D66" w:rsidRDefault="00000000">
            <w:r>
              <w:rPr>
                <w:color w:val="000000"/>
                <w:sz w:val="19"/>
              </w:rPr>
              <w:t>Percentage of updates with source, rule, decision, and reason</w:t>
            </w:r>
          </w:p>
        </w:tc>
        <w:tc>
          <w:tcPr>
            <w:tcW w:w="3888" w:type="dxa"/>
            <w:shd w:val="clear" w:color="auto" w:fill="FFFFFF"/>
            <w:tcMar>
              <w:top w:w="100" w:type="dxa"/>
              <w:left w:w="105" w:type="dxa"/>
              <w:bottom w:w="100" w:type="dxa"/>
              <w:right w:w="105" w:type="dxa"/>
            </w:tcMar>
            <w:vAlign w:val="center"/>
          </w:tcPr>
          <w:p w14:paraId="36571B35" w14:textId="77777777" w:rsidR="006A4D66" w:rsidRDefault="00000000">
            <w:r>
              <w:rPr>
                <w:color w:val="000000"/>
                <w:sz w:val="19"/>
              </w:rPr>
              <w:t>Fully traceable updates ÷ total updates</w:t>
            </w:r>
          </w:p>
        </w:tc>
      </w:tr>
    </w:tbl>
    <w:p w14:paraId="25DF9EB8" w14:textId="77777777" w:rsidR="006A4D66" w:rsidRDefault="006A4D66">
      <w:pPr>
        <w:spacing w:after="120" w:line="259" w:lineRule="auto"/>
      </w:pPr>
    </w:p>
    <w:p w14:paraId="0ED8CFB0" w14:textId="77777777" w:rsidR="006A4D66" w:rsidRDefault="00000000">
      <w:pPr>
        <w:spacing w:after="120" w:line="259" w:lineRule="auto"/>
      </w:pPr>
      <w:r>
        <w:rPr>
          <w:rFonts w:ascii="Aptos" w:eastAsia="Aptos" w:hAnsi="Aptos"/>
          <w:color w:val="172033"/>
          <w:sz w:val="21"/>
        </w:rPr>
        <w:t>A pilot should treat labor savings as secondary to control quality. The most valuable outcome is not maximum straight-through processing; it is faster handling of clean records and earlier, clearer escalation of records that require judgment.</w:t>
      </w:r>
    </w:p>
    <w:p w14:paraId="2EA45A6C" w14:textId="77777777" w:rsidR="006A4D66" w:rsidRDefault="00000000">
      <w:pPr>
        <w:pStyle w:val="Heading2"/>
        <w:spacing w:after="120" w:line="259" w:lineRule="auto"/>
      </w:pPr>
      <w:r>
        <w:rPr>
          <w:rFonts w:ascii="Aptos" w:eastAsia="Aptos" w:hAnsi="Aptos"/>
          <w:b w:val="0"/>
          <w:color w:val="172033"/>
          <w:sz w:val="21"/>
        </w:rPr>
        <w:t>8.4 Implementation Roadmap</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872"/>
        <w:gridCol w:w="4896"/>
        <w:gridCol w:w="3168"/>
      </w:tblGrid>
      <w:tr w:rsidR="006A4D66" w14:paraId="28C710C3" w14:textId="77777777">
        <w:trPr>
          <w:tblHeader/>
          <w:jc w:val="center"/>
        </w:trPr>
        <w:tc>
          <w:tcPr>
            <w:tcW w:w="1872" w:type="dxa"/>
            <w:shd w:val="clear" w:color="auto" w:fill="D9EAF7"/>
            <w:tcMar>
              <w:top w:w="100" w:type="dxa"/>
              <w:left w:w="105" w:type="dxa"/>
              <w:bottom w:w="100" w:type="dxa"/>
              <w:right w:w="105" w:type="dxa"/>
            </w:tcMar>
            <w:vAlign w:val="center"/>
          </w:tcPr>
          <w:p w14:paraId="722D9FA6" w14:textId="77777777" w:rsidR="006A4D66" w:rsidRDefault="00000000">
            <w:pPr>
              <w:jc w:val="center"/>
            </w:pPr>
            <w:r>
              <w:rPr>
                <w:b/>
                <w:color w:val="000000"/>
                <w:sz w:val="19"/>
              </w:rPr>
              <w:t>Phase</w:t>
            </w:r>
          </w:p>
        </w:tc>
        <w:tc>
          <w:tcPr>
            <w:tcW w:w="4896" w:type="dxa"/>
            <w:shd w:val="clear" w:color="auto" w:fill="D9EAF7"/>
            <w:tcMar>
              <w:top w:w="100" w:type="dxa"/>
              <w:left w:w="105" w:type="dxa"/>
              <w:bottom w:w="100" w:type="dxa"/>
              <w:right w:w="105" w:type="dxa"/>
            </w:tcMar>
            <w:vAlign w:val="center"/>
          </w:tcPr>
          <w:p w14:paraId="5B5288E8" w14:textId="77777777" w:rsidR="006A4D66" w:rsidRDefault="00000000">
            <w:pPr>
              <w:jc w:val="center"/>
            </w:pPr>
            <w:r>
              <w:rPr>
                <w:b/>
                <w:color w:val="000000"/>
                <w:sz w:val="19"/>
              </w:rPr>
              <w:t>Scope</w:t>
            </w:r>
          </w:p>
        </w:tc>
        <w:tc>
          <w:tcPr>
            <w:tcW w:w="3168" w:type="dxa"/>
            <w:shd w:val="clear" w:color="auto" w:fill="D9EAF7"/>
            <w:tcMar>
              <w:top w:w="100" w:type="dxa"/>
              <w:left w:w="105" w:type="dxa"/>
              <w:bottom w:w="100" w:type="dxa"/>
              <w:right w:w="105" w:type="dxa"/>
            </w:tcMar>
            <w:vAlign w:val="center"/>
          </w:tcPr>
          <w:p w14:paraId="085B11D0" w14:textId="77777777" w:rsidR="006A4D66" w:rsidRDefault="00000000">
            <w:pPr>
              <w:jc w:val="center"/>
            </w:pPr>
            <w:r>
              <w:rPr>
                <w:b/>
                <w:color w:val="000000"/>
                <w:sz w:val="19"/>
              </w:rPr>
              <w:t>Exit criteria</w:t>
            </w:r>
          </w:p>
        </w:tc>
      </w:tr>
      <w:tr w:rsidR="006A4D66" w14:paraId="1882291D" w14:textId="77777777">
        <w:trPr>
          <w:jc w:val="center"/>
        </w:trPr>
        <w:tc>
          <w:tcPr>
            <w:tcW w:w="1872" w:type="dxa"/>
            <w:shd w:val="clear" w:color="auto" w:fill="FFFFFF"/>
            <w:tcMar>
              <w:top w:w="100" w:type="dxa"/>
              <w:left w:w="105" w:type="dxa"/>
              <w:bottom w:w="100" w:type="dxa"/>
              <w:right w:w="105" w:type="dxa"/>
            </w:tcMar>
            <w:vAlign w:val="center"/>
          </w:tcPr>
          <w:p w14:paraId="77DAC527" w14:textId="77777777" w:rsidR="006A4D66" w:rsidRDefault="00000000">
            <w:r>
              <w:rPr>
                <w:color w:val="000000"/>
                <w:sz w:val="19"/>
              </w:rPr>
              <w:t>1. Controlled pilot</w:t>
            </w:r>
          </w:p>
        </w:tc>
        <w:tc>
          <w:tcPr>
            <w:tcW w:w="4896" w:type="dxa"/>
            <w:shd w:val="clear" w:color="auto" w:fill="FFFFFF"/>
            <w:tcMar>
              <w:top w:w="100" w:type="dxa"/>
              <w:left w:w="105" w:type="dxa"/>
              <w:bottom w:w="100" w:type="dxa"/>
              <w:right w:w="105" w:type="dxa"/>
            </w:tcMar>
            <w:vAlign w:val="center"/>
          </w:tcPr>
          <w:p w14:paraId="1ECA71D7" w14:textId="77777777" w:rsidR="006A4D66" w:rsidRDefault="00000000">
            <w:r>
              <w:rPr>
                <w:color w:val="000000"/>
                <w:sz w:val="19"/>
              </w:rPr>
              <w:t>Select document types, reviewers, rules, thresholds, and synthetic / masked test set</w:t>
            </w:r>
          </w:p>
        </w:tc>
        <w:tc>
          <w:tcPr>
            <w:tcW w:w="3168" w:type="dxa"/>
            <w:shd w:val="clear" w:color="auto" w:fill="FFFFFF"/>
            <w:tcMar>
              <w:top w:w="100" w:type="dxa"/>
              <w:left w:w="105" w:type="dxa"/>
              <w:bottom w:w="100" w:type="dxa"/>
              <w:right w:w="105" w:type="dxa"/>
            </w:tcMar>
            <w:vAlign w:val="center"/>
          </w:tcPr>
          <w:p w14:paraId="577E0492" w14:textId="77777777" w:rsidR="006A4D66" w:rsidRDefault="00000000">
            <w:r>
              <w:rPr>
                <w:color w:val="000000"/>
                <w:sz w:val="19"/>
              </w:rPr>
              <w:t>Documented controls and repeatable benchmark</w:t>
            </w:r>
          </w:p>
        </w:tc>
      </w:tr>
      <w:tr w:rsidR="006A4D66" w14:paraId="69B853F9" w14:textId="77777777">
        <w:trPr>
          <w:jc w:val="center"/>
        </w:trPr>
        <w:tc>
          <w:tcPr>
            <w:tcW w:w="1872" w:type="dxa"/>
            <w:shd w:val="clear" w:color="auto" w:fill="FFFFFF"/>
            <w:tcMar>
              <w:top w:w="100" w:type="dxa"/>
              <w:left w:w="105" w:type="dxa"/>
              <w:bottom w:w="100" w:type="dxa"/>
              <w:right w:w="105" w:type="dxa"/>
            </w:tcMar>
            <w:vAlign w:val="center"/>
          </w:tcPr>
          <w:p w14:paraId="546FE95E" w14:textId="77777777" w:rsidR="006A4D66" w:rsidRDefault="00000000">
            <w:r>
              <w:rPr>
                <w:color w:val="000000"/>
                <w:sz w:val="19"/>
              </w:rPr>
              <w:t>2. Source integration</w:t>
            </w:r>
          </w:p>
        </w:tc>
        <w:tc>
          <w:tcPr>
            <w:tcW w:w="4896" w:type="dxa"/>
            <w:shd w:val="clear" w:color="auto" w:fill="FFFFFF"/>
            <w:tcMar>
              <w:top w:w="100" w:type="dxa"/>
              <w:left w:w="105" w:type="dxa"/>
              <w:bottom w:w="100" w:type="dxa"/>
              <w:right w:w="105" w:type="dxa"/>
            </w:tcMar>
            <w:vAlign w:val="center"/>
          </w:tcPr>
          <w:p w14:paraId="64589EF3" w14:textId="77777777" w:rsidR="006A4D66" w:rsidRDefault="00000000">
            <w:r>
              <w:rPr>
                <w:color w:val="000000"/>
                <w:sz w:val="19"/>
              </w:rPr>
              <w:t>Connect approved repository, fund master, and portfolio accounting extracts</w:t>
            </w:r>
          </w:p>
        </w:tc>
        <w:tc>
          <w:tcPr>
            <w:tcW w:w="3168" w:type="dxa"/>
            <w:shd w:val="clear" w:color="auto" w:fill="FFFFFF"/>
            <w:tcMar>
              <w:top w:w="100" w:type="dxa"/>
              <w:left w:w="105" w:type="dxa"/>
              <w:bottom w:w="100" w:type="dxa"/>
              <w:right w:w="105" w:type="dxa"/>
            </w:tcMar>
            <w:vAlign w:val="center"/>
          </w:tcPr>
          <w:p w14:paraId="36D6CE62" w14:textId="77777777" w:rsidR="006A4D66" w:rsidRDefault="00000000">
            <w:r>
              <w:rPr>
                <w:color w:val="000000"/>
                <w:sz w:val="19"/>
              </w:rPr>
              <w:t>Reconciled interfaces and owned data contracts</w:t>
            </w:r>
          </w:p>
        </w:tc>
      </w:tr>
      <w:tr w:rsidR="006A4D66" w14:paraId="66BFF991" w14:textId="77777777">
        <w:trPr>
          <w:jc w:val="center"/>
        </w:trPr>
        <w:tc>
          <w:tcPr>
            <w:tcW w:w="1872" w:type="dxa"/>
            <w:shd w:val="clear" w:color="auto" w:fill="FFFFFF"/>
            <w:tcMar>
              <w:top w:w="100" w:type="dxa"/>
              <w:left w:w="105" w:type="dxa"/>
              <w:bottom w:w="100" w:type="dxa"/>
              <w:right w:w="105" w:type="dxa"/>
            </w:tcMar>
            <w:vAlign w:val="center"/>
          </w:tcPr>
          <w:p w14:paraId="5F7A7782" w14:textId="77777777" w:rsidR="006A4D66" w:rsidRDefault="00000000">
            <w:r>
              <w:rPr>
                <w:color w:val="000000"/>
                <w:sz w:val="19"/>
              </w:rPr>
              <w:t>3. Model evaluation</w:t>
            </w:r>
          </w:p>
        </w:tc>
        <w:tc>
          <w:tcPr>
            <w:tcW w:w="4896" w:type="dxa"/>
            <w:shd w:val="clear" w:color="auto" w:fill="FFFFFF"/>
            <w:tcMar>
              <w:top w:w="100" w:type="dxa"/>
              <w:left w:w="105" w:type="dxa"/>
              <w:bottom w:w="100" w:type="dxa"/>
              <w:right w:w="105" w:type="dxa"/>
            </w:tcMar>
            <w:vAlign w:val="center"/>
          </w:tcPr>
          <w:p w14:paraId="7847A052" w14:textId="77777777" w:rsidR="006A4D66" w:rsidRDefault="00000000">
            <w:r>
              <w:rPr>
                <w:color w:val="000000"/>
                <w:sz w:val="19"/>
              </w:rPr>
              <w:t>Benchmark field accuracy by document type and exception class</w:t>
            </w:r>
          </w:p>
        </w:tc>
        <w:tc>
          <w:tcPr>
            <w:tcW w:w="3168" w:type="dxa"/>
            <w:shd w:val="clear" w:color="auto" w:fill="FFFFFF"/>
            <w:tcMar>
              <w:top w:w="100" w:type="dxa"/>
              <w:left w:w="105" w:type="dxa"/>
              <w:bottom w:w="100" w:type="dxa"/>
              <w:right w:w="105" w:type="dxa"/>
            </w:tcMar>
            <w:vAlign w:val="center"/>
          </w:tcPr>
          <w:p w14:paraId="6EDE71C8" w14:textId="77777777" w:rsidR="006A4D66" w:rsidRDefault="00000000">
            <w:r>
              <w:rPr>
                <w:color w:val="000000"/>
                <w:sz w:val="19"/>
              </w:rPr>
              <w:t>Approved accuracy thresholds and fallback process</w:t>
            </w:r>
          </w:p>
        </w:tc>
      </w:tr>
      <w:tr w:rsidR="006A4D66" w14:paraId="5336F2FE" w14:textId="77777777">
        <w:trPr>
          <w:jc w:val="center"/>
        </w:trPr>
        <w:tc>
          <w:tcPr>
            <w:tcW w:w="1872" w:type="dxa"/>
            <w:shd w:val="clear" w:color="auto" w:fill="FFFFFF"/>
            <w:tcMar>
              <w:top w:w="100" w:type="dxa"/>
              <w:left w:w="105" w:type="dxa"/>
              <w:bottom w:w="100" w:type="dxa"/>
              <w:right w:w="105" w:type="dxa"/>
            </w:tcMar>
            <w:vAlign w:val="center"/>
          </w:tcPr>
          <w:p w14:paraId="6DD62FE0" w14:textId="77777777" w:rsidR="006A4D66" w:rsidRDefault="00000000">
            <w:r>
              <w:rPr>
                <w:color w:val="000000"/>
                <w:sz w:val="19"/>
              </w:rPr>
              <w:t>4. Operational hardening</w:t>
            </w:r>
          </w:p>
        </w:tc>
        <w:tc>
          <w:tcPr>
            <w:tcW w:w="4896" w:type="dxa"/>
            <w:shd w:val="clear" w:color="auto" w:fill="FFFFFF"/>
            <w:tcMar>
              <w:top w:w="100" w:type="dxa"/>
              <w:left w:w="105" w:type="dxa"/>
              <w:bottom w:w="100" w:type="dxa"/>
              <w:right w:w="105" w:type="dxa"/>
            </w:tcMar>
            <w:vAlign w:val="center"/>
          </w:tcPr>
          <w:p w14:paraId="4CF79C69" w14:textId="77777777" w:rsidR="006A4D66" w:rsidRDefault="00000000">
            <w:r>
              <w:rPr>
                <w:color w:val="000000"/>
                <w:sz w:val="19"/>
              </w:rPr>
              <w:t>Add identity, encryption, monitoring, retries, audit retention, and incident procedures</w:t>
            </w:r>
          </w:p>
        </w:tc>
        <w:tc>
          <w:tcPr>
            <w:tcW w:w="3168" w:type="dxa"/>
            <w:shd w:val="clear" w:color="auto" w:fill="FFFFFF"/>
            <w:tcMar>
              <w:top w:w="100" w:type="dxa"/>
              <w:left w:w="105" w:type="dxa"/>
              <w:bottom w:w="100" w:type="dxa"/>
              <w:right w:w="105" w:type="dxa"/>
            </w:tcMar>
            <w:vAlign w:val="center"/>
          </w:tcPr>
          <w:p w14:paraId="52384188" w14:textId="77777777" w:rsidR="006A4D66" w:rsidRDefault="00000000">
            <w:r>
              <w:rPr>
                <w:color w:val="000000"/>
                <w:sz w:val="19"/>
              </w:rPr>
              <w:t>Security and resilience sign-off</w:t>
            </w:r>
          </w:p>
        </w:tc>
      </w:tr>
      <w:tr w:rsidR="006A4D66" w14:paraId="6EC889DC" w14:textId="77777777">
        <w:trPr>
          <w:jc w:val="center"/>
        </w:trPr>
        <w:tc>
          <w:tcPr>
            <w:tcW w:w="1872" w:type="dxa"/>
            <w:shd w:val="clear" w:color="auto" w:fill="FFFFFF"/>
            <w:tcMar>
              <w:top w:w="100" w:type="dxa"/>
              <w:left w:w="105" w:type="dxa"/>
              <w:bottom w:w="100" w:type="dxa"/>
              <w:right w:w="105" w:type="dxa"/>
            </w:tcMar>
            <w:vAlign w:val="center"/>
          </w:tcPr>
          <w:p w14:paraId="7E14EC63" w14:textId="77777777" w:rsidR="006A4D66" w:rsidRDefault="00000000">
            <w:r>
              <w:rPr>
                <w:color w:val="000000"/>
                <w:sz w:val="19"/>
              </w:rPr>
              <w:t>5. Reporting integration</w:t>
            </w:r>
          </w:p>
        </w:tc>
        <w:tc>
          <w:tcPr>
            <w:tcW w:w="4896" w:type="dxa"/>
            <w:shd w:val="clear" w:color="auto" w:fill="FFFFFF"/>
            <w:tcMar>
              <w:top w:w="100" w:type="dxa"/>
              <w:left w:w="105" w:type="dxa"/>
              <w:bottom w:w="100" w:type="dxa"/>
              <w:right w:w="105" w:type="dxa"/>
            </w:tcMar>
            <w:vAlign w:val="center"/>
          </w:tcPr>
          <w:p w14:paraId="03BD844F" w14:textId="77777777" w:rsidR="006A4D66" w:rsidRDefault="00000000">
            <w:r>
              <w:rPr>
                <w:color w:val="000000"/>
                <w:sz w:val="19"/>
              </w:rPr>
              <w:t>Publish controlled overlay to reporting and liquidity workflows</w:t>
            </w:r>
          </w:p>
        </w:tc>
        <w:tc>
          <w:tcPr>
            <w:tcW w:w="3168" w:type="dxa"/>
            <w:shd w:val="clear" w:color="auto" w:fill="FFFFFF"/>
            <w:tcMar>
              <w:top w:w="100" w:type="dxa"/>
              <w:left w:w="105" w:type="dxa"/>
              <w:bottom w:w="100" w:type="dxa"/>
              <w:right w:w="105" w:type="dxa"/>
            </w:tcMar>
            <w:vAlign w:val="center"/>
          </w:tcPr>
          <w:p w14:paraId="18898539" w14:textId="77777777" w:rsidR="006A4D66" w:rsidRDefault="00000000">
            <w:r>
              <w:rPr>
                <w:color w:val="000000"/>
                <w:sz w:val="19"/>
              </w:rPr>
              <w:t>User acceptance and reconciled reporting cycle</w:t>
            </w:r>
          </w:p>
        </w:tc>
      </w:tr>
      <w:tr w:rsidR="006A4D66" w14:paraId="40B7CBC3" w14:textId="77777777">
        <w:trPr>
          <w:jc w:val="center"/>
        </w:trPr>
        <w:tc>
          <w:tcPr>
            <w:tcW w:w="1872" w:type="dxa"/>
            <w:shd w:val="clear" w:color="auto" w:fill="FFFFFF"/>
            <w:tcMar>
              <w:top w:w="100" w:type="dxa"/>
              <w:left w:w="105" w:type="dxa"/>
              <w:bottom w:w="100" w:type="dxa"/>
              <w:right w:w="105" w:type="dxa"/>
            </w:tcMar>
            <w:vAlign w:val="center"/>
          </w:tcPr>
          <w:p w14:paraId="1E5DB8EE" w14:textId="77777777" w:rsidR="006A4D66" w:rsidRDefault="00000000">
            <w:r>
              <w:rPr>
                <w:color w:val="000000"/>
                <w:sz w:val="19"/>
              </w:rPr>
              <w:t>6. Risk expansion</w:t>
            </w:r>
          </w:p>
        </w:tc>
        <w:tc>
          <w:tcPr>
            <w:tcW w:w="4896" w:type="dxa"/>
            <w:shd w:val="clear" w:color="auto" w:fill="FFFFFF"/>
            <w:tcMar>
              <w:top w:w="100" w:type="dxa"/>
              <w:left w:w="105" w:type="dxa"/>
              <w:bottom w:w="100" w:type="dxa"/>
              <w:right w:w="105" w:type="dxa"/>
            </w:tcMar>
            <w:vAlign w:val="center"/>
          </w:tcPr>
          <w:p w14:paraId="0C8C4D9E" w14:textId="77777777" w:rsidR="006A4D66" w:rsidRDefault="00000000">
            <w:r>
              <w:rPr>
                <w:color w:val="000000"/>
                <w:sz w:val="19"/>
              </w:rPr>
              <w:t xml:space="preserve">Add look-through, cash-flow, liquidity, and private-market </w:t>
            </w:r>
            <w:r>
              <w:rPr>
                <w:color w:val="000000"/>
                <w:sz w:val="19"/>
              </w:rPr>
              <w:lastRenderedPageBreak/>
              <w:t>methodologies</w:t>
            </w:r>
          </w:p>
        </w:tc>
        <w:tc>
          <w:tcPr>
            <w:tcW w:w="3168" w:type="dxa"/>
            <w:shd w:val="clear" w:color="auto" w:fill="FFFFFF"/>
            <w:tcMar>
              <w:top w:w="100" w:type="dxa"/>
              <w:left w:w="105" w:type="dxa"/>
              <w:bottom w:w="100" w:type="dxa"/>
              <w:right w:w="105" w:type="dxa"/>
            </w:tcMar>
            <w:vAlign w:val="center"/>
          </w:tcPr>
          <w:p w14:paraId="7D8A60FD" w14:textId="77777777" w:rsidR="006A4D66" w:rsidRDefault="00000000">
            <w:r>
              <w:rPr>
                <w:color w:val="000000"/>
                <w:sz w:val="19"/>
              </w:rPr>
              <w:lastRenderedPageBreak/>
              <w:t xml:space="preserve">Methodology approval and limitation </w:t>
            </w:r>
            <w:r>
              <w:rPr>
                <w:color w:val="000000"/>
                <w:sz w:val="19"/>
              </w:rPr>
              <w:lastRenderedPageBreak/>
              <w:t>disclosure</w:t>
            </w:r>
          </w:p>
        </w:tc>
      </w:tr>
    </w:tbl>
    <w:p w14:paraId="6610C96F" w14:textId="77777777" w:rsidR="006A4D66" w:rsidRDefault="006A4D66">
      <w:pPr>
        <w:spacing w:after="120" w:line="259" w:lineRule="auto"/>
      </w:pPr>
    </w:p>
    <w:p w14:paraId="2D0CA01C" w14:textId="77777777" w:rsidR="006A4D66" w:rsidRDefault="00000000">
      <w:pPr>
        <w:pStyle w:val="Heading2"/>
        <w:spacing w:after="120" w:line="259" w:lineRule="auto"/>
      </w:pPr>
      <w:r>
        <w:rPr>
          <w:rFonts w:ascii="Aptos" w:eastAsia="Aptos" w:hAnsi="Aptos"/>
          <w:b w:val="0"/>
          <w:color w:val="172033"/>
          <w:sz w:val="21"/>
        </w:rPr>
        <w:t>8.5 Delivery Readiness and Handoff</w:t>
      </w:r>
    </w:p>
    <w:p w14:paraId="58672484" w14:textId="77777777" w:rsidR="006A4D66" w:rsidRDefault="00000000">
      <w:pPr>
        <w:spacing w:after="120" w:line="259" w:lineRule="auto"/>
      </w:pPr>
      <w:r>
        <w:rPr>
          <w:rFonts w:ascii="Aptos" w:eastAsia="Aptos" w:hAnsi="Aptos"/>
          <w:color w:val="172033"/>
          <w:sz w:val="21"/>
        </w:rPr>
        <w:t>The current repository meets the fixed demonstration gate: data checks, baseline extraction, validation, approved-only updates, public-proxy risk generation, demo-readiness checks, dashboard start-up, and automated tests all complete successfully. The project should now be evaluated as a coherent proof-of-concept and handoff package rather than expanded indefinitely with additional features.</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4896"/>
        <w:gridCol w:w="5040"/>
      </w:tblGrid>
      <w:tr w:rsidR="006A4D66" w14:paraId="4B3D1B62" w14:textId="77777777">
        <w:trPr>
          <w:tblHeader/>
          <w:jc w:val="center"/>
        </w:trPr>
        <w:tc>
          <w:tcPr>
            <w:tcW w:w="4896" w:type="dxa"/>
            <w:shd w:val="clear" w:color="auto" w:fill="D9EAF7"/>
            <w:tcMar>
              <w:top w:w="100" w:type="dxa"/>
              <w:left w:w="105" w:type="dxa"/>
              <w:bottom w:w="100" w:type="dxa"/>
              <w:right w:w="105" w:type="dxa"/>
            </w:tcMar>
            <w:vAlign w:val="center"/>
          </w:tcPr>
          <w:p w14:paraId="07F0CDB3" w14:textId="77777777" w:rsidR="006A4D66" w:rsidRDefault="00000000">
            <w:pPr>
              <w:jc w:val="center"/>
            </w:pPr>
            <w:r>
              <w:rPr>
                <w:b/>
                <w:color w:val="000000"/>
                <w:sz w:val="19"/>
              </w:rPr>
              <w:t>Final gate</w:t>
            </w:r>
          </w:p>
        </w:tc>
        <w:tc>
          <w:tcPr>
            <w:tcW w:w="5040" w:type="dxa"/>
            <w:shd w:val="clear" w:color="auto" w:fill="D9EAF7"/>
            <w:tcMar>
              <w:top w:w="100" w:type="dxa"/>
              <w:left w:w="105" w:type="dxa"/>
              <w:bottom w:w="100" w:type="dxa"/>
              <w:right w:w="105" w:type="dxa"/>
            </w:tcMar>
            <w:vAlign w:val="center"/>
          </w:tcPr>
          <w:p w14:paraId="3C0FF52A" w14:textId="77777777" w:rsidR="006A4D66" w:rsidRDefault="00000000">
            <w:pPr>
              <w:jc w:val="center"/>
            </w:pPr>
            <w:r>
              <w:rPr>
                <w:b/>
                <w:color w:val="000000"/>
                <w:sz w:val="19"/>
              </w:rPr>
              <w:t>Result</w:t>
            </w:r>
          </w:p>
        </w:tc>
      </w:tr>
      <w:tr w:rsidR="006A4D66" w14:paraId="4F1CB518" w14:textId="77777777">
        <w:trPr>
          <w:jc w:val="center"/>
        </w:trPr>
        <w:tc>
          <w:tcPr>
            <w:tcW w:w="4896" w:type="dxa"/>
            <w:shd w:val="clear" w:color="auto" w:fill="FFFFFF"/>
            <w:tcMar>
              <w:top w:w="100" w:type="dxa"/>
              <w:left w:w="105" w:type="dxa"/>
              <w:bottom w:w="100" w:type="dxa"/>
              <w:right w:w="105" w:type="dxa"/>
            </w:tcMar>
            <w:vAlign w:val="center"/>
          </w:tcPr>
          <w:p w14:paraId="02505140" w14:textId="77777777" w:rsidR="006A4D66" w:rsidRDefault="00000000">
            <w:r>
              <w:rPr>
                <w:color w:val="000000"/>
                <w:sz w:val="19"/>
              </w:rPr>
              <w:t>Data QA</w:t>
            </w:r>
          </w:p>
        </w:tc>
        <w:tc>
          <w:tcPr>
            <w:tcW w:w="5040" w:type="dxa"/>
            <w:shd w:val="clear" w:color="auto" w:fill="FFFFFF"/>
            <w:tcMar>
              <w:top w:w="100" w:type="dxa"/>
              <w:left w:w="105" w:type="dxa"/>
              <w:bottom w:w="100" w:type="dxa"/>
              <w:right w:w="105" w:type="dxa"/>
            </w:tcMar>
            <w:vAlign w:val="center"/>
          </w:tcPr>
          <w:p w14:paraId="5E49C523" w14:textId="77777777" w:rsidR="006A4D66" w:rsidRDefault="00000000">
            <w:r>
              <w:rPr>
                <w:color w:val="000000"/>
                <w:sz w:val="19"/>
              </w:rPr>
              <w:t>26 passed, 0 failed, 0 warnings</w:t>
            </w:r>
          </w:p>
        </w:tc>
      </w:tr>
      <w:tr w:rsidR="006A4D66" w14:paraId="6896B708" w14:textId="77777777">
        <w:trPr>
          <w:jc w:val="center"/>
        </w:trPr>
        <w:tc>
          <w:tcPr>
            <w:tcW w:w="4896" w:type="dxa"/>
            <w:shd w:val="clear" w:color="auto" w:fill="FFFFFF"/>
            <w:tcMar>
              <w:top w:w="100" w:type="dxa"/>
              <w:left w:w="105" w:type="dxa"/>
              <w:bottom w:w="100" w:type="dxa"/>
              <w:right w:w="105" w:type="dxa"/>
            </w:tcMar>
            <w:vAlign w:val="center"/>
          </w:tcPr>
          <w:p w14:paraId="1B5C4159" w14:textId="77777777" w:rsidR="006A4D66" w:rsidRDefault="00000000">
            <w:r>
              <w:rPr>
                <w:color w:val="000000"/>
                <w:sz w:val="19"/>
              </w:rPr>
              <w:t>Demo readiness</w:t>
            </w:r>
          </w:p>
        </w:tc>
        <w:tc>
          <w:tcPr>
            <w:tcW w:w="5040" w:type="dxa"/>
            <w:shd w:val="clear" w:color="auto" w:fill="FFFFFF"/>
            <w:tcMar>
              <w:top w:w="100" w:type="dxa"/>
              <w:left w:w="105" w:type="dxa"/>
              <w:bottom w:w="100" w:type="dxa"/>
              <w:right w:w="105" w:type="dxa"/>
            </w:tcMar>
            <w:vAlign w:val="center"/>
          </w:tcPr>
          <w:p w14:paraId="3D43AED3" w14:textId="77777777" w:rsidR="006A4D66" w:rsidRDefault="00000000">
            <w:r>
              <w:rPr>
                <w:color w:val="000000"/>
                <w:sz w:val="19"/>
              </w:rPr>
              <w:t>20 passed, 0 failed</w:t>
            </w:r>
          </w:p>
        </w:tc>
      </w:tr>
      <w:tr w:rsidR="006A4D66" w14:paraId="4B46CB40" w14:textId="77777777">
        <w:trPr>
          <w:jc w:val="center"/>
        </w:trPr>
        <w:tc>
          <w:tcPr>
            <w:tcW w:w="4896" w:type="dxa"/>
            <w:shd w:val="clear" w:color="auto" w:fill="FFFFFF"/>
            <w:tcMar>
              <w:top w:w="100" w:type="dxa"/>
              <w:left w:w="105" w:type="dxa"/>
              <w:bottom w:w="100" w:type="dxa"/>
              <w:right w:w="105" w:type="dxa"/>
            </w:tcMar>
            <w:vAlign w:val="center"/>
          </w:tcPr>
          <w:p w14:paraId="78F89AB3" w14:textId="77777777" w:rsidR="006A4D66" w:rsidRDefault="00000000">
            <w:r>
              <w:rPr>
                <w:color w:val="000000"/>
                <w:sz w:val="19"/>
              </w:rPr>
              <w:t>Automated tests</w:t>
            </w:r>
          </w:p>
        </w:tc>
        <w:tc>
          <w:tcPr>
            <w:tcW w:w="5040" w:type="dxa"/>
            <w:shd w:val="clear" w:color="auto" w:fill="FFFFFF"/>
            <w:tcMar>
              <w:top w:w="100" w:type="dxa"/>
              <w:left w:w="105" w:type="dxa"/>
              <w:bottom w:w="100" w:type="dxa"/>
              <w:right w:w="105" w:type="dxa"/>
            </w:tcMar>
            <w:vAlign w:val="center"/>
          </w:tcPr>
          <w:p w14:paraId="7453BB56" w14:textId="77777777" w:rsidR="006A4D66" w:rsidRDefault="00000000">
            <w:r>
              <w:rPr>
                <w:color w:val="000000"/>
                <w:sz w:val="19"/>
              </w:rPr>
              <w:t>129 passed; 2 expected warnings</w:t>
            </w:r>
          </w:p>
        </w:tc>
      </w:tr>
      <w:tr w:rsidR="006A4D66" w14:paraId="2096BE41" w14:textId="77777777">
        <w:trPr>
          <w:jc w:val="center"/>
        </w:trPr>
        <w:tc>
          <w:tcPr>
            <w:tcW w:w="4896" w:type="dxa"/>
            <w:shd w:val="clear" w:color="auto" w:fill="FFFFFF"/>
            <w:tcMar>
              <w:top w:w="100" w:type="dxa"/>
              <w:left w:w="105" w:type="dxa"/>
              <w:bottom w:w="100" w:type="dxa"/>
              <w:right w:w="105" w:type="dxa"/>
            </w:tcMar>
            <w:vAlign w:val="center"/>
          </w:tcPr>
          <w:p w14:paraId="75F03D93" w14:textId="77777777" w:rsidR="006A4D66" w:rsidRDefault="00000000">
            <w:r>
              <w:rPr>
                <w:color w:val="000000"/>
                <w:sz w:val="19"/>
              </w:rPr>
              <w:t>Dashboard</w:t>
            </w:r>
          </w:p>
        </w:tc>
        <w:tc>
          <w:tcPr>
            <w:tcW w:w="5040" w:type="dxa"/>
            <w:shd w:val="clear" w:color="auto" w:fill="FFFFFF"/>
            <w:tcMar>
              <w:top w:w="100" w:type="dxa"/>
              <w:left w:w="105" w:type="dxa"/>
              <w:bottom w:w="100" w:type="dxa"/>
              <w:right w:w="105" w:type="dxa"/>
            </w:tcMar>
            <w:vAlign w:val="center"/>
          </w:tcPr>
          <w:p w14:paraId="1C771CC0" w14:textId="77777777" w:rsidR="006A4D66" w:rsidRDefault="00000000">
            <w:r>
              <w:rPr>
                <w:color w:val="000000"/>
                <w:sz w:val="19"/>
              </w:rPr>
              <w:t>Eight delivery pages render</w:t>
            </w:r>
          </w:p>
        </w:tc>
      </w:tr>
      <w:tr w:rsidR="006A4D66" w14:paraId="5E926975" w14:textId="77777777">
        <w:trPr>
          <w:jc w:val="center"/>
        </w:trPr>
        <w:tc>
          <w:tcPr>
            <w:tcW w:w="4896" w:type="dxa"/>
            <w:shd w:val="clear" w:color="auto" w:fill="FFFFFF"/>
            <w:tcMar>
              <w:top w:w="100" w:type="dxa"/>
              <w:left w:w="105" w:type="dxa"/>
              <w:bottom w:w="100" w:type="dxa"/>
              <w:right w:w="105" w:type="dxa"/>
            </w:tcMar>
            <w:vAlign w:val="center"/>
          </w:tcPr>
          <w:p w14:paraId="520D888C" w14:textId="77777777" w:rsidR="006A4D66" w:rsidRDefault="00000000">
            <w:r>
              <w:rPr>
                <w:color w:val="000000"/>
                <w:sz w:val="19"/>
              </w:rPr>
              <w:t>Core workflow</w:t>
            </w:r>
          </w:p>
        </w:tc>
        <w:tc>
          <w:tcPr>
            <w:tcW w:w="5040" w:type="dxa"/>
            <w:shd w:val="clear" w:color="auto" w:fill="FFFFFF"/>
            <w:tcMar>
              <w:top w:w="100" w:type="dxa"/>
              <w:left w:w="105" w:type="dxa"/>
              <w:bottom w:w="100" w:type="dxa"/>
              <w:right w:w="105" w:type="dxa"/>
            </w:tcMar>
            <w:vAlign w:val="center"/>
          </w:tcPr>
          <w:p w14:paraId="6C3C40E4" w14:textId="77777777" w:rsidR="006A4D66" w:rsidRDefault="00000000">
            <w:r>
              <w:rPr>
                <w:color w:val="000000"/>
                <w:sz w:val="19"/>
              </w:rPr>
              <w:t>6 extracted → 3 approved → 3 applied; 3 blocked</w:t>
            </w:r>
          </w:p>
        </w:tc>
      </w:tr>
      <w:tr w:rsidR="006A4D66" w14:paraId="64FCFE7F" w14:textId="77777777">
        <w:trPr>
          <w:jc w:val="center"/>
        </w:trPr>
        <w:tc>
          <w:tcPr>
            <w:tcW w:w="4896" w:type="dxa"/>
            <w:shd w:val="clear" w:color="auto" w:fill="FFFFFF"/>
            <w:tcMar>
              <w:top w:w="100" w:type="dxa"/>
              <w:left w:w="105" w:type="dxa"/>
              <w:bottom w:w="100" w:type="dxa"/>
              <w:right w:w="105" w:type="dxa"/>
            </w:tcMar>
            <w:vAlign w:val="center"/>
          </w:tcPr>
          <w:p w14:paraId="31E4864C" w14:textId="77777777" w:rsidR="006A4D66" w:rsidRDefault="00000000">
            <w:r>
              <w:rPr>
                <w:color w:val="000000"/>
                <w:sz w:val="19"/>
              </w:rPr>
              <w:t>Risk source</w:t>
            </w:r>
          </w:p>
        </w:tc>
        <w:tc>
          <w:tcPr>
            <w:tcW w:w="5040" w:type="dxa"/>
            <w:shd w:val="clear" w:color="auto" w:fill="FFFFFF"/>
            <w:tcMar>
              <w:top w:w="100" w:type="dxa"/>
              <w:left w:w="105" w:type="dxa"/>
              <w:bottom w:w="100" w:type="dxa"/>
              <w:right w:w="105" w:type="dxa"/>
            </w:tcMar>
            <w:vAlign w:val="center"/>
          </w:tcPr>
          <w:p w14:paraId="2700CE74" w14:textId="77777777" w:rsidR="006A4D66" w:rsidRDefault="00000000">
            <w:r>
              <w:rPr>
                <w:color w:val="000000"/>
                <w:sz w:val="19"/>
              </w:rPr>
              <w:t>30 real public proxy tickers</w:t>
            </w:r>
          </w:p>
        </w:tc>
      </w:tr>
    </w:tbl>
    <w:p w14:paraId="58BC3D7B" w14:textId="77777777" w:rsidR="006A4D66" w:rsidRDefault="006A4D66">
      <w:pPr>
        <w:spacing w:after="120" w:line="259" w:lineRule="auto"/>
      </w:pPr>
    </w:p>
    <w:p w14:paraId="488F6E60" w14:textId="77777777" w:rsidR="006A4D66" w:rsidRDefault="00000000">
      <w:pPr>
        <w:pStyle w:val="Heading2"/>
        <w:spacing w:after="120" w:line="259" w:lineRule="auto"/>
      </w:pPr>
      <w:r>
        <w:rPr>
          <w:rFonts w:ascii="Aptos" w:eastAsia="Aptos" w:hAnsi="Aptos"/>
          <w:b w:val="0"/>
          <w:color w:val="172033"/>
          <w:sz w:val="21"/>
        </w:rPr>
        <w:t>8.6 Final Conclusion</w:t>
      </w:r>
    </w:p>
    <w:p w14:paraId="418A38C9" w14:textId="77777777" w:rsidR="006A4D66" w:rsidRDefault="00000000">
      <w:pPr>
        <w:spacing w:after="120" w:line="259" w:lineRule="auto"/>
      </w:pPr>
      <w:r>
        <w:rPr>
          <w:rFonts w:ascii="Aptos" w:eastAsia="Aptos" w:hAnsi="Aptos"/>
          <w:color w:val="172033"/>
          <w:sz w:val="21"/>
        </w:rPr>
        <w:t>The project demonstrates that an AI-enabled family-office reporting workflow is most credible when it is designed as controlled data infrastructure rather than a standalone model or dashboard. The end-to-end value comes from linking source documents, structured extraction, validation, human review, approved portfolio updates, dashboard reporting, liquidity monitoring, and clearly labeled proxy risk.</w:t>
      </w:r>
    </w:p>
    <w:p w14:paraId="6EB13DAD" w14:textId="77777777" w:rsidR="006A4D66" w:rsidRDefault="00000000">
      <w:pPr>
        <w:spacing w:after="120" w:line="259" w:lineRule="auto"/>
      </w:pPr>
      <w:r>
        <w:rPr>
          <w:rFonts w:ascii="Aptos" w:eastAsia="Aptos" w:hAnsi="Aptos"/>
          <w:color w:val="172033"/>
          <w:sz w:val="21"/>
        </w:rPr>
        <w:t>The prototype therefore answers the research question in operational terms: AI can reduce the effort required to prepare and organize private-market information, while data infrastructure makes that information consistent and reusable. However, human authority, data governance, privacy protection, model-risk management, and explicit scope limitations remain necessary for any real implementation.</w:t>
      </w:r>
    </w:p>
    <w:p w14:paraId="2097FAB4" w14:textId="77777777" w:rsidR="006A4D66" w:rsidRDefault="00000000">
      <w:pPr>
        <w:pStyle w:val="Heading2"/>
      </w:pPr>
      <w:r>
        <w:t>8.7 Most Valuable Project Outcome</w:t>
      </w:r>
    </w:p>
    <w:p w14:paraId="0179919A" w14:textId="77777777" w:rsidR="006A4D66" w:rsidRDefault="00000000">
      <w:pPr>
        <w:spacing w:after="100" w:line="259" w:lineRule="auto"/>
      </w:pPr>
      <w:r>
        <w:rPr>
          <w:rFonts w:ascii="Aptos" w:hAnsi="Aptos"/>
          <w:color w:val="1F1F1F"/>
          <w:sz w:val="20"/>
        </w:rPr>
        <w:t>The project's most valuable outcome is the end-to-end, controlled information chain from an unstructured source document to decision-ready portfolio intelligence. Any one component on its own is insufficient: extraction without validation can amplify errors; validation without application logic does not update the portfolio; a dashboard without lineage can make uncertain numbers look authoritative; and a workflow without portfolio context does not help investment decisions.</w:t>
      </w:r>
    </w:p>
    <w:p w14:paraId="2FD37BFD" w14:textId="77777777" w:rsidR="006A4D66" w:rsidRDefault="00000000">
      <w:pPr>
        <w:spacing w:after="100" w:line="259" w:lineRule="auto"/>
      </w:pPr>
      <w:r>
        <w:rPr>
          <w:rFonts w:ascii="Aptos" w:hAnsi="Aptos"/>
          <w:color w:val="1F1F1F"/>
          <w:sz w:val="20"/>
        </w:rPr>
        <w:t>By connecting these components, the proof of concept shows how a family office can improve reporting timeliness while preserving human accountability. The three blocked documents are as important as the three applied documents: they demonstrate that the system is designed to refuse unsafe updates, not simply to maximize automated throughput.</w:t>
      </w:r>
    </w:p>
    <w:p w14:paraId="5F4877D8" w14:textId="77777777" w:rsidR="006A4D66" w:rsidRDefault="00000000">
      <w:pPr>
        <w:pStyle w:val="Heading2"/>
      </w:pPr>
      <w:r>
        <w:t>8.8 Final Research Conclusion and Handoff Position</w:t>
      </w:r>
    </w:p>
    <w:p w14:paraId="7A2A8420" w14:textId="77777777" w:rsidR="006A4D66" w:rsidRDefault="00000000">
      <w:pPr>
        <w:spacing w:after="100" w:line="259" w:lineRule="auto"/>
      </w:pPr>
      <w:r>
        <w:rPr>
          <w:rFonts w:ascii="Aptos" w:hAnsi="Aptos"/>
          <w:color w:val="1F1F1F"/>
          <w:sz w:val="20"/>
        </w:rPr>
        <w:t>The research supports a clear conclusion: AI is most useful in family-office portfolio reporting when it standardizes document interpretation, applies repeatable controls, and directs people to exceptions. The dashboard then converts approved information into a portfolio, liquidity, risk, and workflow view that different stakeholders can use without losing sight of data provenance or reporting cut-offs.</w:t>
      </w:r>
    </w:p>
    <w:p w14:paraId="4C1BC260" w14:textId="77777777" w:rsidR="006A4D66" w:rsidRDefault="00000000">
      <w:pPr>
        <w:spacing w:after="100" w:line="259" w:lineRule="auto"/>
      </w:pPr>
      <w:r>
        <w:rPr>
          <w:rFonts w:ascii="Aptos" w:hAnsi="Aptos"/>
          <w:color w:val="1F1F1F"/>
          <w:sz w:val="20"/>
        </w:rPr>
        <w:lastRenderedPageBreak/>
        <w:t>The delivered system is a presentation-ready proof of concept based entirely on synthetic family-office data. Its deterministic baseline is suitable for reproducible demonstration, while the optional LLM mode provides an experimentation path. Production use would still require security architecture, access controls, model and vendor due diligence, formal approval roles, accounting-system integration, monitoring, and a measured pilot.</w:t>
      </w:r>
    </w:p>
    <w:tbl>
      <w:tblPr>
        <w:tblStyle w:val="TableGrid"/>
        <w:tblW w:w="0" w:type="auto"/>
        <w:jc w:val="center"/>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620" w:firstRow="1" w:lastRow="0" w:firstColumn="0" w:lastColumn="0" w:noHBand="1" w:noVBand="1"/>
        <w:tblCellSpacing w:w="0" w:type="dxa"/>
      </w:tblPr>
      <w:tblGrid>
        <w:gridCol w:w="10152"/>
      </w:tblGrid>
      <w:tr w:rsidR="006A4D66" w14:paraId="7CC69E7A" w14:textId="77777777">
        <w:trPr>
          <w:jc w:val="center"/>
        </w:trPr>
        <w:tc>
          <w:tcPr>
            <w:tcW w:w="10152" w:type="dxa"/>
            <w:shd w:val="clear" w:color="auto" w:fill="D9EAF7"/>
            <w:tcMar>
              <w:top w:w="105" w:type="dxa"/>
              <w:left w:w="120" w:type="dxa"/>
              <w:bottom w:w="105" w:type="dxa"/>
              <w:right w:w="120" w:type="dxa"/>
            </w:tcMar>
            <w:vAlign w:val="center"/>
          </w:tcPr>
          <w:p w14:paraId="5FFCB55D" w14:textId="77777777" w:rsidR="006A4D66" w:rsidRDefault="00000000">
            <w:r>
              <w:rPr>
                <w:b/>
                <w:color w:val="000000"/>
                <w:sz w:val="19"/>
              </w:rPr>
              <w:t xml:space="preserve">Final achievement: </w:t>
            </w:r>
            <w:r>
              <w:rPr>
                <w:color w:val="000000"/>
                <w:sz w:val="19"/>
              </w:rPr>
              <w:t>The project demonstrates that six heterogeneous PDFs can be converted into a controlled portfolio update process in which approved information changes the dashboard, unresolved information remains visible but blocked, and every business-facing view retains a defensible link to workflow state.</w:t>
            </w:r>
          </w:p>
        </w:tc>
      </w:tr>
    </w:tbl>
    <w:p w14:paraId="6ABAAB86" w14:textId="77777777" w:rsidR="00730BCB" w:rsidRDefault="00000000">
      <w:pPr>
        <w:pStyle w:val="Heading1"/>
      </w:pPr>
      <w:r>
        <w:rPr>
          <w:rFonts w:ascii="Arial" w:eastAsia="SimSun" w:hAnsi="Arial" w:cs="Arial"/>
        </w:rPr>
        <w:t>Appendix A. Resource Links</w:t>
      </w:r>
    </w:p>
    <w:p w14:paraId="1653219A" w14:textId="77777777" w:rsidR="00730BCB" w:rsidRDefault="00000000">
      <w:r>
        <w:t>The following resources are linked for further research and citation support. They are also embedded in the relevant report sections above.</w:t>
      </w:r>
    </w:p>
    <w:p w14:paraId="0E3CD655" w14:textId="77777777" w:rsidR="00730BCB" w:rsidRDefault="00730BCB">
      <w:pPr>
        <w:pStyle w:val="ListNumber"/>
      </w:pPr>
      <w:hyperlink r:id="rId32">
        <w:r>
          <w:rPr>
            <w:color w:val="0563C1"/>
            <w:u w:val="single"/>
          </w:rPr>
          <w:t>Citi Private Bank - Consolidated Reporting in Family Offices</w:t>
        </w:r>
      </w:hyperlink>
    </w:p>
    <w:p w14:paraId="4EF735FF" w14:textId="77777777" w:rsidR="00730BCB" w:rsidRDefault="00730BCB">
      <w:pPr>
        <w:pStyle w:val="ListNumber"/>
      </w:pPr>
      <w:hyperlink r:id="rId33">
        <w:r>
          <w:rPr>
            <w:color w:val="0563C1"/>
            <w:u w:val="single"/>
          </w:rPr>
          <w:t>Citi Private Bank - 2025 Global Family Office Report</w:t>
        </w:r>
      </w:hyperlink>
    </w:p>
    <w:p w14:paraId="7CDF5D89" w14:textId="77777777" w:rsidR="00730BCB" w:rsidRDefault="00730BCB">
      <w:pPr>
        <w:pStyle w:val="ListNumber"/>
      </w:pPr>
      <w:hyperlink r:id="rId34">
        <w:r>
          <w:rPr>
            <w:color w:val="0563C1"/>
            <w:u w:val="single"/>
          </w:rPr>
          <w:t>Campden Wealth - The Family Office Operational Excellence Report 2025</w:t>
        </w:r>
      </w:hyperlink>
    </w:p>
    <w:p w14:paraId="2014522C" w14:textId="77777777" w:rsidR="00730BCB" w:rsidRDefault="00730BCB">
      <w:pPr>
        <w:pStyle w:val="ListNumber"/>
      </w:pPr>
      <w:hyperlink r:id="rId35">
        <w:r>
          <w:rPr>
            <w:color w:val="0563C1"/>
            <w:u w:val="single"/>
          </w:rPr>
          <w:t>AlTi Tiedemann Global - Introducing the 2025 Family Office Operational Excellence Report</w:t>
        </w:r>
      </w:hyperlink>
    </w:p>
    <w:p w14:paraId="46A13022" w14:textId="77777777" w:rsidR="00730BCB" w:rsidRDefault="00730BCB">
      <w:pPr>
        <w:pStyle w:val="ListNumber"/>
      </w:pPr>
      <w:hyperlink r:id="rId36">
        <w:r>
          <w:rPr>
            <w:color w:val="0563C1"/>
            <w:u w:val="single"/>
          </w:rPr>
          <w:t>HSBC Global Private Banking - The European Family Office Report 2024</w:t>
        </w:r>
      </w:hyperlink>
    </w:p>
    <w:p w14:paraId="30C07380" w14:textId="77777777" w:rsidR="00730BCB" w:rsidRDefault="00730BCB">
      <w:pPr>
        <w:pStyle w:val="ListNumber"/>
      </w:pPr>
      <w:hyperlink r:id="rId37">
        <w:r>
          <w:rPr>
            <w:color w:val="0563C1"/>
            <w:u w:val="single"/>
          </w:rPr>
          <w:t>Landytech - Family Offices in the Digital Age: Data and the Reporting Challenge</w:t>
        </w:r>
      </w:hyperlink>
    </w:p>
    <w:p w14:paraId="621BC599" w14:textId="77777777" w:rsidR="00730BCB" w:rsidRDefault="00730BCB">
      <w:pPr>
        <w:pStyle w:val="ListNumber"/>
      </w:pPr>
      <w:hyperlink r:id="rId38">
        <w:r>
          <w:rPr>
            <w:color w:val="0563C1"/>
            <w:u w:val="single"/>
          </w:rPr>
          <w:t>ILPA - Templates, Standards &amp; Model Documents</w:t>
        </w:r>
      </w:hyperlink>
    </w:p>
    <w:p w14:paraId="5E785F17" w14:textId="77777777" w:rsidR="00730BCB" w:rsidRDefault="00730BCB">
      <w:pPr>
        <w:pStyle w:val="ListNumber"/>
      </w:pPr>
      <w:hyperlink r:id="rId39">
        <w:r>
          <w:rPr>
            <w:color w:val="0563C1"/>
            <w:u w:val="single"/>
          </w:rPr>
          <w:t>ILPA - Reporting Template</w:t>
        </w:r>
      </w:hyperlink>
    </w:p>
    <w:p w14:paraId="4AE4CD65" w14:textId="77777777" w:rsidR="00730BCB" w:rsidRDefault="00730BCB">
      <w:pPr>
        <w:pStyle w:val="ListNumber"/>
      </w:pPr>
      <w:hyperlink r:id="rId40">
        <w:r>
          <w:rPr>
            <w:color w:val="0563C1"/>
            <w:u w:val="single"/>
          </w:rPr>
          <w:t>ILPA - Reporting Template v. 2.0</w:t>
        </w:r>
      </w:hyperlink>
    </w:p>
    <w:p w14:paraId="46A885F1" w14:textId="77777777" w:rsidR="00730BCB" w:rsidRDefault="00730BCB">
      <w:pPr>
        <w:pStyle w:val="ListNumber"/>
      </w:pPr>
      <w:hyperlink r:id="rId41">
        <w:r>
          <w:rPr>
            <w:color w:val="0563C1"/>
            <w:u w:val="single"/>
          </w:rPr>
          <w:t>ILPA - Quarterly Reporting Standards</w:t>
        </w:r>
      </w:hyperlink>
    </w:p>
    <w:p w14:paraId="4A2737C1" w14:textId="77777777" w:rsidR="00730BCB" w:rsidRDefault="00730BCB">
      <w:pPr>
        <w:pStyle w:val="ListNumber"/>
      </w:pPr>
      <w:hyperlink r:id="rId42">
        <w:r>
          <w:rPr>
            <w:color w:val="0563C1"/>
            <w:u w:val="single"/>
          </w:rPr>
          <w:t>ILPA - Capital Call &amp; Distribution Template</w:t>
        </w:r>
      </w:hyperlink>
    </w:p>
    <w:p w14:paraId="5D92D2B5" w14:textId="77777777" w:rsidR="00730BCB" w:rsidRDefault="00730BCB">
      <w:pPr>
        <w:pStyle w:val="ListNumber"/>
      </w:pPr>
      <w:hyperlink r:id="rId43">
        <w:r>
          <w:rPr>
            <w:color w:val="0563C1"/>
            <w:u w:val="single"/>
          </w:rPr>
          <w:t>CFA Institute - Private Markets: Governance Issues</w:t>
        </w:r>
      </w:hyperlink>
    </w:p>
    <w:p w14:paraId="64AA63A9" w14:textId="77777777" w:rsidR="00730BCB" w:rsidRDefault="00730BCB">
      <w:pPr>
        <w:pStyle w:val="ListNumber"/>
      </w:pPr>
      <w:hyperlink r:id="rId44">
        <w:r>
          <w:rPr>
            <w:color w:val="0563C1"/>
            <w:u w:val="single"/>
          </w:rPr>
          <w:t>CAIA Association - Assessing Risk of Private Equity: What is the Proxy?</w:t>
        </w:r>
      </w:hyperlink>
    </w:p>
    <w:p w14:paraId="77BE3889" w14:textId="77777777" w:rsidR="00730BCB" w:rsidRDefault="00730BCB">
      <w:pPr>
        <w:pStyle w:val="ListNumber"/>
      </w:pPr>
      <w:hyperlink r:id="rId45">
        <w:r>
          <w:rPr>
            <w:color w:val="0563C1"/>
            <w:u w:val="single"/>
          </w:rPr>
          <w:t>Carta - What is a Capital Call in Private Equity and Venture Capital?</w:t>
        </w:r>
      </w:hyperlink>
    </w:p>
    <w:p w14:paraId="578BE06C" w14:textId="77777777" w:rsidR="00730BCB" w:rsidRDefault="00730BCB">
      <w:pPr>
        <w:pStyle w:val="ListNumber"/>
      </w:pPr>
      <w:hyperlink r:id="rId46">
        <w:r>
          <w:rPr>
            <w:color w:val="0563C1"/>
            <w:u w:val="single"/>
          </w:rPr>
          <w:t>Carta - Purpose-Built Data Extraction for Private Capital Call Schedules</w:t>
        </w:r>
      </w:hyperlink>
    </w:p>
    <w:p w14:paraId="2C2D646E" w14:textId="77777777" w:rsidR="00730BCB" w:rsidRDefault="00730BCB">
      <w:pPr>
        <w:pStyle w:val="ListNumber"/>
      </w:pPr>
      <w:hyperlink r:id="rId47">
        <w:r>
          <w:rPr>
            <w:color w:val="0563C1"/>
            <w:u w:val="single"/>
          </w:rPr>
          <w:t>Citi Institute - AI in the Family Office</w:t>
        </w:r>
      </w:hyperlink>
    </w:p>
    <w:p w14:paraId="64729797" w14:textId="77777777" w:rsidR="00730BCB" w:rsidRDefault="00730BCB">
      <w:pPr>
        <w:pStyle w:val="ListNumber"/>
      </w:pPr>
      <w:hyperlink r:id="rId48">
        <w:r>
          <w:rPr>
            <w:color w:val="0563C1"/>
            <w:u w:val="single"/>
          </w:rPr>
          <w:t>Simple - AI for Family Offices: Strategy &amp; Governance</w:t>
        </w:r>
      </w:hyperlink>
    </w:p>
    <w:p w14:paraId="1B2E6E93" w14:textId="77777777" w:rsidR="00730BCB" w:rsidRDefault="00730BCB">
      <w:pPr>
        <w:pStyle w:val="ListNumber"/>
      </w:pPr>
      <w:hyperlink r:id="rId49">
        <w:r>
          <w:rPr>
            <w:color w:val="0563C1"/>
            <w:u w:val="single"/>
          </w:rPr>
          <w:t>NIST - AI Risk Management Framework</w:t>
        </w:r>
      </w:hyperlink>
    </w:p>
    <w:p w14:paraId="5F54B466" w14:textId="77777777" w:rsidR="00730BCB" w:rsidRDefault="00730BCB">
      <w:pPr>
        <w:pStyle w:val="ListNumber"/>
      </w:pPr>
      <w:hyperlink r:id="rId50">
        <w:r>
          <w:rPr>
            <w:color w:val="0563C1"/>
            <w:u w:val="single"/>
          </w:rPr>
          <w:t>NIST - AI RMF 1.0 PDF</w:t>
        </w:r>
      </w:hyperlink>
    </w:p>
    <w:p w14:paraId="4F999355" w14:textId="77777777" w:rsidR="00730BCB" w:rsidRDefault="00730BCB">
      <w:pPr>
        <w:pStyle w:val="ListNumber"/>
      </w:pPr>
      <w:hyperlink r:id="rId51">
        <w:r>
          <w:rPr>
            <w:color w:val="0563C1"/>
            <w:u w:val="single"/>
          </w:rPr>
          <w:t>OECD - AI Principles</w:t>
        </w:r>
      </w:hyperlink>
    </w:p>
    <w:p w14:paraId="51B5FB65" w14:textId="77777777" w:rsidR="00730BCB" w:rsidRDefault="00730BCB">
      <w:pPr>
        <w:pStyle w:val="ListNumber"/>
      </w:pPr>
      <w:hyperlink r:id="rId52">
        <w:r>
          <w:rPr>
            <w:color w:val="0563C1"/>
            <w:u w:val="single"/>
          </w:rPr>
          <w:t>J.P. Morgan Private Bank - How much does AI already know about you and your family office?</w:t>
        </w:r>
      </w:hyperlink>
    </w:p>
    <w:sectPr w:rsidR="00730BCB" w:rsidSect="00034616">
      <w:headerReference w:type="default" r:id="rId53"/>
      <w:footerReference w:type="default" r:id="rId54"/>
      <w:pgSz w:w="12240" w:h="15840"/>
      <w:pgMar w:top="864" w:right="864" w:bottom="806" w:left="86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2C54" w14:textId="77777777" w:rsidR="00BB19E9" w:rsidRDefault="00BB19E9">
      <w:r>
        <w:separator/>
      </w:r>
    </w:p>
  </w:endnote>
  <w:endnote w:type="continuationSeparator" w:id="0">
    <w:p w14:paraId="3DFF03AB" w14:textId="77777777" w:rsidR="00BB19E9" w:rsidRDefault="00BB1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EF05" w14:textId="77777777" w:rsidR="00730BCB" w:rsidRDefault="00000000">
    <w:pPr>
      <w:pStyle w:val="Footer"/>
      <w:jc w:val="center"/>
    </w:pPr>
    <w:r>
      <w:rPr>
        <w:rFonts w:ascii="Arial" w:hAnsi="Arial"/>
        <w:color w:val="5A5A5A"/>
        <w:sz w:val="18"/>
      </w:rPr>
      <w:fldChar w:fldCharType="begin"/>
    </w:r>
    <w:r>
      <w:rPr>
        <w:rFonts w:ascii="Arial" w:hAnsi="Arial"/>
        <w:color w:val="5A5A5A"/>
        <w:sz w:val="18"/>
      </w:rPr>
      <w:instrText>PAGE</w:instrText>
    </w:r>
    <w:r>
      <w:rPr>
        <w:rFonts w:ascii="Arial" w:hAnsi="Arial"/>
        <w:color w:val="5A5A5A"/>
        <w:sz w:val="18"/>
      </w:rPr>
      <w:fldChar w:fldCharType="separate"/>
    </w:r>
    <w:r w:rsidR="0005241A">
      <w:rPr>
        <w:rFonts w:ascii="Arial" w:hAnsi="Arial"/>
        <w:noProof/>
        <w:color w:val="5A5A5A"/>
        <w:sz w:val="18"/>
      </w:rPr>
      <w:t>1</w:t>
    </w:r>
    <w:r>
      <w:rPr>
        <w:rFonts w:ascii="Arial" w:hAnsi="Arial"/>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372B" w14:textId="77777777" w:rsidR="00BB19E9" w:rsidRDefault="00BB19E9">
      <w:r>
        <w:separator/>
      </w:r>
    </w:p>
  </w:footnote>
  <w:footnote w:type="continuationSeparator" w:id="0">
    <w:p w14:paraId="4858C410" w14:textId="77777777" w:rsidR="00BB19E9" w:rsidRDefault="00BB1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D64F" w14:textId="77777777" w:rsidR="009A325F" w:rsidRDefault="00000000">
    <w:pPr>
      <w:pStyle w:val="Header"/>
      <w:jc w:val="center"/>
    </w:pPr>
    <w:r>
      <w:rPr>
        <w:rFonts w:ascii="Arial" w:hAnsi="Arial" w:cs="Arial"/>
        <w:color w:val="5A5A5A"/>
        <w:sz w:val="18"/>
      </w:rPr>
      <w:t>AI-Powered Family Office Portfolio Dashboard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04">
    <w:abstractNumId w:val="8"/>
  </w:num>
  <w:num w:numId="2" w16cid:durableId="1334840856">
    <w:abstractNumId w:val="6"/>
  </w:num>
  <w:num w:numId="3" w16cid:durableId="732002154">
    <w:abstractNumId w:val="5"/>
  </w:num>
  <w:num w:numId="4" w16cid:durableId="493303007">
    <w:abstractNumId w:val="4"/>
  </w:num>
  <w:num w:numId="5" w16cid:durableId="1222133264">
    <w:abstractNumId w:val="7"/>
  </w:num>
  <w:num w:numId="6" w16cid:durableId="1371298135">
    <w:abstractNumId w:val="3"/>
  </w:num>
  <w:num w:numId="7" w16cid:durableId="913316066">
    <w:abstractNumId w:val="2"/>
  </w:num>
  <w:num w:numId="8" w16cid:durableId="1924560747">
    <w:abstractNumId w:val="1"/>
  </w:num>
  <w:num w:numId="9" w16cid:durableId="21053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1A"/>
    <w:rsid w:val="0006063C"/>
    <w:rsid w:val="0015074B"/>
    <w:rsid w:val="0029639D"/>
    <w:rsid w:val="00296531"/>
    <w:rsid w:val="002A4A1E"/>
    <w:rsid w:val="002B020F"/>
    <w:rsid w:val="002F2433"/>
    <w:rsid w:val="00326F90"/>
    <w:rsid w:val="004036F7"/>
    <w:rsid w:val="006A4D66"/>
    <w:rsid w:val="006E7617"/>
    <w:rsid w:val="006E7D7F"/>
    <w:rsid w:val="00730BCB"/>
    <w:rsid w:val="00764F9C"/>
    <w:rsid w:val="007840C3"/>
    <w:rsid w:val="00884E69"/>
    <w:rsid w:val="00931D43"/>
    <w:rsid w:val="00971274"/>
    <w:rsid w:val="009A325F"/>
    <w:rsid w:val="00A70FFF"/>
    <w:rsid w:val="00AA1D8D"/>
    <w:rsid w:val="00AD7534"/>
    <w:rsid w:val="00B47730"/>
    <w:rsid w:val="00BB19E9"/>
    <w:rsid w:val="00C47B23"/>
    <w:rsid w:val="00C817C0"/>
    <w:rsid w:val="00CB0664"/>
    <w:rsid w:val="00D421E6"/>
    <w:rsid w:val="00D74312"/>
    <w:rsid w:val="00D82F12"/>
    <w:rsid w:val="00FC693F"/>
    <w:rsid w:val="00FD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CAC01"/>
  <w14:defaultImageDpi w14:val="300"/>
  <w15:docId w15:val="{DE26CA30-3A60-EF43-A51E-29F76107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7F"/>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50" w:after="75" w:line="252"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120" w:after="60" w:line="252" w:lineRule="auto"/>
      <w:outlineLvl w:val="3"/>
    </w:pPr>
    <w:rPr>
      <w:rFonts w:asciiTheme="majorHAnsi" w:eastAsiaTheme="majorEastAsia" w:hAnsiTheme="majorHAnsi" w:cstheme="majorBidi"/>
      <w:b/>
      <w:bCs/>
      <w:iCs/>
      <w:color w:val="1F4E79"/>
    </w:rPr>
  </w:style>
  <w:style w:type="paragraph" w:styleId="Heading5">
    <w:name w:val="heading 5"/>
    <w:basedOn w:val="Normal"/>
    <w:next w:val="Normal"/>
    <w:link w:val="Heading5Char"/>
    <w:uiPriority w:val="9"/>
    <w:semiHidden/>
    <w:unhideWhenUsed/>
    <w:qFormat/>
    <w:rsid w:val="00FC693F"/>
    <w:pPr>
      <w:keepNext/>
      <w:keepLines/>
      <w:spacing w:before="120" w:after="60" w:line="252" w:lineRule="auto"/>
      <w:outlineLvl w:val="4"/>
    </w:pPr>
    <w:rPr>
      <w:rFonts w:asciiTheme="majorHAnsi" w:eastAsiaTheme="majorEastAsia" w:hAnsiTheme="majorHAnsi" w:cstheme="majorBidi"/>
      <w:b/>
      <w:color w:val="1F4E79"/>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276" w:lineRule="auto"/>
    </w:pPr>
    <w:rPr>
      <w:rFonts w:eastAsia="SimSu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pPr>
    <w:rPr>
      <w:rFonts w:eastAsia="SimSun"/>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20" w:line="276" w:lineRule="auto"/>
      <w:contextualSpacing/>
      <w:jc w:val="center"/>
    </w:pPr>
    <w:rPr>
      <w:rFonts w:asciiTheme="majorHAnsi" w:eastAsiaTheme="majorEastAsia" w:hAnsiTheme="majorHAnsi" w:cstheme="majorBidi"/>
      <w:b/>
      <w:color w:val="1F4E79"/>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spacing w:after="270" w:line="276" w:lineRule="auto"/>
      <w:jc w:val="center"/>
    </w:pPr>
    <w:rPr>
      <w:rFonts w:asciiTheme="majorHAnsi" w:eastAsiaTheme="majorEastAsia" w:hAnsiTheme="majorHAnsi" w:cstheme="majorBidi"/>
      <w:i/>
      <w:iCs/>
      <w:color w:val="5A5A5A"/>
      <w:sz w:val="23"/>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spacing w:after="120" w:line="276" w:lineRule="auto"/>
      <w:ind w:left="720"/>
      <w:contextualSpacing/>
    </w:pPr>
    <w:rPr>
      <w:rFonts w:eastAsia="SimSun"/>
      <w:sz w:val="22"/>
    </w:rPr>
  </w:style>
  <w:style w:type="paragraph" w:styleId="BodyText">
    <w:name w:val="Body Text"/>
    <w:basedOn w:val="Normal"/>
    <w:link w:val="BodyTextChar"/>
    <w:uiPriority w:val="99"/>
    <w:unhideWhenUsed/>
    <w:rsid w:val="00AA1D8D"/>
    <w:pPr>
      <w:spacing w:after="120" w:line="276" w:lineRule="auto"/>
    </w:pPr>
    <w:rPr>
      <w:rFonts w:eastAsia="SimSu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imSun"/>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SimSu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eastAsia="SimSun"/>
      <w:sz w:val="22"/>
    </w:rPr>
  </w:style>
  <w:style w:type="paragraph" w:styleId="List2">
    <w:name w:val="List 2"/>
    <w:basedOn w:val="Normal"/>
    <w:uiPriority w:val="99"/>
    <w:unhideWhenUsed/>
    <w:rsid w:val="00326F90"/>
    <w:pPr>
      <w:spacing w:after="120" w:line="276" w:lineRule="auto"/>
      <w:ind w:left="720" w:hanging="360"/>
      <w:contextualSpacing/>
    </w:pPr>
    <w:rPr>
      <w:rFonts w:eastAsia="SimSun"/>
      <w:sz w:val="22"/>
    </w:rPr>
  </w:style>
  <w:style w:type="paragraph" w:styleId="List3">
    <w:name w:val="List 3"/>
    <w:basedOn w:val="Normal"/>
    <w:uiPriority w:val="99"/>
    <w:unhideWhenUsed/>
    <w:rsid w:val="00326F90"/>
    <w:pPr>
      <w:spacing w:after="120" w:line="276" w:lineRule="auto"/>
      <w:ind w:left="1080" w:hanging="360"/>
      <w:contextualSpacing/>
    </w:pPr>
    <w:rPr>
      <w:rFonts w:eastAsia="SimSun"/>
      <w:sz w:val="22"/>
    </w:rPr>
  </w:style>
  <w:style w:type="paragraph" w:styleId="ListBullet">
    <w:name w:val="List Bullet"/>
    <w:basedOn w:val="Normal"/>
    <w:uiPriority w:val="99"/>
    <w:unhideWhenUsed/>
    <w:rsid w:val="00326F90"/>
    <w:pPr>
      <w:numPr>
        <w:numId w:val="1"/>
      </w:numPr>
      <w:spacing w:after="60" w:line="276" w:lineRule="auto"/>
      <w:contextualSpacing/>
    </w:pPr>
    <w:rPr>
      <w:rFonts w:eastAsia="SimSun"/>
      <w:sz w:val="22"/>
    </w:rPr>
  </w:style>
  <w:style w:type="paragraph" w:styleId="ListBullet2">
    <w:name w:val="List Bullet 2"/>
    <w:basedOn w:val="Normal"/>
    <w:uiPriority w:val="99"/>
    <w:unhideWhenUsed/>
    <w:rsid w:val="00326F90"/>
    <w:pPr>
      <w:numPr>
        <w:numId w:val="2"/>
      </w:numPr>
      <w:spacing w:after="120" w:line="276" w:lineRule="auto"/>
      <w:contextualSpacing/>
    </w:pPr>
    <w:rPr>
      <w:rFonts w:eastAsia="SimSun"/>
      <w:sz w:val="22"/>
    </w:rPr>
  </w:style>
  <w:style w:type="paragraph" w:styleId="ListBullet3">
    <w:name w:val="List Bullet 3"/>
    <w:basedOn w:val="Normal"/>
    <w:uiPriority w:val="99"/>
    <w:unhideWhenUsed/>
    <w:rsid w:val="00326F90"/>
    <w:pPr>
      <w:numPr>
        <w:numId w:val="3"/>
      </w:numPr>
      <w:spacing w:after="120" w:line="276" w:lineRule="auto"/>
      <w:contextualSpacing/>
    </w:pPr>
    <w:rPr>
      <w:rFonts w:eastAsia="SimSun"/>
      <w:sz w:val="22"/>
    </w:rPr>
  </w:style>
  <w:style w:type="paragraph" w:styleId="ListNumber">
    <w:name w:val="List Number"/>
    <w:basedOn w:val="Normal"/>
    <w:uiPriority w:val="99"/>
    <w:unhideWhenUsed/>
    <w:rsid w:val="00326F90"/>
    <w:pPr>
      <w:numPr>
        <w:numId w:val="5"/>
      </w:numPr>
      <w:spacing w:after="120" w:line="276" w:lineRule="auto"/>
      <w:contextualSpacing/>
    </w:pPr>
    <w:rPr>
      <w:rFonts w:eastAsia="SimSun"/>
      <w:sz w:val="22"/>
    </w:rPr>
  </w:style>
  <w:style w:type="paragraph" w:styleId="ListNumber2">
    <w:name w:val="List Number 2"/>
    <w:basedOn w:val="Normal"/>
    <w:uiPriority w:val="99"/>
    <w:unhideWhenUsed/>
    <w:rsid w:val="0029639D"/>
    <w:pPr>
      <w:numPr>
        <w:numId w:val="6"/>
      </w:numPr>
      <w:spacing w:after="120" w:line="276" w:lineRule="auto"/>
      <w:contextualSpacing/>
    </w:pPr>
    <w:rPr>
      <w:rFonts w:eastAsia="SimSun"/>
      <w:sz w:val="22"/>
    </w:rPr>
  </w:style>
  <w:style w:type="paragraph" w:styleId="ListNumber3">
    <w:name w:val="List Number 3"/>
    <w:basedOn w:val="Normal"/>
    <w:uiPriority w:val="99"/>
    <w:unhideWhenUsed/>
    <w:rsid w:val="0029639D"/>
    <w:pPr>
      <w:numPr>
        <w:numId w:val="7"/>
      </w:numPr>
      <w:spacing w:after="120" w:line="276" w:lineRule="auto"/>
      <w:contextualSpacing/>
    </w:pPr>
    <w:rPr>
      <w:rFonts w:eastAsia="SimSun"/>
      <w:sz w:val="22"/>
    </w:rPr>
  </w:style>
  <w:style w:type="paragraph" w:styleId="ListContinue">
    <w:name w:val="List Continue"/>
    <w:basedOn w:val="Normal"/>
    <w:uiPriority w:val="99"/>
    <w:unhideWhenUsed/>
    <w:rsid w:val="0029639D"/>
    <w:pPr>
      <w:spacing w:after="120" w:line="276" w:lineRule="auto"/>
      <w:ind w:left="360"/>
      <w:contextualSpacing/>
    </w:pPr>
    <w:rPr>
      <w:rFonts w:eastAsia="SimSun"/>
      <w:sz w:val="22"/>
    </w:rPr>
  </w:style>
  <w:style w:type="paragraph" w:styleId="ListContinue2">
    <w:name w:val="List Continue 2"/>
    <w:basedOn w:val="Normal"/>
    <w:uiPriority w:val="99"/>
    <w:unhideWhenUsed/>
    <w:rsid w:val="0029639D"/>
    <w:pPr>
      <w:spacing w:after="120" w:line="276" w:lineRule="auto"/>
      <w:ind w:left="720"/>
      <w:contextualSpacing/>
    </w:pPr>
    <w:rPr>
      <w:rFonts w:eastAsia="SimSun"/>
      <w:sz w:val="22"/>
    </w:rPr>
  </w:style>
  <w:style w:type="paragraph" w:styleId="ListContinue3">
    <w:name w:val="List Continue 3"/>
    <w:basedOn w:val="Normal"/>
    <w:uiPriority w:val="99"/>
    <w:unhideWhenUsed/>
    <w:rsid w:val="0029639D"/>
    <w:pPr>
      <w:spacing w:after="120" w:line="276" w:lineRule="auto"/>
      <w:ind w:left="1080"/>
      <w:contextualSpacing/>
    </w:pPr>
    <w:rPr>
      <w:rFonts w:eastAsia="SimSu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eastAsia="SimSu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SimSu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ead">
    <w:name w:val="Resource Lead"/>
    <w:basedOn w:val="Normal"/>
    <w:pPr>
      <w:spacing w:before="60" w:after="30" w:line="276" w:lineRule="auto"/>
    </w:pPr>
    <w:rPr>
      <w:rFonts w:eastAsia="SimSun" w:cs="Arial"/>
      <w:b/>
      <w:color w:val="5A5A5A"/>
      <w:sz w:val="20"/>
    </w:rPr>
  </w:style>
  <w:style w:type="paragraph" w:customStyle="1" w:styleId="ResourceBullet">
    <w:name w:val="Resource Bullet"/>
    <w:basedOn w:val="Normal"/>
    <w:pPr>
      <w:spacing w:after="30" w:line="276" w:lineRule="auto"/>
      <w:ind w:left="259" w:hanging="259"/>
    </w:pPr>
    <w:rPr>
      <w:rFonts w:eastAsia="SimSun"/>
      <w:color w:val="464646"/>
      <w:sz w:val="19"/>
    </w:rPr>
  </w:style>
  <w:style w:type="paragraph" w:customStyle="1" w:styleId="Box">
    <w:name w:val="Box"/>
    <w:basedOn w:val="Normal"/>
    <w:pPr>
      <w:spacing w:after="120" w:line="276" w:lineRule="auto"/>
      <w:ind w:left="216" w:right="216"/>
    </w:pPr>
    <w:rPr>
      <w:rFonts w:eastAsia="SimSun"/>
      <w:sz w:val="20"/>
    </w:rPr>
  </w:style>
  <w:style w:type="paragraph" w:styleId="NormalWeb">
    <w:name w:val="Normal (Web)"/>
    <w:basedOn w:val="Normal"/>
    <w:uiPriority w:val="99"/>
    <w:unhideWhenUsed/>
    <w:rsid w:val="007840C3"/>
    <w:pPr>
      <w:spacing w:before="100" w:beforeAutospacing="1" w:after="100" w:afterAutospacing="1" w:line="276" w:lineRule="auto"/>
    </w:pPr>
    <w:rPr>
      <w:rFonts w:eastAsia="SimSun"/>
      <w:sz w:val="22"/>
    </w:rPr>
  </w:style>
  <w:style w:type="table" w:styleId="PlainTable1">
    <w:name w:val="Plain Table 1"/>
    <w:basedOn w:val="TableNormal"/>
    <w:uiPriority w:val="99"/>
    <w:rsid w:val="0078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E7D7F"/>
    <w:rPr>
      <w:rFonts w:ascii="Courier New" w:eastAsia="Times New Roman" w:hAnsi="Courier New" w:cs="Courier New"/>
      <w:sz w:val="20"/>
      <w:szCs w:val="20"/>
    </w:rPr>
  </w:style>
  <w:style w:type="table" w:styleId="GridTable1Light-Accent5">
    <w:name w:val="Grid Table 1 Light Accent 5"/>
    <w:basedOn w:val="TableNormal"/>
    <w:uiPriority w:val="46"/>
    <w:rsid w:val="00D7431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6ColourfulAccent1">
    <w:name w:val="Grid Table 6 Colorful Accent 1"/>
    <w:basedOn w:val="TableNormal"/>
    <w:uiPriority w:val="51"/>
    <w:rsid w:val="00D7431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D743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pa.org/industry-guidance/templates-standards-model-documents/ilpa-templates-hub/ilpa-reporting-template/" TargetMode="External"/><Relationship Id="rId18" Type="http://schemas.openxmlformats.org/officeDocument/2006/relationships/hyperlink" Target="https://ilpa.org/industry-guidance/templates-standards-model-documents/ilpa-templates-hub/ilpa-capital-call-distribution-template/" TargetMode="External"/><Relationship Id="rId26" Type="http://schemas.openxmlformats.org/officeDocument/2006/relationships/hyperlink" Target="https://www.nist.gov/itl/ai-risk-management-framework" TargetMode="External"/><Relationship Id="rId39" Type="http://schemas.openxmlformats.org/officeDocument/2006/relationships/hyperlink" Target="https://ilpa.org/industry-guidance/templates-standards-model-documents/ilpa-templates-hub/ilpa-reporting-template/" TargetMode="External"/><Relationship Id="rId21" Type="http://schemas.openxmlformats.org/officeDocument/2006/relationships/hyperlink" Target="https://carta.com/sg/en/blog/data-extraction-capital-call-schedules/" TargetMode="External"/><Relationship Id="rId34" Type="http://schemas.openxmlformats.org/officeDocument/2006/relationships/hyperlink" Target="https://www.campdenwealth.com/form/the-family-office-operational-ex" TargetMode="External"/><Relationship Id="rId42" Type="http://schemas.openxmlformats.org/officeDocument/2006/relationships/hyperlink" Target="https://ilpa.org/industry-guidance/templates-standards-model-documents/ilpa-templates-hub/ilpa-capital-call-distribution-template/" TargetMode="External"/><Relationship Id="rId47" Type="http://schemas.openxmlformats.org/officeDocument/2006/relationships/hyperlink" Target="https://www.citigroup.com/rcs/citigpa/storage/public/ai_in_the_family_office.pdf" TargetMode="External"/><Relationship Id="rId50" Type="http://schemas.openxmlformats.org/officeDocument/2006/relationships/hyperlink" Target="https://nvlpubs.nist.gov/nistpubs/ai/nist.ai.100-1.pdf"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pc.cfainstitute.org/research/surveys/2024/private-markets-governance-issues" TargetMode="External"/><Relationship Id="rId29" Type="http://schemas.openxmlformats.org/officeDocument/2006/relationships/hyperlink" Target="https://privatebank.jpmorgan.com/apac/en/insights/markets-and-investing/ideas-and-insights/how-much-does-ai-already-know-about-you-and-your-family-office" TargetMode="External"/><Relationship Id="rId11" Type="http://schemas.openxmlformats.org/officeDocument/2006/relationships/hyperlink" Target="https://www.privatebanking.hsbc.com/family-office-uhnw/the-european-family-office-report-2024/" TargetMode="External"/><Relationship Id="rId24" Type="http://schemas.openxmlformats.org/officeDocument/2006/relationships/hyperlink" Target="https://andsimple.co/guides/ai-strategy-and-governance/" TargetMode="External"/><Relationship Id="rId32" Type="http://schemas.openxmlformats.org/officeDocument/2006/relationships/hyperlink" Target="https://www.privatebank.citibank.com/ivc/docs/Consolidated-reporting-in-family-Offices.pdf" TargetMode="External"/><Relationship Id="rId37" Type="http://schemas.openxmlformats.org/officeDocument/2006/relationships/hyperlink" Target="https://www.landytech.com/hubfs/PDFs/Whitepaper/Family%20offices%20in%20the%20digital%20age%20-%20Data%20and%20the%20reporting%20challenge.pdf" TargetMode="External"/><Relationship Id="rId40" Type="http://schemas.openxmlformats.org/officeDocument/2006/relationships/hyperlink" Target="https://ilpa.org/resources-tools/resource-library/ilpa-reporting-template-v-2-0/" TargetMode="External"/><Relationship Id="rId45" Type="http://schemas.openxmlformats.org/officeDocument/2006/relationships/hyperlink" Target="https://carta.com/learn/private-funds/management/capital-call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mpdenwealth.com/form/the-family-office-operational-ex" TargetMode="External"/><Relationship Id="rId19" Type="http://schemas.openxmlformats.org/officeDocument/2006/relationships/hyperlink" Target="https://ilpa.org/industry-guidance/templates-standards-model-documents/" TargetMode="External"/><Relationship Id="rId31" Type="http://schemas.openxmlformats.org/officeDocument/2006/relationships/image" Target="media/image1.png"/><Relationship Id="rId44" Type="http://schemas.openxmlformats.org/officeDocument/2006/relationships/hyperlink" Target="https://caia.org/sites/default/files/AIAR_Q3_2016_04_PrivateEquity.pdf" TargetMode="External"/><Relationship Id="rId52" Type="http://schemas.openxmlformats.org/officeDocument/2006/relationships/hyperlink" Target="https://privatebank.jpmorgan.com/apac/en/insights/markets-and-investing/ideas-and-insights/how-much-does-ai-already-know-about-you-and-your-family-office" TargetMode="External"/><Relationship Id="rId4" Type="http://schemas.openxmlformats.org/officeDocument/2006/relationships/settings" Target="settings.xml"/><Relationship Id="rId9" Type="http://schemas.openxmlformats.org/officeDocument/2006/relationships/hyperlink" Target="https://www.privatebank.citibank.com/doc/family-office/2025-global-family-office-report.pdf" TargetMode="External"/><Relationship Id="rId14" Type="http://schemas.openxmlformats.org/officeDocument/2006/relationships/hyperlink" Target="https://ilpa.org/resources-tools/resource-library/ilpa-reporting-template-v-2-0/" TargetMode="External"/><Relationship Id="rId22" Type="http://schemas.openxmlformats.org/officeDocument/2006/relationships/hyperlink" Target="https://www.citigroup.com/rcs/citigpa/storage/public/ai_in_the_family_office.pdf" TargetMode="External"/><Relationship Id="rId27" Type="http://schemas.openxmlformats.org/officeDocument/2006/relationships/hyperlink" Target="https://nvlpubs.nist.gov/nistpubs/ai/nist.ai.100-1.pdf" TargetMode="External"/><Relationship Id="rId30" Type="http://schemas.openxmlformats.org/officeDocument/2006/relationships/hyperlink" Target="https://www.citigroup.com/rcs/citigpa/storage/public/ai_in_the_family_office.pdf" TargetMode="External"/><Relationship Id="rId35" Type="http://schemas.openxmlformats.org/officeDocument/2006/relationships/hyperlink" Target="https://alti-global.com/ideas/introducing-the-2025-family-office-operational-excellence-report/" TargetMode="External"/><Relationship Id="rId43" Type="http://schemas.openxmlformats.org/officeDocument/2006/relationships/hyperlink" Target="https://rpc.cfainstitute.org/research/surveys/2024/private-markets-governance-issues" TargetMode="External"/><Relationship Id="rId48" Type="http://schemas.openxmlformats.org/officeDocument/2006/relationships/hyperlink" Target="https://andsimple.co/guides/ai-strategy-and-governance/" TargetMode="External"/><Relationship Id="rId56" Type="http://schemas.openxmlformats.org/officeDocument/2006/relationships/theme" Target="theme/theme1.xml"/><Relationship Id="rId8" Type="http://schemas.openxmlformats.org/officeDocument/2006/relationships/hyperlink" Target="https://www.privatebank.citibank.com/ivc/docs/Consolidated-reporting-in-family-Offices.pdf" TargetMode="External"/><Relationship Id="rId51" Type="http://schemas.openxmlformats.org/officeDocument/2006/relationships/hyperlink" Target="https://www.oecd.org/en/topics/sub-issues/ai-principles.html" TargetMode="External"/><Relationship Id="rId3" Type="http://schemas.openxmlformats.org/officeDocument/2006/relationships/styles" Target="styles.xml"/><Relationship Id="rId12" Type="http://schemas.openxmlformats.org/officeDocument/2006/relationships/hyperlink" Target="https://www.landytech.com/hubfs/PDFs/Whitepaper/Family%20offices%20in%20the%20digital%20age%20-%20Data%20and%20the%20reporting%20challenge.pdf" TargetMode="External"/><Relationship Id="rId17" Type="http://schemas.openxmlformats.org/officeDocument/2006/relationships/hyperlink" Target="https://caia.org/sites/default/files/AIAR_Q3_2016_04_PrivateEquity.pdf" TargetMode="External"/><Relationship Id="rId25" Type="http://schemas.openxmlformats.org/officeDocument/2006/relationships/hyperlink" Target="https://carta.com/sg/en/blog/data-extraction-capital-call-schedules/" TargetMode="External"/><Relationship Id="rId33" Type="http://schemas.openxmlformats.org/officeDocument/2006/relationships/hyperlink" Target="https://www.privatebank.citibank.com/doc/family-office/2025-global-family-office-report.pdf" TargetMode="External"/><Relationship Id="rId38" Type="http://schemas.openxmlformats.org/officeDocument/2006/relationships/hyperlink" Target="https://ilpa.org/industry-guidance/templates-standards-model-documents/" TargetMode="External"/><Relationship Id="rId46" Type="http://schemas.openxmlformats.org/officeDocument/2006/relationships/hyperlink" Target="https://carta.com/sg/en/blog/data-extraction-capital-call-schedules/" TargetMode="External"/><Relationship Id="rId20" Type="http://schemas.openxmlformats.org/officeDocument/2006/relationships/hyperlink" Target="https://carta.com/learn/private-funds/management/capital-calls/" TargetMode="External"/><Relationship Id="rId41" Type="http://schemas.openxmlformats.org/officeDocument/2006/relationships/hyperlink" Target="https://ilpa.org/wp-content/uploads/2016/09/ILPA-Best-Practices-Quarterly-Reporting-Standards_Version-1.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lpa.org/wp-content/uploads/2016/09/ILPA-Best-Practices-Quarterly-Reporting-Standards_Version-1.1.pdf" TargetMode="External"/><Relationship Id="rId23" Type="http://schemas.openxmlformats.org/officeDocument/2006/relationships/hyperlink" Target="https://www.privatebank.citibank.com/insights/ai-in-the-family-office-navigating-privacy-efficiency-and-institutional-rigor" TargetMode="External"/><Relationship Id="rId28" Type="http://schemas.openxmlformats.org/officeDocument/2006/relationships/hyperlink" Target="https://www.oecd.org/en/topics/sub-issues/ai-principles.html" TargetMode="External"/><Relationship Id="rId36" Type="http://schemas.openxmlformats.org/officeDocument/2006/relationships/hyperlink" Target="https://www.privatebanking.hsbc.com/family-office-uhnw/the-european-family-office-report-2024/" TargetMode="External"/><Relationship Id="rId4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33</Pages>
  <Words>13088</Words>
  <Characters>74602</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Family Office Portfolio Dashboard - Detailed Final Report</dc:title>
  <dc:subject>Detailed final proof-of-concept report retaining original research and hyperlinks</dc:subject>
  <dc:creator>Yang Shu</dc:creator>
  <cp:keywords/>
  <dc:description/>
  <cp:lastModifiedBy>YANG Shu</cp:lastModifiedBy>
  <cp:revision>9</cp:revision>
  <dcterms:created xsi:type="dcterms:W3CDTF">2013-12-23T23:15:00Z</dcterms:created>
  <dcterms:modified xsi:type="dcterms:W3CDTF">2026-07-29T08:59:00Z</dcterms:modified>
  <cp:category/>
</cp:coreProperties>
</file>