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720"/>
        <w:jc w:val="left"/>
      </w:pPr>
      <w:r>
        <w:rPr>
          <w:rFonts w:ascii="Aptos" w:hAnsi="Aptos" w:eastAsia="Aptos"/>
          <w:b/>
          <w:color w:val="1F4E79"/>
          <w:sz w:val="56"/>
        </w:rPr>
        <w:t>AI-Powered Family Office</w:t>
        <w:br/>
        <w:t>Portfolio Dashboard</w:t>
      </w:r>
    </w:p>
    <w:p>
      <w:r>
        <w:rPr>
          <w:rFonts w:ascii="Aptos" w:hAnsi="Aptos" w:eastAsia="Aptos"/>
          <w:b/>
          <w:color w:val="16A34A"/>
          <w:sz w:val="30"/>
        </w:rPr>
        <w:t>Final Project Report</w:t>
      </w:r>
    </w:p>
    <w:p>
      <w:pPr>
        <w:spacing w:before="240"/>
      </w:pPr>
      <w:r>
        <w:rPr>
          <w:rFonts w:ascii="Aptos" w:hAnsi="Aptos" w:eastAsia="Aptos"/>
          <w:b w:val="0"/>
          <w:color w:val="5B6576"/>
          <w:sz w:val="26"/>
        </w:rPr>
        <w:t>A proof-of-concept for controlled private-market document processing, portfolio monitoring, liquidity planning, and public-proxy risk analysis</w:t>
      </w:r>
    </w:p>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1F4E79"/>
            <w:tcMar>
              <w:top w:w="90" w:type="dxa"/>
              <w:start w:w="100" w:type="dxa"/>
              <w:bottom w:w="90" w:type="dxa"/>
              <w:end w:w="100" w:type="dxa"/>
            </w:tcMar>
          </w:tcPr>
          <w:p>
            <w:pPr>
              <w:jc w:val="center"/>
            </w:pPr>
            <w:r>
              <w:rPr>
                <w:rFonts w:ascii="Aptos" w:hAnsi="Aptos" w:eastAsia="Aptos"/>
                <w:b/>
                <w:color w:val="FFFFFF"/>
                <w:sz w:val="18"/>
              </w:rPr>
              <w:t>Project</w:t>
            </w:r>
          </w:p>
        </w:tc>
        <w:tc>
          <w:tcPr>
            <w:tcW w:type="dxa" w:w="6912"/>
            <w:shd w:fill="1F4E79"/>
            <w:tcMar>
              <w:top w:w="90" w:type="dxa"/>
              <w:start w:w="100" w:type="dxa"/>
              <w:bottom w:w="90" w:type="dxa"/>
              <w:end w:w="100" w:type="dxa"/>
            </w:tcMar>
          </w:tcPr>
          <w:p>
            <w:pPr>
              <w:jc w:val="center"/>
            </w:pPr>
            <w:r>
              <w:rPr>
                <w:rFonts w:ascii="Aptos" w:hAnsi="Aptos" w:eastAsia="Aptos"/>
                <w:b/>
                <w:color w:val="FFFFFF"/>
                <w:sz w:val="18"/>
              </w:rPr>
              <w:t>Delivery Basis</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Author</w:t>
            </w:r>
          </w:p>
        </w:tc>
        <w:tc>
          <w:tcPr>
            <w:tcW w:type="dxa" w:w="6912"/>
            <w:tcMar>
              <w:top w:w="90" w:type="dxa"/>
              <w:start w:w="100" w:type="dxa"/>
              <w:bottom w:w="90" w:type="dxa"/>
              <w:end w:w="100" w:type="dxa"/>
            </w:tcMar>
            <w:vAlign w:val="center"/>
          </w:tcPr>
          <w:p>
            <w:pPr>
              <w:jc w:val="left"/>
            </w:pPr>
            <w:r>
              <w:rPr>
                <w:rFonts w:ascii="Aptos" w:hAnsi="Aptos" w:eastAsia="Aptos"/>
                <w:b w:val="0"/>
                <w:color w:val="172033"/>
                <w:sz w:val="17"/>
              </w:rPr>
              <w:t>Yang Shu</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Portfolio</w:t>
            </w:r>
          </w:p>
        </w:tc>
        <w:tc>
          <w:tcPr>
            <w:tcW w:type="dxa" w:w="6912"/>
            <w:tcMar>
              <w:top w:w="90" w:type="dxa"/>
              <w:start w:w="100" w:type="dxa"/>
              <w:bottom w:w="90" w:type="dxa"/>
              <w:end w:w="100" w:type="dxa"/>
            </w:tcMar>
            <w:vAlign w:val="center"/>
            <w:shd w:fill="F4F8FB"/>
          </w:tcPr>
          <w:p>
            <w:pPr>
              <w:jc w:val="left"/>
            </w:pPr>
            <w:r>
              <w:rPr>
                <w:rFonts w:ascii="Aptos" w:hAnsi="Aptos" w:eastAsia="Aptos"/>
                <w:b w:val="0"/>
                <w:color w:val="172033"/>
                <w:sz w:val="17"/>
              </w:rPr>
              <w:t>Synthetic Atlas Family Office</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Official baseline</w:t>
            </w:r>
          </w:p>
        </w:tc>
        <w:tc>
          <w:tcPr>
            <w:tcW w:type="dxa" w:w="6912"/>
            <w:tcMar>
              <w:top w:w="90" w:type="dxa"/>
              <w:start w:w="100" w:type="dxa"/>
              <w:bottom w:w="90" w:type="dxa"/>
              <w:end w:w="100" w:type="dxa"/>
            </w:tcMar>
            <w:vAlign w:val="center"/>
          </w:tcPr>
          <w:p>
            <w:pPr>
              <w:jc w:val="left"/>
            </w:pPr>
            <w:r>
              <w:rPr>
                <w:rFonts w:ascii="Aptos" w:hAnsi="Aptos" w:eastAsia="Aptos"/>
                <w:b w:val="0"/>
                <w:color w:val="172033"/>
                <w:sz w:val="17"/>
              </w:rPr>
              <w:t>30 April 2026</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Document overlay</w:t>
            </w:r>
          </w:p>
        </w:tc>
        <w:tc>
          <w:tcPr>
            <w:tcW w:type="dxa" w:w="6912"/>
            <w:tcMar>
              <w:top w:w="90" w:type="dxa"/>
              <w:start w:w="100" w:type="dxa"/>
              <w:bottom w:w="90" w:type="dxa"/>
              <w:end w:w="100" w:type="dxa"/>
            </w:tcMar>
            <w:vAlign w:val="center"/>
            <w:shd w:fill="F4F8FB"/>
          </w:tcPr>
          <w:p>
            <w:pPr>
              <w:jc w:val="left"/>
            </w:pPr>
            <w:r>
              <w:rPr>
                <w:rFonts w:ascii="Aptos" w:hAnsi="Aptos" w:eastAsia="Aptos"/>
                <w:b w:val="0"/>
                <w:color w:val="172033"/>
                <w:sz w:val="17"/>
              </w:rPr>
              <w:t>May 2026 mock documents</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Final verification</w:t>
            </w:r>
          </w:p>
        </w:tc>
        <w:tc>
          <w:tcPr>
            <w:tcW w:type="dxa" w:w="6912"/>
            <w:tcMar>
              <w:top w:w="90" w:type="dxa"/>
              <w:start w:w="100" w:type="dxa"/>
              <w:bottom w:w="90" w:type="dxa"/>
              <w:end w:w="100" w:type="dxa"/>
            </w:tcMar>
            <w:vAlign w:val="center"/>
          </w:tcPr>
          <w:p>
            <w:pPr>
              <w:jc w:val="left"/>
            </w:pPr>
            <w:r>
              <w:rPr>
                <w:rFonts w:ascii="Aptos" w:hAnsi="Aptos" w:eastAsia="Aptos"/>
                <w:b w:val="0"/>
                <w:color w:val="172033"/>
                <w:sz w:val="17"/>
              </w:rPr>
              <w:t>17 July 2026</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Data classification</w:t>
            </w:r>
          </w:p>
        </w:tc>
        <w:tc>
          <w:tcPr>
            <w:tcW w:type="dxa" w:w="6912"/>
            <w:tcMar>
              <w:top w:w="90" w:type="dxa"/>
              <w:start w:w="100" w:type="dxa"/>
              <w:bottom w:w="90" w:type="dxa"/>
              <w:end w:w="100" w:type="dxa"/>
            </w:tcMar>
            <w:vAlign w:val="center"/>
            <w:shd w:fill="F4F8FB"/>
          </w:tcPr>
          <w:p>
            <w:pPr>
              <w:jc w:val="left"/>
            </w:pPr>
            <w:r>
              <w:rPr>
                <w:rFonts w:ascii="Aptos" w:hAnsi="Aptos" w:eastAsia="Aptos"/>
                <w:b w:val="0"/>
                <w:color w:val="172033"/>
                <w:sz w:val="17"/>
              </w:rPr>
              <w:t>Synthetic data only</w:t>
            </w:r>
          </w:p>
        </w:tc>
      </w:tr>
    </w:tbl>
    <w:p>
      <w:pPr>
        <w:spacing w:after="0"/>
      </w:pPr>
    </w:p>
    <w:p>
      <w:pPr>
        <w:spacing w:before="520"/>
      </w:pPr>
      <w:r>
        <w:rPr>
          <w:rFonts w:ascii="Aptos" w:hAnsi="Aptos" w:eastAsia="Aptos"/>
          <w:b/>
          <w:color w:val="1F4E79"/>
          <w:sz w:val="20"/>
        </w:rPr>
        <w:t>Key delivery statement</w:t>
      </w:r>
    </w:p>
    <w:p>
      <w:pPr>
        <w:spacing w:after="120" w:line="259" w:lineRule="auto"/>
      </w:pPr>
      <w:r>
        <w:rPr>
          <w:rFonts w:ascii="Aptos" w:hAnsi="Aptos" w:eastAsia="Aptos"/>
          <w:b w:val="0"/>
          <w:color w:val="172033"/>
          <w:sz w:val="20"/>
        </w:rPr>
        <w:t>The prototype now runs as an end-to-end, API-free baseline demo: mock PDFs are extracted into structured records, validated, routed through human review, applied only when approved, and surfaced in an eight-page Streamlit dashboard with a separate public-market proxy risk overlay.</w:t>
      </w:r>
    </w:p>
    <w:p>
      <w:r>
        <w:br w:type="page"/>
      </w:r>
    </w:p>
    <w:p>
      <w:pPr>
        <w:pStyle w:val="Heading1"/>
        <w:keepNext/>
      </w:pPr>
    </w:p>
    <w:p>
      <w:pPr>
        <w:spacing w:after="120" w:line="259" w:lineRule="auto"/>
      </w:pPr>
      <w:r>
        <w:rPr>
          <w:rFonts w:ascii="Aptos" w:hAnsi="Aptos" w:eastAsia="Aptos"/>
          <w:b w:val="0"/>
          <w:color w:val="172033"/>
          <w:sz w:val="20"/>
        </w:rPr>
        <w:t>Family offices often receive critical private-market information through fragmented PDFs, spreadsheets, portal downloads, and manager communications. The operational bottleneck is therefore not the absence of charts; it is the controlled movement of information from documents into a reliable portfolio state.</w:t>
      </w:r>
    </w:p>
    <w:p>
      <w:pPr>
        <w:spacing w:after="120" w:line="259" w:lineRule="auto"/>
      </w:pPr>
      <w:r>
        <w:rPr>
          <w:rFonts w:ascii="Aptos" w:hAnsi="Aptos" w:eastAsia="Aptos"/>
          <w:b w:val="0"/>
          <w:color w:val="172033"/>
          <w:sz w:val="20"/>
        </w:rPr>
        <w:t>This project demonstrates a practical answer: a document-to-dashboard workflow that combines deterministic extraction, schema-based structured outputs, rule-based validation, a human review queue, approved-only portfolio updates, liquidity monitoring, and public-market proxy risk analytics. It is deliberately positioned as a presentation-ready proof-of-concept, not a production investment or payment system.</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312"/>
            <w:shd w:fill="1F4E79"/>
            <w:tcMar>
              <w:top w:w="90" w:type="dxa"/>
              <w:start w:w="100" w:type="dxa"/>
              <w:bottom w:w="90" w:type="dxa"/>
              <w:end w:w="100" w:type="dxa"/>
            </w:tcMar>
          </w:tcPr>
          <w:p>
            <w:pPr>
              <w:jc w:val="center"/>
            </w:pPr>
            <w:r>
              <w:rPr>
                <w:rFonts w:ascii="Aptos" w:hAnsi="Aptos" w:eastAsia="Aptos"/>
                <w:b/>
                <w:color w:val="FFFFFF"/>
                <w:sz w:val="18"/>
              </w:rPr>
              <w:t>Final delivery evidence</w:t>
            </w:r>
          </w:p>
        </w:tc>
        <w:tc>
          <w:tcPr>
            <w:tcW w:type="dxa" w:w="6480"/>
            <w:shd w:fill="1F4E79"/>
            <w:tcMar>
              <w:top w:w="90" w:type="dxa"/>
              <w:start w:w="100" w:type="dxa"/>
              <w:bottom w:w="90" w:type="dxa"/>
              <w:end w:w="100" w:type="dxa"/>
            </w:tcMar>
          </w:tcPr>
          <w:p>
            <w:pPr>
              <w:jc w:val="center"/>
            </w:pPr>
            <w:r>
              <w:rPr>
                <w:rFonts w:ascii="Aptos" w:hAnsi="Aptos" w:eastAsia="Aptos"/>
                <w:b/>
                <w:color w:val="FFFFFF"/>
                <w:sz w:val="18"/>
              </w:rPr>
              <w:t>Verified result</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Data quality</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26 passed / 0 failed / 0 warnings</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Demo readiness</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20 passed / 0 failed</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Automated tests</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129 passed / 2 expected warnings</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Document batch</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6 mock May 2026 PDFs</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Validation outcome</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3 approved / 2 needs review / 1 rejected</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Portfolio update control</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3 applied / 3 blocked</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Risk overlay</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30 real public proxy tickers through 30 April 2026</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Dashboard coverage</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8 delivery pages plus document intake and demo controls</w:t>
            </w:r>
          </w:p>
        </w:tc>
      </w:tr>
    </w:tbl>
    <w:p>
      <w:pPr>
        <w:spacing w:after="0"/>
      </w:pPr>
    </w:p>
    <w:p>
      <w:pPr>
        <w:pStyle w:val="Heading2"/>
        <w:keepNext/>
      </w:pPr>
    </w:p>
    <w:p>
      <w:pPr>
        <w:pStyle w:val="ListBullet"/>
        <w:spacing w:after="60"/>
      </w:pPr>
      <w:r>
        <w:rPr>
          <w:rFonts w:ascii="Aptos" w:hAnsi="Aptos" w:eastAsia="Aptos"/>
          <w:b w:val="0"/>
          <w:color w:val="172033"/>
          <w:sz w:val="20"/>
        </w:rPr>
        <w:t>A controlled workflow can convert non-standard private-market documents into structured, reviewable records without requiring an API for the standard demo.</w:t>
      </w:r>
    </w:p>
    <w:p>
      <w:pPr>
        <w:pStyle w:val="ListBullet"/>
        <w:spacing w:after="60"/>
      </w:pPr>
      <w:r>
        <w:rPr>
          <w:rFonts w:ascii="Aptos" w:hAnsi="Aptos" w:eastAsia="Aptos"/>
          <w:b w:val="0"/>
          <w:color w:val="172033"/>
          <w:sz w:val="20"/>
        </w:rPr>
        <w:t>Validation and approval status can prevent unresolved or rejected records from changing portfolio state.</w:t>
      </w:r>
    </w:p>
    <w:p>
      <w:pPr>
        <w:pStyle w:val="ListBullet"/>
        <w:spacing w:after="60"/>
      </w:pPr>
      <w:r>
        <w:rPr>
          <w:rFonts w:ascii="Aptos" w:hAnsi="Aptos" w:eastAsia="Aptos"/>
          <w:b w:val="0"/>
          <w:color w:val="172033"/>
          <w:sz w:val="20"/>
        </w:rPr>
        <w:t>The resulting data layer supports portfolio, liquidity, commitment, workflow, and proxy-risk views from one traceable set of processed outputs.</w:t>
      </w:r>
    </w:p>
    <w:p>
      <w:pPr>
        <w:pStyle w:val="ListBullet"/>
        <w:spacing w:after="60"/>
      </w:pPr>
      <w:r>
        <w:rPr>
          <w:rFonts w:ascii="Aptos" w:hAnsi="Aptos" w:eastAsia="Aptos"/>
          <w:b w:val="0"/>
          <w:color w:val="172033"/>
          <w:sz w:val="20"/>
        </w:rPr>
        <w:t>AI should augment extraction and analyst attention; it should not replace payment authorization, valuation judgment, or investment approval.</w:t>
      </w:r>
    </w:p>
    <w:p>
      <w:pPr>
        <w:pStyle w:val="Heading1"/>
        <w:keepNext/>
      </w:pPr>
    </w:p>
    <w:p>
      <w:pPr>
        <w:pStyle w:val="Heading2"/>
        <w:keepNext/>
      </w:pPr>
    </w:p>
    <w:p>
      <w:pPr>
        <w:spacing w:after="120" w:line="259" w:lineRule="auto"/>
      </w:pPr>
      <w:r>
        <w:rPr>
          <w:rFonts w:ascii="Aptos" w:hAnsi="Aptos" w:eastAsia="Aptos"/>
          <w:b w:val="0"/>
          <w:color w:val="172033"/>
          <w:sz w:val="20"/>
        </w:rPr>
        <w:t>How can an AI-enabled workflow extract information from private-market documents, combine it with portfolio and market data, and support reporting, liquidity planning, and risk monitoring for a family office?</w:t>
      </w:r>
    </w:p>
    <w:p>
      <w:pPr>
        <w:pStyle w:val="Heading2"/>
        <w:keepNext/>
      </w:pPr>
    </w:p>
    <w:p>
      <w:pPr>
        <w:spacing w:after="120" w:line="259" w:lineRule="auto"/>
      </w:pPr>
      <w:r>
        <w:rPr>
          <w:rFonts w:ascii="Aptos" w:hAnsi="Aptos" w:eastAsia="Aptos"/>
          <w:b w:val="0"/>
          <w:color w:val="172033"/>
          <w:sz w:val="20"/>
        </w:rPr>
        <w:t>The project tests whether fragmented inputs can be converted into controlled portfolio intelligence while preserving human oversight. Success is defined by traceability and reliable workflow state—not by claiming autonomous investment intelligence.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896"/>
            <w:shd w:fill="1F4E79"/>
            <w:tcMar>
              <w:top w:w="90" w:type="dxa"/>
              <w:start w:w="100" w:type="dxa"/>
              <w:bottom w:w="90" w:type="dxa"/>
              <w:end w:w="100" w:type="dxa"/>
            </w:tcMar>
          </w:tcPr>
          <w:p>
            <w:pPr>
              <w:jc w:val="center"/>
            </w:pPr>
            <w:r>
              <w:rPr>
                <w:rFonts w:ascii="Aptos" w:hAnsi="Aptos" w:eastAsia="Aptos"/>
                <w:b/>
                <w:color w:val="FFFFFF"/>
                <w:sz w:val="18"/>
              </w:rPr>
              <w:t>In scope</w:t>
            </w:r>
          </w:p>
        </w:tc>
        <w:tc>
          <w:tcPr>
            <w:tcW w:type="dxa" w:w="4896"/>
            <w:shd w:fill="1F4E79"/>
            <w:tcMar>
              <w:top w:w="90" w:type="dxa"/>
              <w:start w:w="100" w:type="dxa"/>
              <w:bottom w:w="90" w:type="dxa"/>
              <w:end w:w="100" w:type="dxa"/>
            </w:tcMar>
          </w:tcPr>
          <w:p>
            <w:pPr>
              <w:jc w:val="center"/>
            </w:pPr>
            <w:r>
              <w:rPr>
                <w:rFonts w:ascii="Aptos" w:hAnsi="Aptos" w:eastAsia="Aptos"/>
                <w:b/>
                <w:color w:val="FFFFFF"/>
                <w:sz w:val="18"/>
              </w:rPr>
              <w:t>Out of scope</w:t>
            </w:r>
          </w:p>
        </w:tc>
      </w:tr>
      <w:tr>
        <w:tc>
          <w:tcPr>
            <w:tcW w:type="dxa" w:w="4896"/>
            <w:tcMar>
              <w:top w:w="90" w:type="dxa"/>
              <w:start w:w="100" w:type="dxa"/>
              <w:bottom w:w="90" w:type="dxa"/>
              <w:end w:w="100" w:type="dxa"/>
            </w:tcMar>
            <w:vAlign w:val="center"/>
          </w:tcPr>
          <w:p>
            <w:pPr>
              <w:jc w:val="left"/>
            </w:pPr>
            <w:r>
              <w:rPr>
                <w:rFonts w:ascii="Aptos" w:hAnsi="Aptos" w:eastAsia="Aptos"/>
                <w:b w:val="0"/>
                <w:color w:val="172033"/>
                <w:sz w:val="17"/>
              </w:rPr>
              <w:t>Synthetic portfolio and mock PDFs</w:t>
            </w:r>
          </w:p>
        </w:tc>
        <w:tc>
          <w:tcPr>
            <w:tcW w:type="dxa" w:w="4896"/>
            <w:tcMar>
              <w:top w:w="90" w:type="dxa"/>
              <w:start w:w="100" w:type="dxa"/>
              <w:bottom w:w="90" w:type="dxa"/>
              <w:end w:w="100" w:type="dxa"/>
            </w:tcMar>
            <w:vAlign w:val="center"/>
          </w:tcPr>
          <w:p>
            <w:pPr>
              <w:jc w:val="left"/>
            </w:pPr>
            <w:r>
              <w:rPr>
                <w:rFonts w:ascii="Aptos" w:hAnsi="Aptos" w:eastAsia="Aptos"/>
                <w:b w:val="0"/>
                <w:color w:val="172033"/>
                <w:sz w:val="17"/>
              </w:rPr>
              <w:t>Real family-office information</w:t>
            </w:r>
          </w:p>
        </w:tc>
      </w:tr>
      <w:tr>
        <w:tc>
          <w:tcPr>
            <w:tcW w:type="dxa" w:w="4896"/>
            <w:tcMar>
              <w:top w:w="90" w:type="dxa"/>
              <w:start w:w="100" w:type="dxa"/>
              <w:bottom w:w="90" w:type="dxa"/>
              <w:end w:w="100" w:type="dxa"/>
            </w:tcMar>
            <w:vAlign w:val="center"/>
            <w:shd w:fill="F4F8FB"/>
          </w:tcPr>
          <w:p>
            <w:pPr>
              <w:jc w:val="left"/>
            </w:pPr>
            <w:r>
              <w:rPr>
                <w:rFonts w:ascii="Aptos" w:hAnsi="Aptos" w:eastAsia="Aptos"/>
                <w:b w:val="0"/>
                <w:color w:val="172033"/>
                <w:sz w:val="17"/>
              </w:rPr>
              <w:t>Baseline and optional LLM extraction modes</w:t>
            </w:r>
          </w:p>
        </w:tc>
        <w:tc>
          <w:tcPr>
            <w:tcW w:type="dxa" w:w="4896"/>
            <w:tcMar>
              <w:top w:w="90" w:type="dxa"/>
              <w:start w:w="100" w:type="dxa"/>
              <w:bottom w:w="90" w:type="dxa"/>
              <w:end w:w="100" w:type="dxa"/>
            </w:tcMar>
            <w:vAlign w:val="center"/>
            <w:shd w:fill="F4F8FB"/>
          </w:tcPr>
          <w:p>
            <w:pPr>
              <w:jc w:val="left"/>
            </w:pPr>
            <w:r>
              <w:rPr>
                <w:rFonts w:ascii="Aptos" w:hAnsi="Aptos" w:eastAsia="Aptos"/>
                <w:b w:val="0"/>
                <w:color w:val="172033"/>
                <w:sz w:val="17"/>
              </w:rPr>
              <w:t>Autonomous investment recommendations</w:t>
            </w:r>
          </w:p>
        </w:tc>
      </w:tr>
      <w:tr>
        <w:tc>
          <w:tcPr>
            <w:tcW w:type="dxa" w:w="4896"/>
            <w:tcMar>
              <w:top w:w="90" w:type="dxa"/>
              <w:start w:w="100" w:type="dxa"/>
              <w:bottom w:w="90" w:type="dxa"/>
              <w:end w:w="100" w:type="dxa"/>
            </w:tcMar>
            <w:vAlign w:val="center"/>
          </w:tcPr>
          <w:p>
            <w:pPr>
              <w:jc w:val="left"/>
            </w:pPr>
            <w:r>
              <w:rPr>
                <w:rFonts w:ascii="Aptos" w:hAnsi="Aptos" w:eastAsia="Aptos"/>
                <w:b w:val="0"/>
                <w:color w:val="172033"/>
                <w:sz w:val="17"/>
              </w:rPr>
              <w:t>Validation, review queue, approved-only updates</w:t>
            </w:r>
          </w:p>
        </w:tc>
        <w:tc>
          <w:tcPr>
            <w:tcW w:type="dxa" w:w="4896"/>
            <w:tcMar>
              <w:top w:w="90" w:type="dxa"/>
              <w:start w:w="100" w:type="dxa"/>
              <w:bottom w:w="90" w:type="dxa"/>
              <w:end w:w="100" w:type="dxa"/>
            </w:tcMar>
            <w:vAlign w:val="center"/>
          </w:tcPr>
          <w:p>
            <w:pPr>
              <w:jc w:val="left"/>
            </w:pPr>
            <w:r>
              <w:rPr>
                <w:rFonts w:ascii="Aptos" w:hAnsi="Aptos" w:eastAsia="Aptos"/>
                <w:b w:val="0"/>
                <w:color w:val="172033"/>
                <w:sz w:val="17"/>
              </w:rPr>
              <w:t>Automatic payment release</w:t>
            </w:r>
          </w:p>
        </w:tc>
      </w:tr>
      <w:tr>
        <w:tc>
          <w:tcPr>
            <w:tcW w:type="dxa" w:w="4896"/>
            <w:tcMar>
              <w:top w:w="90" w:type="dxa"/>
              <w:start w:w="100" w:type="dxa"/>
              <w:bottom w:w="90" w:type="dxa"/>
              <w:end w:w="100" w:type="dxa"/>
            </w:tcMar>
            <w:vAlign w:val="center"/>
            <w:shd w:fill="F4F8FB"/>
          </w:tcPr>
          <w:p>
            <w:pPr>
              <w:jc w:val="left"/>
            </w:pPr>
            <w:r>
              <w:rPr>
                <w:rFonts w:ascii="Aptos" w:hAnsi="Aptos" w:eastAsia="Aptos"/>
                <w:b w:val="0"/>
                <w:color w:val="172033"/>
                <w:sz w:val="17"/>
              </w:rPr>
              <w:t>Dashboard, liquidity, commitments, proxy risk</w:t>
            </w:r>
          </w:p>
        </w:tc>
        <w:tc>
          <w:tcPr>
            <w:tcW w:type="dxa" w:w="4896"/>
            <w:tcMar>
              <w:top w:w="90" w:type="dxa"/>
              <w:start w:w="100" w:type="dxa"/>
              <w:bottom w:w="90" w:type="dxa"/>
              <w:end w:w="100" w:type="dxa"/>
            </w:tcMar>
            <w:vAlign w:val="center"/>
            <w:shd w:fill="F4F8FB"/>
          </w:tcPr>
          <w:p>
            <w:pPr>
              <w:jc w:val="left"/>
            </w:pPr>
            <w:r>
              <w:rPr>
                <w:rFonts w:ascii="Aptos" w:hAnsi="Aptos" w:eastAsia="Aptos"/>
                <w:b w:val="0"/>
                <w:color w:val="172033"/>
                <w:sz w:val="17"/>
              </w:rPr>
              <w:t>Institutional total-portfolio risk engine</w:t>
            </w:r>
          </w:p>
        </w:tc>
      </w:tr>
      <w:tr>
        <w:tc>
          <w:tcPr>
            <w:tcW w:type="dxa" w:w="4896"/>
            <w:tcMar>
              <w:top w:w="90" w:type="dxa"/>
              <w:start w:w="100" w:type="dxa"/>
              <w:bottom w:w="90" w:type="dxa"/>
              <w:end w:w="100" w:type="dxa"/>
            </w:tcMar>
            <w:vAlign w:val="center"/>
          </w:tcPr>
          <w:p>
            <w:pPr>
              <w:jc w:val="left"/>
            </w:pPr>
            <w:r>
              <w:rPr>
                <w:rFonts w:ascii="Aptos" w:hAnsi="Aptos" w:eastAsia="Aptos"/>
                <w:b w:val="0"/>
                <w:color w:val="172033"/>
                <w:sz w:val="17"/>
              </w:rPr>
              <w:t>Local and hosted Streamlit demonstration</w:t>
            </w:r>
          </w:p>
        </w:tc>
        <w:tc>
          <w:tcPr>
            <w:tcW w:type="dxa" w:w="4896"/>
            <w:tcMar>
              <w:top w:w="90" w:type="dxa"/>
              <w:start w:w="100" w:type="dxa"/>
              <w:bottom w:w="90" w:type="dxa"/>
              <w:end w:w="100" w:type="dxa"/>
            </w:tcMar>
            <w:vAlign w:val="center"/>
          </w:tcPr>
          <w:p>
            <w:pPr>
              <w:jc w:val="left"/>
            </w:pPr>
            <w:r>
              <w:rPr>
                <w:rFonts w:ascii="Aptos" w:hAnsi="Aptos" w:eastAsia="Aptos"/>
                <w:b w:val="0"/>
                <w:color w:val="172033"/>
                <w:sz w:val="17"/>
              </w:rPr>
              <w:t>Production auth, multi-user controls, and deployment architecture</w:t>
            </w:r>
          </w:p>
        </w:tc>
      </w:tr>
    </w:tbl>
    <w:p>
      <w:pPr>
        <w:spacing w:after="0"/>
      </w:pPr>
    </w:p>
    <w:p>
      <w:pPr>
        <w:pStyle w:val="Heading1"/>
        <w:keepNext/>
      </w:pPr>
    </w:p>
    <w:p>
      <w:pPr>
        <w:spacing w:after="120" w:line="259" w:lineRule="auto"/>
      </w:pPr>
      <w:r>
        <w:rPr>
          <w:rFonts w:ascii="Aptos" w:hAnsi="Aptos" w:eastAsia="Aptos"/>
          <w:b w:val="0"/>
          <w:color w:val="172033"/>
          <w:sz w:val="20"/>
        </w:rPr>
        <w:t>Private-market reporting is document-driven, weakly standardized, and valuation-lagged. Capital calls affect near-term liquidity; distributions affect cash and performance classification; capital-account statements change NAV and commitments; newsletters add qualitative risk signals. A credible workflow must therefore interpret meaning, reconcile records, retain source lineage, and route exceptions—not merely OCR text.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464"/>
            <w:shd w:fill="1F4E79"/>
            <w:tcMar>
              <w:top w:w="90" w:type="dxa"/>
              <w:start w:w="100" w:type="dxa"/>
              <w:bottom w:w="90" w:type="dxa"/>
              <w:end w:w="100" w:type="dxa"/>
            </w:tcMar>
          </w:tcPr>
          <w:p>
            <w:pPr>
              <w:jc w:val="center"/>
            </w:pPr>
            <w:r>
              <w:rPr>
                <w:rFonts w:ascii="Aptos" w:hAnsi="Aptos" w:eastAsia="Aptos"/>
                <w:b/>
                <w:color w:val="FFFFFF"/>
                <w:sz w:val="18"/>
              </w:rPr>
              <w:t>Operating pain point</w:t>
            </w:r>
          </w:p>
        </w:tc>
        <w:tc>
          <w:tcPr>
            <w:tcW w:type="dxa" w:w="5328"/>
            <w:shd w:fill="1F4E79"/>
            <w:tcMar>
              <w:top w:w="90" w:type="dxa"/>
              <w:start w:w="100" w:type="dxa"/>
              <w:bottom w:w="90" w:type="dxa"/>
              <w:end w:w="100" w:type="dxa"/>
            </w:tcMar>
          </w:tcPr>
          <w:p>
            <w:pPr>
              <w:jc w:val="center"/>
            </w:pPr>
            <w:r>
              <w:rPr>
                <w:rFonts w:ascii="Aptos" w:hAnsi="Aptos" w:eastAsia="Aptos"/>
                <w:b/>
                <w:color w:val="FFFFFF"/>
                <w:sz w:val="18"/>
              </w:rPr>
              <w:t>Prototype response</w:t>
            </w:r>
          </w:p>
        </w:tc>
      </w:tr>
      <w:tr>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Fragmented source documents</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Document classification and schema-specific extraction</w:t>
            </w:r>
          </w:p>
        </w:tc>
      </w:tr>
      <w:tr>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Inconsistent manager naming and fields</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Fund master matching, aliases, and completeness checks</w:t>
            </w:r>
          </w:p>
        </w:tc>
      </w:tr>
      <w:tr>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Cash and commitment consequences</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Urgency, sufficiency, component, and commitment rules</w:t>
            </w:r>
          </w:p>
        </w:tc>
      </w:tr>
      <w:tr>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Risk of automation scaling errors</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Review status, blocked updates, and audit outputs</w:t>
            </w:r>
          </w:p>
        </w:tc>
      </w:tr>
      <w:tr>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Different reporting frequencies</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Official baseline plus controlled approved-document overlay</w:t>
            </w:r>
          </w:p>
        </w:tc>
      </w:tr>
    </w:tbl>
    <w:p>
      <w:pPr>
        <w:spacing w:after="0"/>
      </w:pPr>
    </w:p>
    <w:p>
      <w:pPr>
        <w:spacing w:after="120" w:line="259" w:lineRule="auto"/>
      </w:pPr>
      <w:r>
        <w:rPr>
          <w:rFonts w:ascii="Aptos" w:hAnsi="Aptos" w:eastAsia="Aptos"/>
          <w:b w:val="0"/>
          <w:color w:val="172033"/>
          <w:sz w:val="20"/>
        </w:rPr>
        <w:t>The project follows the spirit of ILPA reporting standardization and human-in-the-loop AI governance: automation is valuable where outputs are structured, verifiable, traceable, and reversible.</w:t>
      </w:r>
    </w:p>
    <w:p>
      <w:pPr>
        <w:pStyle w:val="Heading1"/>
        <w:keepNext/>
      </w:pPr>
    </w:p>
    <w:p>
      <w:pPr>
        <w:spacing w:after="120" w:line="259" w:lineRule="auto"/>
      </w:pPr>
      <w:r>
        <w:rPr>
          <w:rFonts w:ascii="Aptos" w:hAnsi="Aptos" w:eastAsia="Aptos"/>
          <w:b w:val="0"/>
          <w:color w:val="172033"/>
          <w:sz w:val="20"/>
        </w:rPr>
        <w:t>The synthetic Atlas Family Office portfolio represents a Singapore-based, USD-reporting, globally diversified family office with an alternatives-heavy allocation. The initial snapshot is 30 April 2026. May documents are processed as an overlay; they do not silently redefine the official close.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464"/>
            <w:shd w:fill="1F4E79"/>
            <w:tcMar>
              <w:top w:w="90" w:type="dxa"/>
              <w:start w:w="100" w:type="dxa"/>
              <w:bottom w:w="90" w:type="dxa"/>
              <w:end w:w="100" w:type="dxa"/>
            </w:tcMar>
          </w:tcPr>
          <w:p>
            <w:pPr>
              <w:jc w:val="center"/>
            </w:pPr>
            <w:r>
              <w:rPr>
                <w:rFonts w:ascii="Aptos" w:hAnsi="Aptos" w:eastAsia="Aptos"/>
                <w:b/>
                <w:color w:val="FFFFFF"/>
                <w:sz w:val="18"/>
              </w:rPr>
              <w:t>Portfolio design parameter</w:t>
            </w:r>
          </w:p>
        </w:tc>
        <w:tc>
          <w:tcPr>
            <w:tcW w:type="dxa" w:w="5328"/>
            <w:shd w:fill="1F4E79"/>
            <w:tcMar>
              <w:top w:w="90" w:type="dxa"/>
              <w:start w:w="100" w:type="dxa"/>
              <w:bottom w:w="90" w:type="dxa"/>
              <w:end w:w="100" w:type="dxa"/>
            </w:tcMar>
          </w:tcPr>
          <w:p>
            <w:pPr>
              <w:jc w:val="center"/>
            </w:pPr>
            <w:r>
              <w:rPr>
                <w:rFonts w:ascii="Aptos" w:hAnsi="Aptos" w:eastAsia="Aptos"/>
                <w:b/>
                <w:color w:val="FFFFFF"/>
                <w:sz w:val="18"/>
              </w:rPr>
              <w:t>Current setting</w:t>
            </w:r>
          </w:p>
        </w:tc>
      </w:tr>
      <w:tr>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Total AUM</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USD 750.0 million</w:t>
            </w:r>
          </w:p>
        </w:tc>
      </w:tr>
      <w:tr>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Public equities</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30%</w:t>
            </w:r>
          </w:p>
        </w:tc>
      </w:tr>
      <w:tr>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Fixed income and liquid credit</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13%</w:t>
            </w:r>
          </w:p>
        </w:tc>
      </w:tr>
      <w:tr>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Private markets</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49% across PE, VC/growth, private credit, real estate, and infrastructure</w:t>
            </w:r>
          </w:p>
        </w:tc>
      </w:tr>
      <w:tr>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Hedge funds / absolute return</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5%</w:t>
            </w:r>
          </w:p>
        </w:tc>
      </w:tr>
      <w:tr>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Cash and liquidity sleeve</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3%</w:t>
            </w:r>
          </w:p>
        </w:tc>
      </w:tr>
      <w:tr>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Historical window</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January 2023 to April 2026</w:t>
            </w:r>
          </w:p>
        </w:tc>
      </w:tr>
      <w:tr>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Reporting currency</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USD with multi-currency exposure</w:t>
            </w:r>
          </w:p>
        </w:tc>
      </w:tr>
    </w:tbl>
    <w:p>
      <w:pPr>
        <w:spacing w:after="0"/>
      </w:pPr>
    </w:p>
    <w:p>
      <w:pPr>
        <w:pStyle w:val="Heading2"/>
        <w:keepNext/>
      </w:pPr>
    </w:p>
    <w:p>
      <w:pPr>
        <w:pStyle w:val="ListBullet"/>
        <w:spacing w:after="60"/>
      </w:pPr>
      <w:r>
        <w:rPr>
          <w:rFonts w:ascii="Aptos" w:hAnsi="Aptos" w:eastAsia="Aptos"/>
          <w:b w:val="0"/>
          <w:color w:val="172033"/>
          <w:sz w:val="20"/>
        </w:rPr>
        <w:t>Raw: synthetic portfolio masters, histories, market proxies, and six mock source PDFs.</w:t>
      </w:r>
    </w:p>
    <w:p>
      <w:pPr>
        <w:pStyle w:val="ListBullet"/>
        <w:spacing w:after="60"/>
      </w:pPr>
      <w:r>
        <w:rPr>
          <w:rFonts w:ascii="Aptos" w:hAnsi="Aptos" w:eastAsia="Aptos"/>
          <w:b w:val="0"/>
          <w:color w:val="172033"/>
          <w:sz w:val="20"/>
        </w:rPr>
        <w:t>Interim: staged document-ingestion state, uploaded PDFs, and review decisions.</w:t>
      </w:r>
    </w:p>
    <w:p>
      <w:pPr>
        <w:pStyle w:val="ListBullet"/>
        <w:spacing w:after="60"/>
      </w:pPr>
      <w:r>
        <w:rPr>
          <w:rFonts w:ascii="Aptos" w:hAnsi="Aptos" w:eastAsia="Aptos"/>
          <w:b w:val="0"/>
          <w:color w:val="172033"/>
          <w:sz w:val="20"/>
        </w:rPr>
        <w:t>Processed: approved overlay positions, cash, calls, distributions, status, and commentary.</w:t>
      </w:r>
    </w:p>
    <w:p>
      <w:pPr>
        <w:pStyle w:val="ListBullet"/>
        <w:spacing w:after="60"/>
      </w:pPr>
      <w:r>
        <w:rPr>
          <w:rFonts w:ascii="Aptos" w:hAnsi="Aptos" w:eastAsia="Aptos"/>
          <w:b w:val="0"/>
          <w:color w:val="172033"/>
          <w:sz w:val="20"/>
        </w:rPr>
        <w:t>Outputs: extracted JSON, validation tables, risk metrics, QA reports, and update summaries.</w:t>
      </w:r>
    </w:p>
    <w:p>
      <w:pPr>
        <w:pStyle w:val="Heading1"/>
        <w:keepNext/>
      </w:pP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shd w:fill="1F4E79"/>
            <w:tcMar>
              <w:top w:w="90" w:type="dxa"/>
              <w:start w:w="100" w:type="dxa"/>
              <w:bottom w:w="90" w:type="dxa"/>
              <w:end w:w="100" w:type="dxa"/>
            </w:tcMar>
          </w:tcPr>
          <w:p>
            <w:pPr>
              <w:jc w:val="center"/>
            </w:pPr>
            <w:r>
              <w:rPr>
                <w:rFonts w:ascii="Aptos" w:hAnsi="Aptos" w:eastAsia="Aptos"/>
                <w:b/>
                <w:color w:val="FFFFFF"/>
                <w:sz w:val="18"/>
              </w:rPr>
              <w:t>Stage</w:t>
            </w:r>
          </w:p>
        </w:tc>
        <w:tc>
          <w:tcPr>
            <w:tcW w:type="dxa" w:w="3312"/>
            <w:shd w:fill="1F4E79"/>
            <w:tcMar>
              <w:top w:w="90" w:type="dxa"/>
              <w:start w:w="100" w:type="dxa"/>
              <w:bottom w:w="90" w:type="dxa"/>
              <w:end w:w="100" w:type="dxa"/>
            </w:tcMar>
          </w:tcPr>
          <w:p>
            <w:pPr>
              <w:jc w:val="center"/>
            </w:pPr>
            <w:r>
              <w:rPr>
                <w:rFonts w:ascii="Aptos" w:hAnsi="Aptos" w:eastAsia="Aptos"/>
                <w:b/>
                <w:color w:val="FFFFFF"/>
                <w:sz w:val="18"/>
              </w:rPr>
              <w:t>Primary output</w:t>
            </w:r>
          </w:p>
        </w:tc>
        <w:tc>
          <w:tcPr>
            <w:tcW w:type="dxa" w:w="4464"/>
            <w:shd w:fill="1F4E79"/>
            <w:tcMar>
              <w:top w:w="90" w:type="dxa"/>
              <w:start w:w="100" w:type="dxa"/>
              <w:bottom w:w="90" w:type="dxa"/>
              <w:end w:w="100" w:type="dxa"/>
            </w:tcMar>
          </w:tcPr>
          <w:p>
            <w:pPr>
              <w:jc w:val="center"/>
            </w:pPr>
            <w:r>
              <w:rPr>
                <w:rFonts w:ascii="Aptos" w:hAnsi="Aptos" w:eastAsia="Aptos"/>
                <w:b/>
                <w:color w:val="FFFFFF"/>
                <w:sz w:val="18"/>
              </w:rPr>
              <w:t>Control objective</w:t>
            </w:r>
          </w:p>
        </w:tc>
      </w:tr>
      <w:tr>
        <w:tc>
          <w:tcPr>
            <w:tcW w:type="dxa" w:w="2016"/>
            <w:tcMar>
              <w:top w:w="90" w:type="dxa"/>
              <w:start w:w="100" w:type="dxa"/>
              <w:bottom w:w="90" w:type="dxa"/>
              <w:end w:w="100" w:type="dxa"/>
            </w:tcMar>
            <w:vAlign w:val="center"/>
          </w:tcPr>
          <w:p>
            <w:pPr>
              <w:jc w:val="left"/>
            </w:pPr>
            <w:r>
              <w:rPr>
                <w:rFonts w:ascii="Aptos" w:hAnsi="Aptos" w:eastAsia="Aptos"/>
                <w:b w:val="0"/>
                <w:color w:val="172033"/>
                <w:sz w:val="17"/>
              </w:rPr>
              <w:t>1. Intake</w:t>
            </w:r>
          </w:p>
        </w:tc>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PDF inbox and document metadata</w:t>
            </w:r>
          </w:p>
        </w:tc>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Preserve source and processing state</w:t>
            </w:r>
          </w:p>
        </w:tc>
      </w:tr>
      <w:tr>
        <w:tc>
          <w:tcPr>
            <w:tcW w:type="dxa" w:w="2016"/>
            <w:tcMar>
              <w:top w:w="90" w:type="dxa"/>
              <w:start w:w="100" w:type="dxa"/>
              <w:bottom w:w="90" w:type="dxa"/>
              <w:end w:w="100" w:type="dxa"/>
            </w:tcMar>
            <w:vAlign w:val="center"/>
            <w:shd w:fill="F4F8FB"/>
          </w:tcPr>
          <w:p>
            <w:pPr>
              <w:jc w:val="left"/>
            </w:pPr>
            <w:r>
              <w:rPr>
                <w:rFonts w:ascii="Aptos" w:hAnsi="Aptos" w:eastAsia="Aptos"/>
                <w:b w:val="0"/>
                <w:color w:val="172033"/>
                <w:sz w:val="17"/>
              </w:rPr>
              <w:t>2. Classification</w:t>
            </w:r>
          </w:p>
        </w:tc>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Document type and schema selection</w:t>
            </w:r>
          </w:p>
        </w:tc>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Apply the correct field contract</w:t>
            </w:r>
          </w:p>
        </w:tc>
      </w:tr>
      <w:tr>
        <w:tc>
          <w:tcPr>
            <w:tcW w:type="dxa" w:w="2016"/>
            <w:tcMar>
              <w:top w:w="90" w:type="dxa"/>
              <w:start w:w="100" w:type="dxa"/>
              <w:bottom w:w="90" w:type="dxa"/>
              <w:end w:w="100" w:type="dxa"/>
            </w:tcMar>
            <w:vAlign w:val="center"/>
          </w:tcPr>
          <w:p>
            <w:pPr>
              <w:jc w:val="left"/>
            </w:pPr>
            <w:r>
              <w:rPr>
                <w:rFonts w:ascii="Aptos" w:hAnsi="Aptos" w:eastAsia="Aptos"/>
                <w:b w:val="0"/>
                <w:color w:val="172033"/>
                <w:sz w:val="17"/>
              </w:rPr>
              <w:t>3. Extraction</w:t>
            </w:r>
          </w:p>
        </w:tc>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Structured JSON record</w:t>
            </w:r>
          </w:p>
        </w:tc>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Make values machine-readable and traceable</w:t>
            </w:r>
          </w:p>
        </w:tc>
      </w:tr>
      <w:tr>
        <w:tc>
          <w:tcPr>
            <w:tcW w:type="dxa" w:w="2016"/>
            <w:tcMar>
              <w:top w:w="90" w:type="dxa"/>
              <w:start w:w="100" w:type="dxa"/>
              <w:bottom w:w="90" w:type="dxa"/>
              <w:end w:w="100" w:type="dxa"/>
            </w:tcMar>
            <w:vAlign w:val="center"/>
            <w:shd w:fill="F4F8FB"/>
          </w:tcPr>
          <w:p>
            <w:pPr>
              <w:jc w:val="left"/>
            </w:pPr>
            <w:r>
              <w:rPr>
                <w:rFonts w:ascii="Aptos" w:hAnsi="Aptos" w:eastAsia="Aptos"/>
                <w:b w:val="0"/>
                <w:color w:val="172033"/>
                <w:sz w:val="17"/>
              </w:rPr>
              <w:t>4. Validation</w:t>
            </w:r>
          </w:p>
        </w:tc>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Rule results and document status</w:t>
            </w:r>
          </w:p>
        </w:tc>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Detect incompleteness and inconsistency</w:t>
            </w:r>
          </w:p>
        </w:tc>
      </w:tr>
      <w:tr>
        <w:tc>
          <w:tcPr>
            <w:tcW w:type="dxa" w:w="2016"/>
            <w:tcMar>
              <w:top w:w="90" w:type="dxa"/>
              <w:start w:w="100" w:type="dxa"/>
              <w:bottom w:w="90" w:type="dxa"/>
              <w:end w:w="100" w:type="dxa"/>
            </w:tcMar>
            <w:vAlign w:val="center"/>
          </w:tcPr>
          <w:p>
            <w:pPr>
              <w:jc w:val="left"/>
            </w:pPr>
            <w:r>
              <w:rPr>
                <w:rFonts w:ascii="Aptos" w:hAnsi="Aptos" w:eastAsia="Aptos"/>
                <w:b w:val="0"/>
                <w:color w:val="172033"/>
                <w:sz w:val="17"/>
              </w:rPr>
              <w:t>5. Human review</w:t>
            </w:r>
          </w:p>
        </w:tc>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Effective approval decision</w:t>
            </w:r>
          </w:p>
        </w:tc>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Separate automation from authority</w:t>
            </w:r>
          </w:p>
        </w:tc>
      </w:tr>
      <w:tr>
        <w:tc>
          <w:tcPr>
            <w:tcW w:type="dxa" w:w="2016"/>
            <w:tcMar>
              <w:top w:w="90" w:type="dxa"/>
              <w:start w:w="100" w:type="dxa"/>
              <w:bottom w:w="90" w:type="dxa"/>
              <w:end w:w="100" w:type="dxa"/>
            </w:tcMar>
            <w:vAlign w:val="center"/>
            <w:shd w:fill="F4F8FB"/>
          </w:tcPr>
          <w:p>
            <w:pPr>
              <w:jc w:val="left"/>
            </w:pPr>
            <w:r>
              <w:rPr>
                <w:rFonts w:ascii="Aptos" w:hAnsi="Aptos" w:eastAsia="Aptos"/>
                <w:b w:val="0"/>
                <w:color w:val="172033"/>
                <w:sz w:val="17"/>
              </w:rPr>
              <w:t>6. Portfolio update</w:t>
            </w:r>
          </w:p>
        </w:tc>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Processed overlay datasets</w:t>
            </w:r>
          </w:p>
        </w:tc>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Apply approved records only</w:t>
            </w:r>
          </w:p>
        </w:tc>
      </w:tr>
      <w:tr>
        <w:tc>
          <w:tcPr>
            <w:tcW w:type="dxa" w:w="2016"/>
            <w:tcMar>
              <w:top w:w="90" w:type="dxa"/>
              <w:start w:w="100" w:type="dxa"/>
              <w:bottom w:w="90" w:type="dxa"/>
              <w:end w:w="100" w:type="dxa"/>
            </w:tcMar>
            <w:vAlign w:val="center"/>
          </w:tcPr>
          <w:p>
            <w:pPr>
              <w:jc w:val="left"/>
            </w:pPr>
            <w:r>
              <w:rPr>
                <w:rFonts w:ascii="Aptos" w:hAnsi="Aptos" w:eastAsia="Aptos"/>
                <w:b w:val="0"/>
                <w:color w:val="172033"/>
                <w:sz w:val="17"/>
              </w:rPr>
              <w:t>7. Dashboard</w:t>
            </w:r>
          </w:p>
        </w:tc>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Portfolio and workflow views</w:t>
            </w:r>
          </w:p>
        </w:tc>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Expose insights and unresolved exceptions</w:t>
            </w:r>
          </w:p>
        </w:tc>
      </w:tr>
      <w:tr>
        <w:tc>
          <w:tcPr>
            <w:tcW w:type="dxa" w:w="2016"/>
            <w:tcMar>
              <w:top w:w="90" w:type="dxa"/>
              <w:start w:w="100" w:type="dxa"/>
              <w:bottom w:w="90" w:type="dxa"/>
              <w:end w:w="100" w:type="dxa"/>
            </w:tcMar>
            <w:vAlign w:val="center"/>
            <w:shd w:fill="F4F8FB"/>
          </w:tcPr>
          <w:p>
            <w:pPr>
              <w:jc w:val="left"/>
            </w:pPr>
            <w:r>
              <w:rPr>
                <w:rFonts w:ascii="Aptos" w:hAnsi="Aptos" w:eastAsia="Aptos"/>
                <w:b w:val="0"/>
                <w:color w:val="172033"/>
                <w:sz w:val="17"/>
              </w:rPr>
              <w:t>8. Risk overlay</w:t>
            </w:r>
          </w:p>
        </w:tc>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Proxy metrics and stresses</w:t>
            </w:r>
          </w:p>
        </w:tc>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Add market context without overstating coverage</w:t>
            </w:r>
          </w:p>
        </w:tc>
      </w:tr>
    </w:tbl>
    <w:p>
      <w:pPr>
        <w:spacing w:after="0"/>
      </w:pPr>
    </w:p>
    <w:p>
      <w:pPr>
        <w:spacing w:after="120" w:line="259" w:lineRule="auto"/>
      </w:pPr>
      <w:r>
        <w:rPr>
          <w:rFonts w:ascii="Aptos" w:hAnsi="Aptos" w:eastAsia="Aptos"/>
          <w:b w:val="0"/>
          <w:color w:val="172033"/>
          <w:sz w:val="20"/>
        </w:rPr>
        <w:t>The Streamlit application reads processed outputs. It does not implicitly run extraction or validation when a user opens a page. The intake workflow stages uploads first, then invokes an explicit processing action, which makes workflow state visible and testable.</w:t>
      </w:r>
    </w:p>
    <w:p>
      <w:pPr>
        <w:pStyle w:val="Heading1"/>
        <w:keepNext/>
      </w:pPr>
    </w:p>
    <w:p>
      <w:pPr>
        <w:spacing w:after="120" w:line="259" w:lineRule="auto"/>
      </w:pPr>
      <w:r>
        <w:rPr>
          <w:rFonts w:ascii="Aptos" w:hAnsi="Aptos" w:eastAsia="Aptos"/>
          <w:b w:val="0"/>
          <w:color w:val="172033"/>
          <w:sz w:val="20"/>
        </w:rPr>
        <w:t>The standard demonstration uses the baseline extractor: deterministic, API-free, and locked to expected synthetic results. An optional LLM mode remains available for comparison, but the final delivery does not depend on external model availability.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440"/>
            <w:shd w:fill="1F4E79"/>
            <w:tcMar>
              <w:top w:w="90" w:type="dxa"/>
              <w:start w:w="100" w:type="dxa"/>
              <w:bottom w:w="90" w:type="dxa"/>
              <w:end w:w="100" w:type="dxa"/>
            </w:tcMar>
          </w:tcPr>
          <w:p>
            <w:pPr>
              <w:jc w:val="center"/>
            </w:pPr>
            <w:r>
              <w:rPr>
                <w:rFonts w:ascii="Aptos" w:hAnsi="Aptos" w:eastAsia="Aptos"/>
                <w:b/>
                <w:color w:val="FFFFFF"/>
                <w:sz w:val="18"/>
              </w:rPr>
              <w:t>Document</w:t>
            </w:r>
          </w:p>
        </w:tc>
        <w:tc>
          <w:tcPr>
            <w:tcW w:type="dxa" w:w="2160"/>
            <w:shd w:fill="1F4E79"/>
            <w:tcMar>
              <w:top w:w="90" w:type="dxa"/>
              <w:start w:w="100" w:type="dxa"/>
              <w:bottom w:w="90" w:type="dxa"/>
              <w:end w:w="100" w:type="dxa"/>
            </w:tcMar>
          </w:tcPr>
          <w:p>
            <w:pPr>
              <w:jc w:val="center"/>
            </w:pPr>
            <w:r>
              <w:rPr>
                <w:rFonts w:ascii="Aptos" w:hAnsi="Aptos" w:eastAsia="Aptos"/>
                <w:b/>
                <w:color w:val="FFFFFF"/>
                <w:sz w:val="18"/>
              </w:rPr>
              <w:t>Type</w:t>
            </w:r>
          </w:p>
        </w:tc>
        <w:tc>
          <w:tcPr>
            <w:tcW w:type="dxa" w:w="4032"/>
            <w:shd w:fill="1F4E79"/>
            <w:tcMar>
              <w:top w:w="90" w:type="dxa"/>
              <w:start w:w="100" w:type="dxa"/>
              <w:bottom w:w="90" w:type="dxa"/>
              <w:end w:w="100" w:type="dxa"/>
            </w:tcMar>
          </w:tcPr>
          <w:p>
            <w:pPr>
              <w:jc w:val="center"/>
            </w:pPr>
            <w:r>
              <w:rPr>
                <w:rFonts w:ascii="Aptos" w:hAnsi="Aptos" w:eastAsia="Aptos"/>
                <w:b/>
                <w:color w:val="FFFFFF"/>
                <w:sz w:val="18"/>
              </w:rPr>
              <w:t>Primary extraction job</w:t>
            </w:r>
          </w:p>
        </w:tc>
        <w:tc>
          <w:tcPr>
            <w:tcW w:type="dxa" w:w="2160"/>
            <w:shd w:fill="1F4E79"/>
            <w:tcMar>
              <w:top w:w="90" w:type="dxa"/>
              <w:start w:w="100" w:type="dxa"/>
              <w:bottom w:w="90" w:type="dxa"/>
              <w:end w:w="100" w:type="dxa"/>
            </w:tcMar>
          </w:tcPr>
          <w:p>
            <w:pPr>
              <w:jc w:val="center"/>
            </w:pPr>
            <w:r>
              <w:rPr>
                <w:rFonts w:ascii="Aptos" w:hAnsi="Aptos" w:eastAsia="Aptos"/>
                <w:b/>
                <w:color w:val="FFFFFF"/>
                <w:sz w:val="18"/>
              </w:rPr>
              <w:t>Expected control outcome</w:t>
            </w:r>
          </w:p>
        </w:tc>
      </w:tr>
      <w:tr>
        <w:tc>
          <w:tcPr>
            <w:tcW w:type="dxa" w:w="1440"/>
            <w:tcMar>
              <w:top w:w="90" w:type="dxa"/>
              <w:start w:w="100" w:type="dxa"/>
              <w:bottom w:w="90" w:type="dxa"/>
              <w:end w:w="100" w:type="dxa"/>
            </w:tcMar>
            <w:vAlign w:val="center"/>
          </w:tcPr>
          <w:p>
            <w:pPr>
              <w:jc w:val="left"/>
            </w:pPr>
            <w:r>
              <w:rPr>
                <w:rFonts w:ascii="Aptos" w:hAnsi="Aptos" w:eastAsia="Aptos"/>
                <w:b w:val="0"/>
                <w:color w:val="172033"/>
                <w:sz w:val="17"/>
              </w:rPr>
              <w:t>PDF_001</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Capital call</w:t>
            </w:r>
          </w:p>
        </w:tc>
        <w:tc>
          <w:tcPr>
            <w:tcW w:type="dxa" w:w="4032"/>
            <w:tcMar>
              <w:top w:w="90" w:type="dxa"/>
              <w:start w:w="100" w:type="dxa"/>
              <w:bottom w:w="90" w:type="dxa"/>
              <w:end w:w="100" w:type="dxa"/>
            </w:tcMar>
            <w:vAlign w:val="center"/>
          </w:tcPr>
          <w:p>
            <w:pPr>
              <w:jc w:val="left"/>
            </w:pPr>
            <w:r>
              <w:rPr>
                <w:rFonts w:ascii="Aptos" w:hAnsi="Aptos" w:eastAsia="Aptos"/>
                <w:b w:val="0"/>
                <w:color w:val="172033"/>
                <w:sz w:val="17"/>
              </w:rPr>
              <w:t>Amount, due date, commitment fields</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Needs review</w:t>
            </w:r>
          </w:p>
        </w:tc>
      </w:tr>
      <w:tr>
        <w:tc>
          <w:tcPr>
            <w:tcW w:type="dxa" w:w="1440"/>
            <w:tcMar>
              <w:top w:w="90" w:type="dxa"/>
              <w:start w:w="100" w:type="dxa"/>
              <w:bottom w:w="90" w:type="dxa"/>
              <w:end w:w="100" w:type="dxa"/>
            </w:tcMar>
            <w:vAlign w:val="center"/>
            <w:shd w:fill="F4F8FB"/>
          </w:tcPr>
          <w:p>
            <w:pPr>
              <w:jc w:val="left"/>
            </w:pPr>
            <w:r>
              <w:rPr>
                <w:rFonts w:ascii="Aptos" w:hAnsi="Aptos" w:eastAsia="Aptos"/>
                <w:b w:val="0"/>
                <w:color w:val="172033"/>
                <w:sz w:val="17"/>
              </w:rPr>
              <w:t>PDF_002</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Capital call exception</w:t>
            </w:r>
          </w:p>
        </w:tc>
        <w:tc>
          <w:tcPr>
            <w:tcW w:type="dxa" w:w="4032"/>
            <w:tcMar>
              <w:top w:w="90" w:type="dxa"/>
              <w:start w:w="100" w:type="dxa"/>
              <w:bottom w:w="90" w:type="dxa"/>
              <w:end w:w="100" w:type="dxa"/>
            </w:tcMar>
            <w:vAlign w:val="center"/>
            <w:shd w:fill="F4F8FB"/>
          </w:tcPr>
          <w:p>
            <w:pPr>
              <w:jc w:val="left"/>
            </w:pPr>
            <w:r>
              <w:rPr>
                <w:rFonts w:ascii="Aptos" w:hAnsi="Aptos" w:eastAsia="Aptos"/>
                <w:b w:val="0"/>
                <w:color w:val="172033"/>
                <w:sz w:val="17"/>
              </w:rPr>
              <w:t>Alias, missing commitment context</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Needs review</w:t>
            </w:r>
          </w:p>
        </w:tc>
      </w:tr>
      <w:tr>
        <w:tc>
          <w:tcPr>
            <w:tcW w:type="dxa" w:w="1440"/>
            <w:tcMar>
              <w:top w:w="90" w:type="dxa"/>
              <w:start w:w="100" w:type="dxa"/>
              <w:bottom w:w="90" w:type="dxa"/>
              <w:end w:w="100" w:type="dxa"/>
            </w:tcMar>
            <w:vAlign w:val="center"/>
          </w:tcPr>
          <w:p>
            <w:pPr>
              <w:jc w:val="left"/>
            </w:pPr>
            <w:r>
              <w:rPr>
                <w:rFonts w:ascii="Aptos" w:hAnsi="Aptos" w:eastAsia="Aptos"/>
                <w:b w:val="0"/>
                <w:color w:val="172033"/>
                <w:sz w:val="17"/>
              </w:rPr>
              <w:t>PDF_003</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Distribution</w:t>
            </w:r>
          </w:p>
        </w:tc>
        <w:tc>
          <w:tcPr>
            <w:tcW w:type="dxa" w:w="4032"/>
            <w:tcMar>
              <w:top w:w="90" w:type="dxa"/>
              <w:start w:w="100" w:type="dxa"/>
              <w:bottom w:w="90" w:type="dxa"/>
              <w:end w:w="100" w:type="dxa"/>
            </w:tcMar>
            <w:vAlign w:val="center"/>
          </w:tcPr>
          <w:p>
            <w:pPr>
              <w:jc w:val="left"/>
            </w:pPr>
            <w:r>
              <w:rPr>
                <w:rFonts w:ascii="Aptos" w:hAnsi="Aptos" w:eastAsia="Aptos"/>
                <w:b w:val="0"/>
                <w:color w:val="172033"/>
                <w:sz w:val="17"/>
              </w:rPr>
              <w:t>Net cash flow and components</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Approved</w:t>
            </w:r>
          </w:p>
        </w:tc>
      </w:tr>
      <w:tr>
        <w:tc>
          <w:tcPr>
            <w:tcW w:type="dxa" w:w="1440"/>
            <w:tcMar>
              <w:top w:w="90" w:type="dxa"/>
              <w:start w:w="100" w:type="dxa"/>
              <w:bottom w:w="90" w:type="dxa"/>
              <w:end w:w="100" w:type="dxa"/>
            </w:tcMar>
            <w:vAlign w:val="center"/>
            <w:shd w:fill="F4F8FB"/>
          </w:tcPr>
          <w:p>
            <w:pPr>
              <w:jc w:val="left"/>
            </w:pPr>
            <w:r>
              <w:rPr>
                <w:rFonts w:ascii="Aptos" w:hAnsi="Aptos" w:eastAsia="Aptos"/>
                <w:b w:val="0"/>
                <w:color w:val="172033"/>
                <w:sz w:val="17"/>
              </w:rPr>
              <w:t>PDF_004</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Capital statement</w:t>
            </w:r>
          </w:p>
        </w:tc>
        <w:tc>
          <w:tcPr>
            <w:tcW w:type="dxa" w:w="4032"/>
            <w:tcMar>
              <w:top w:w="90" w:type="dxa"/>
              <w:start w:w="100" w:type="dxa"/>
              <w:bottom w:w="90" w:type="dxa"/>
              <w:end w:w="100" w:type="dxa"/>
            </w:tcMar>
            <w:vAlign w:val="center"/>
            <w:shd w:fill="F4F8FB"/>
          </w:tcPr>
          <w:p>
            <w:pPr>
              <w:jc w:val="left"/>
            </w:pPr>
            <w:r>
              <w:rPr>
                <w:rFonts w:ascii="Aptos" w:hAnsi="Aptos" w:eastAsia="Aptos"/>
                <w:b w:val="0"/>
                <w:color w:val="172033"/>
                <w:sz w:val="17"/>
              </w:rPr>
              <w:t>NAV roll-forward and commitment</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Approved</w:t>
            </w:r>
          </w:p>
        </w:tc>
      </w:tr>
      <w:tr>
        <w:tc>
          <w:tcPr>
            <w:tcW w:type="dxa" w:w="1440"/>
            <w:tcMar>
              <w:top w:w="90" w:type="dxa"/>
              <w:start w:w="100" w:type="dxa"/>
              <w:bottom w:w="90" w:type="dxa"/>
              <w:end w:w="100" w:type="dxa"/>
            </w:tcMar>
            <w:vAlign w:val="center"/>
          </w:tcPr>
          <w:p>
            <w:pPr>
              <w:jc w:val="left"/>
            </w:pPr>
            <w:r>
              <w:rPr>
                <w:rFonts w:ascii="Aptos" w:hAnsi="Aptos" w:eastAsia="Aptos"/>
                <w:b w:val="0"/>
                <w:color w:val="172033"/>
                <w:sz w:val="17"/>
              </w:rPr>
              <w:t>PDF_005</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Statement exception</w:t>
            </w:r>
          </w:p>
        </w:tc>
        <w:tc>
          <w:tcPr>
            <w:tcW w:type="dxa" w:w="4032"/>
            <w:tcMar>
              <w:top w:w="90" w:type="dxa"/>
              <w:start w:w="100" w:type="dxa"/>
              <w:bottom w:w="90" w:type="dxa"/>
              <w:end w:w="100" w:type="dxa"/>
            </w:tcMar>
            <w:vAlign w:val="center"/>
          </w:tcPr>
          <w:p>
            <w:pPr>
              <w:jc w:val="left"/>
            </w:pPr>
            <w:r>
              <w:rPr>
                <w:rFonts w:ascii="Aptos" w:hAnsi="Aptos" w:eastAsia="Aptos"/>
                <w:b w:val="0"/>
                <w:color w:val="172033"/>
                <w:sz w:val="17"/>
              </w:rPr>
              <w:t>Detect financial inconsistency</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Rejected</w:t>
            </w:r>
          </w:p>
        </w:tc>
      </w:tr>
      <w:tr>
        <w:tc>
          <w:tcPr>
            <w:tcW w:type="dxa" w:w="1440"/>
            <w:tcMar>
              <w:top w:w="90" w:type="dxa"/>
              <w:start w:w="100" w:type="dxa"/>
              <w:bottom w:w="90" w:type="dxa"/>
              <w:end w:w="100" w:type="dxa"/>
            </w:tcMar>
            <w:vAlign w:val="center"/>
            <w:shd w:fill="F4F8FB"/>
          </w:tcPr>
          <w:p>
            <w:pPr>
              <w:jc w:val="left"/>
            </w:pPr>
            <w:r>
              <w:rPr>
                <w:rFonts w:ascii="Aptos" w:hAnsi="Aptos" w:eastAsia="Aptos"/>
                <w:b w:val="0"/>
                <w:color w:val="172033"/>
                <w:sz w:val="17"/>
              </w:rPr>
              <w:t>PDF_006</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Newsletter</w:t>
            </w:r>
          </w:p>
        </w:tc>
        <w:tc>
          <w:tcPr>
            <w:tcW w:type="dxa" w:w="4032"/>
            <w:tcMar>
              <w:top w:w="90" w:type="dxa"/>
              <w:start w:w="100" w:type="dxa"/>
              <w:bottom w:w="90" w:type="dxa"/>
              <w:end w:w="100" w:type="dxa"/>
            </w:tcMar>
            <w:vAlign w:val="center"/>
            <w:shd w:fill="F4F8FB"/>
          </w:tcPr>
          <w:p>
            <w:pPr>
              <w:jc w:val="left"/>
            </w:pPr>
            <w:r>
              <w:rPr>
                <w:rFonts w:ascii="Aptos" w:hAnsi="Aptos" w:eastAsia="Aptos"/>
                <w:b w:val="0"/>
                <w:color w:val="172033"/>
                <w:sz w:val="17"/>
              </w:rPr>
              <w:t>Qualitative commentary and activity</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Approved</w:t>
            </w:r>
          </w:p>
        </w:tc>
      </w:tr>
    </w:tbl>
    <w:p>
      <w:pPr>
        <w:spacing w:after="0"/>
      </w:pPr>
    </w:p>
    <w:p>
      <w:pPr>
        <w:pStyle w:val="Heading2"/>
        <w:keepNext/>
      </w:pPr>
    </w:p>
    <w:p>
      <w:pPr>
        <w:pStyle w:val="ListBullet"/>
        <w:spacing w:after="60"/>
      </w:pPr>
      <w:r>
        <w:rPr>
          <w:rFonts w:ascii="Aptos" w:hAnsi="Aptos" w:eastAsia="Aptos"/>
          <w:b w:val="0"/>
          <w:color w:val="172033"/>
          <w:sz w:val="20"/>
        </w:rPr>
        <w:t>Schema selection follows document classification.</w:t>
      </w:r>
    </w:p>
    <w:p>
      <w:pPr>
        <w:pStyle w:val="ListBullet"/>
        <w:spacing w:after="60"/>
      </w:pPr>
      <w:r>
        <w:rPr>
          <w:rFonts w:ascii="Aptos" w:hAnsi="Aptos" w:eastAsia="Aptos"/>
          <w:b w:val="0"/>
          <w:color w:val="172033"/>
          <w:sz w:val="20"/>
        </w:rPr>
        <w:t>Raw and mapped fund names are retained where normalization occurs.</w:t>
      </w:r>
    </w:p>
    <w:p>
      <w:pPr>
        <w:pStyle w:val="ListBullet"/>
        <w:spacing w:after="60"/>
      </w:pPr>
      <w:r>
        <w:rPr>
          <w:rFonts w:ascii="Aptos" w:hAnsi="Aptos" w:eastAsia="Aptos"/>
          <w:b w:val="0"/>
          <w:color w:val="172033"/>
          <w:sz w:val="20"/>
        </w:rPr>
        <w:t>Baseline outputs are reproducible and suitable for live demonstration.</w:t>
      </w:r>
    </w:p>
    <w:p>
      <w:pPr>
        <w:pStyle w:val="ListBullet"/>
        <w:spacing w:after="60"/>
      </w:pPr>
      <w:r>
        <w:rPr>
          <w:rFonts w:ascii="Aptos" w:hAnsi="Aptos" w:eastAsia="Aptos"/>
          <w:b w:val="0"/>
          <w:color w:val="172033"/>
          <w:sz w:val="20"/>
        </w:rPr>
        <w:t>Extraction alone never authorizes a portfolio update.</w:t>
      </w:r>
    </w:p>
    <w:p>
      <w:pPr>
        <w:pStyle w:val="Heading1"/>
        <w:keepNext/>
      </w:pPr>
    </w:p>
    <w:p>
      <w:pPr>
        <w:spacing w:after="120" w:line="259" w:lineRule="auto"/>
      </w:pPr>
      <w:r>
        <w:rPr>
          <w:rFonts w:ascii="Aptos" w:hAnsi="Aptos" w:eastAsia="Aptos"/>
          <w:b w:val="0"/>
          <w:color w:val="172033"/>
          <w:sz w:val="20"/>
        </w:rPr>
        <w:t>Each record is evaluated across fund matching, required fields, urgency, cash sufficiency, commitment consistency, NAV roll-forward, component reconciliation, fuzzy-name handling, and confidence. Rule results roll up to a document-level status used by the update layer.</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F4E79"/>
            <w:tcMar>
              <w:top w:w="90" w:type="dxa"/>
              <w:start w:w="100" w:type="dxa"/>
              <w:bottom w:w="90" w:type="dxa"/>
              <w:end w:w="100" w:type="dxa"/>
            </w:tcMar>
          </w:tcPr>
          <w:p>
            <w:pPr>
              <w:jc w:val="center"/>
            </w:pPr>
            <w:r>
              <w:rPr>
                <w:rFonts w:ascii="Aptos" w:hAnsi="Aptos" w:eastAsia="Aptos"/>
                <w:b/>
                <w:color w:val="FFFFFF"/>
                <w:sz w:val="18"/>
              </w:rPr>
              <w:t>Status</w:t>
            </w:r>
          </w:p>
        </w:tc>
        <w:tc>
          <w:tcPr>
            <w:tcW w:type="dxa" w:w="3600"/>
            <w:shd w:fill="1F4E79"/>
            <w:tcMar>
              <w:top w:w="90" w:type="dxa"/>
              <w:start w:w="100" w:type="dxa"/>
              <w:bottom w:w="90" w:type="dxa"/>
              <w:end w:w="100" w:type="dxa"/>
            </w:tcMar>
          </w:tcPr>
          <w:p>
            <w:pPr>
              <w:jc w:val="center"/>
            </w:pPr>
            <w:r>
              <w:rPr>
                <w:rFonts w:ascii="Aptos" w:hAnsi="Aptos" w:eastAsia="Aptos"/>
                <w:b/>
                <w:color w:val="FFFFFF"/>
                <w:sz w:val="18"/>
              </w:rPr>
              <w:t>Documents</w:t>
            </w:r>
          </w:p>
        </w:tc>
        <w:tc>
          <w:tcPr>
            <w:tcW w:type="dxa" w:w="4464"/>
            <w:shd w:fill="1F4E79"/>
            <w:tcMar>
              <w:top w:w="90" w:type="dxa"/>
              <w:start w:w="100" w:type="dxa"/>
              <w:bottom w:w="90" w:type="dxa"/>
              <w:end w:w="100" w:type="dxa"/>
            </w:tcMar>
          </w:tcPr>
          <w:p>
            <w:pPr>
              <w:jc w:val="center"/>
            </w:pPr>
            <w:r>
              <w:rPr>
                <w:rFonts w:ascii="Aptos" w:hAnsi="Aptos" w:eastAsia="Aptos"/>
                <w:b/>
                <w:color w:val="FFFFFF"/>
                <w:sz w:val="18"/>
              </w:rPr>
              <w:t>Portfolio treatment</w:t>
            </w:r>
          </w:p>
        </w:tc>
      </w:tr>
      <w:tr>
        <w:tc>
          <w:tcPr>
            <w:tcW w:type="dxa" w:w="1728"/>
            <w:tcMar>
              <w:top w:w="90" w:type="dxa"/>
              <w:start w:w="100" w:type="dxa"/>
              <w:bottom w:w="90" w:type="dxa"/>
              <w:end w:w="100" w:type="dxa"/>
            </w:tcMar>
            <w:vAlign w:val="center"/>
          </w:tcPr>
          <w:p>
            <w:pPr>
              <w:jc w:val="left"/>
            </w:pPr>
            <w:r>
              <w:rPr>
                <w:rFonts w:ascii="Aptos" w:hAnsi="Aptos" w:eastAsia="Aptos"/>
                <w:b w:val="0"/>
                <w:color w:val="172033"/>
                <w:sz w:val="17"/>
              </w:rPr>
              <w:t>Approved</w:t>
            </w:r>
          </w:p>
        </w:tc>
        <w:tc>
          <w:tcPr>
            <w:tcW w:type="dxa" w:w="3600"/>
            <w:tcMar>
              <w:top w:w="90" w:type="dxa"/>
              <w:start w:w="100" w:type="dxa"/>
              <w:bottom w:w="90" w:type="dxa"/>
              <w:end w:w="100" w:type="dxa"/>
            </w:tcMar>
            <w:vAlign w:val="center"/>
          </w:tcPr>
          <w:p>
            <w:pPr>
              <w:jc w:val="left"/>
            </w:pPr>
            <w:r>
              <w:rPr>
                <w:rFonts w:ascii="Aptos" w:hAnsi="Aptos" w:eastAsia="Aptos"/>
                <w:b w:val="0"/>
                <w:color w:val="172033"/>
                <w:sz w:val="17"/>
              </w:rPr>
              <w:t>PDF_003, PDF_004, PDF_006</w:t>
            </w:r>
          </w:p>
        </w:tc>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Applied to the processed overlay</w:t>
            </w:r>
          </w:p>
        </w:tc>
      </w:tr>
      <w:tr>
        <w:tc>
          <w:tcPr>
            <w:tcW w:type="dxa" w:w="1728"/>
            <w:tcMar>
              <w:top w:w="90" w:type="dxa"/>
              <w:start w:w="100" w:type="dxa"/>
              <w:bottom w:w="90" w:type="dxa"/>
              <w:end w:w="100" w:type="dxa"/>
            </w:tcMar>
            <w:vAlign w:val="center"/>
            <w:shd w:fill="F4F8FB"/>
          </w:tcPr>
          <w:p>
            <w:pPr>
              <w:jc w:val="left"/>
            </w:pPr>
            <w:r>
              <w:rPr>
                <w:rFonts w:ascii="Aptos" w:hAnsi="Aptos" w:eastAsia="Aptos"/>
                <w:b w:val="0"/>
                <w:color w:val="172033"/>
                <w:sz w:val="17"/>
              </w:rPr>
              <w:t>Needs review</w:t>
            </w:r>
          </w:p>
        </w:tc>
        <w:tc>
          <w:tcPr>
            <w:tcW w:type="dxa" w:w="3600"/>
            <w:tcMar>
              <w:top w:w="90" w:type="dxa"/>
              <w:start w:w="100" w:type="dxa"/>
              <w:bottom w:w="90" w:type="dxa"/>
              <w:end w:w="100" w:type="dxa"/>
            </w:tcMar>
            <w:vAlign w:val="center"/>
            <w:shd w:fill="F4F8FB"/>
          </w:tcPr>
          <w:p>
            <w:pPr>
              <w:jc w:val="left"/>
            </w:pPr>
            <w:r>
              <w:rPr>
                <w:rFonts w:ascii="Aptos" w:hAnsi="Aptos" w:eastAsia="Aptos"/>
                <w:b w:val="0"/>
                <w:color w:val="172033"/>
                <w:sz w:val="17"/>
              </w:rPr>
              <w:t>PDF_001, PDF_002</w:t>
            </w:r>
          </w:p>
        </w:tc>
        <w:tc>
          <w:tcPr>
            <w:tcW w:type="dxa" w:w="4464"/>
            <w:tcMar>
              <w:top w:w="90" w:type="dxa"/>
              <w:start w:w="100" w:type="dxa"/>
              <w:bottom w:w="90" w:type="dxa"/>
              <w:end w:w="100" w:type="dxa"/>
            </w:tcMar>
            <w:vAlign w:val="center"/>
            <w:shd w:fill="F4F8FB"/>
          </w:tcPr>
          <w:p>
            <w:pPr>
              <w:jc w:val="left"/>
            </w:pPr>
            <w:r>
              <w:rPr>
                <w:rFonts w:ascii="Aptos" w:hAnsi="Aptos" w:eastAsia="Aptos"/>
                <w:b w:val="0"/>
                <w:color w:val="172033"/>
                <w:sz w:val="17"/>
              </w:rPr>
              <w:t>Blocked pending an effective decision</w:t>
            </w:r>
          </w:p>
        </w:tc>
      </w:tr>
      <w:tr>
        <w:tc>
          <w:tcPr>
            <w:tcW w:type="dxa" w:w="1728"/>
            <w:tcMar>
              <w:top w:w="90" w:type="dxa"/>
              <w:start w:w="100" w:type="dxa"/>
              <w:bottom w:w="90" w:type="dxa"/>
              <w:end w:w="100" w:type="dxa"/>
            </w:tcMar>
            <w:vAlign w:val="center"/>
          </w:tcPr>
          <w:p>
            <w:pPr>
              <w:jc w:val="left"/>
            </w:pPr>
            <w:r>
              <w:rPr>
                <w:rFonts w:ascii="Aptos" w:hAnsi="Aptos" w:eastAsia="Aptos"/>
                <w:b w:val="0"/>
                <w:color w:val="172033"/>
                <w:sz w:val="17"/>
              </w:rPr>
              <w:t>Rejected</w:t>
            </w:r>
          </w:p>
        </w:tc>
        <w:tc>
          <w:tcPr>
            <w:tcW w:type="dxa" w:w="3600"/>
            <w:tcMar>
              <w:top w:w="90" w:type="dxa"/>
              <w:start w:w="100" w:type="dxa"/>
              <w:bottom w:w="90" w:type="dxa"/>
              <w:end w:w="100" w:type="dxa"/>
            </w:tcMar>
            <w:vAlign w:val="center"/>
          </w:tcPr>
          <w:p>
            <w:pPr>
              <w:jc w:val="left"/>
            </w:pPr>
            <w:r>
              <w:rPr>
                <w:rFonts w:ascii="Aptos" w:hAnsi="Aptos" w:eastAsia="Aptos"/>
                <w:b w:val="0"/>
                <w:color w:val="172033"/>
                <w:sz w:val="17"/>
              </w:rPr>
              <w:t>PDF_005</w:t>
            </w:r>
          </w:p>
        </w:tc>
        <w:tc>
          <w:tcPr>
            <w:tcW w:type="dxa" w:w="4464"/>
            <w:tcMar>
              <w:top w:w="90" w:type="dxa"/>
              <w:start w:w="100" w:type="dxa"/>
              <w:bottom w:w="90" w:type="dxa"/>
              <w:end w:w="100" w:type="dxa"/>
            </w:tcMar>
            <w:vAlign w:val="center"/>
          </w:tcPr>
          <w:p>
            <w:pPr>
              <w:jc w:val="left"/>
            </w:pPr>
            <w:r>
              <w:rPr>
                <w:rFonts w:ascii="Aptos" w:hAnsi="Aptos" w:eastAsia="Aptos"/>
                <w:b w:val="0"/>
                <w:color w:val="172033"/>
                <w:sz w:val="17"/>
              </w:rPr>
              <w:t>Blocked; no portfolio mutation</w:t>
            </w:r>
          </w:p>
        </w:tc>
      </w:tr>
    </w:tbl>
    <w:p>
      <w:pPr>
        <w:spacing w:after="0"/>
      </w:pPr>
    </w:p>
    <w:p>
      <w:pPr>
        <w:spacing w:after="120" w:line="259" w:lineRule="auto"/>
      </w:pPr>
      <w:r>
        <w:rPr>
          <w:rFonts w:ascii="Aptos" w:hAnsi="Aptos" w:eastAsia="Aptos"/>
          <w:b w:val="0"/>
          <w:color w:val="172033"/>
          <w:sz w:val="20"/>
        </w:rPr>
        <w:t>The current update run applies one distribution, one capital statement, and one newsletter. Both capital calls remain blocked; approved May cash flows are treated as projected overlay items, while booked baseline cash remains distinct. This avoids presenting future or unresolved activity as official cash movement.</w:t>
      </w:r>
    </w:p>
    <w:p>
      <w:pPr>
        <w:pStyle w:val="Heading2"/>
        <w:keepNext/>
      </w:pPr>
    </w:p>
    <w:p>
      <w:pPr>
        <w:spacing w:after="120" w:line="259" w:lineRule="auto"/>
      </w:pPr>
      <w:r>
        <w:rPr>
          <w:rFonts w:ascii="Aptos" w:hAnsi="Aptos" w:eastAsia="Aptos"/>
          <w:b w:val="0"/>
          <w:color w:val="172033"/>
          <w:sz w:val="20"/>
        </w:rPr>
        <w:t>The strongest design decision in the prototype is the separation of extraction confidence from authorization. Even a correctly parsed document may contain missing commitment fields, an alias, an inconsistency, or a business exception. The review queue makes those conditions visible and prevents automation from scaling them into the portfolio state.</w:t>
      </w:r>
    </w:p>
    <w:p>
      <w:pPr>
        <w:pStyle w:val="Heading1"/>
        <w:keepNext/>
      </w:pPr>
    </w:p>
    <w:p>
      <w:pPr>
        <w:spacing w:after="120" w:line="259" w:lineRule="auto"/>
      </w:pPr>
      <w:r>
        <w:rPr>
          <w:rFonts w:ascii="Aptos" w:hAnsi="Aptos" w:eastAsia="Aptos"/>
          <w:b w:val="0"/>
          <w:color w:val="172033"/>
          <w:sz w:val="20"/>
        </w:rPr>
        <w:t>The final Streamlit dashboard packages the workflow into eight delivery pages, with document intake and demo tools supporting controlled replay. Each page includes explicit synthetic-data and source-context language where interpretation could otherwise be overstated.</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1F4E79"/>
            <w:tcMar>
              <w:top w:w="90" w:type="dxa"/>
              <w:start w:w="100" w:type="dxa"/>
              <w:bottom w:w="90" w:type="dxa"/>
              <w:end w:w="100" w:type="dxa"/>
            </w:tcMar>
          </w:tcPr>
          <w:p>
            <w:pPr>
              <w:jc w:val="center"/>
            </w:pPr>
            <w:r>
              <w:rPr>
                <w:rFonts w:ascii="Aptos" w:hAnsi="Aptos" w:eastAsia="Aptos"/>
                <w:b/>
                <w:color w:val="FFFFFF"/>
                <w:sz w:val="18"/>
              </w:rPr>
              <w:t>Page</w:t>
            </w:r>
          </w:p>
        </w:tc>
        <w:tc>
          <w:tcPr>
            <w:tcW w:type="dxa" w:w="6912"/>
            <w:shd w:fill="1F4E79"/>
            <w:tcMar>
              <w:top w:w="90" w:type="dxa"/>
              <w:start w:w="100" w:type="dxa"/>
              <w:bottom w:w="90" w:type="dxa"/>
              <w:end w:w="100" w:type="dxa"/>
            </w:tcMar>
          </w:tcPr>
          <w:p>
            <w:pPr>
              <w:jc w:val="center"/>
            </w:pPr>
            <w:r>
              <w:rPr>
                <w:rFonts w:ascii="Aptos" w:hAnsi="Aptos" w:eastAsia="Aptos"/>
                <w:b/>
                <w:color w:val="FFFFFF"/>
                <w:sz w:val="18"/>
              </w:rPr>
              <w:t>Decision support</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Overview</w:t>
            </w:r>
          </w:p>
        </w:tc>
        <w:tc>
          <w:tcPr>
            <w:tcW w:type="dxa" w:w="6912"/>
            <w:tcMar>
              <w:top w:w="90" w:type="dxa"/>
              <w:start w:w="100" w:type="dxa"/>
              <w:bottom w:w="90" w:type="dxa"/>
              <w:end w:w="100" w:type="dxa"/>
            </w:tcMar>
            <w:vAlign w:val="center"/>
          </w:tcPr>
          <w:p>
            <w:pPr>
              <w:jc w:val="left"/>
            </w:pPr>
            <w:r>
              <w:rPr>
                <w:rFonts w:ascii="Aptos" w:hAnsi="Aptos" w:eastAsia="Aptos"/>
                <w:b w:val="0"/>
                <w:color w:val="172033"/>
                <w:sz w:val="17"/>
              </w:rPr>
              <w:t>Portfolio value, allocation, performance, workflow snapshot</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Asset Class</w:t>
            </w:r>
          </w:p>
        </w:tc>
        <w:tc>
          <w:tcPr>
            <w:tcW w:type="dxa" w:w="6912"/>
            <w:tcMar>
              <w:top w:w="90" w:type="dxa"/>
              <w:start w:w="100" w:type="dxa"/>
              <w:bottom w:w="90" w:type="dxa"/>
              <w:end w:w="100" w:type="dxa"/>
            </w:tcMar>
            <w:vAlign w:val="center"/>
            <w:shd w:fill="F4F8FB"/>
          </w:tcPr>
          <w:p>
            <w:pPr>
              <w:jc w:val="left"/>
            </w:pPr>
            <w:r>
              <w:rPr>
                <w:rFonts w:ascii="Aptos" w:hAnsi="Aptos" w:eastAsia="Aptos"/>
                <w:b w:val="0"/>
                <w:color w:val="172033"/>
                <w:sz w:val="17"/>
              </w:rPr>
              <w:t>Allocation, exposure, monthly changes, and history</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Region &amp; Currency</w:t>
            </w:r>
          </w:p>
        </w:tc>
        <w:tc>
          <w:tcPr>
            <w:tcW w:type="dxa" w:w="6912"/>
            <w:tcMar>
              <w:top w:w="90" w:type="dxa"/>
              <w:start w:w="100" w:type="dxa"/>
              <w:bottom w:w="90" w:type="dxa"/>
              <w:end w:w="100" w:type="dxa"/>
            </w:tcMar>
            <w:vAlign w:val="center"/>
          </w:tcPr>
          <w:p>
            <w:pPr>
              <w:jc w:val="left"/>
            </w:pPr>
            <w:r>
              <w:rPr>
                <w:rFonts w:ascii="Aptos" w:hAnsi="Aptos" w:eastAsia="Aptos"/>
                <w:b w:val="0"/>
                <w:color w:val="172033"/>
                <w:sz w:val="17"/>
              </w:rPr>
              <w:t>Geography taxonomy, currency concentration, and trends</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Public Markets</w:t>
            </w:r>
          </w:p>
        </w:tc>
        <w:tc>
          <w:tcPr>
            <w:tcW w:type="dxa" w:w="6912"/>
            <w:tcMar>
              <w:top w:w="90" w:type="dxa"/>
              <w:start w:w="100" w:type="dxa"/>
              <w:bottom w:w="90" w:type="dxa"/>
              <w:end w:w="100" w:type="dxa"/>
            </w:tcMar>
            <w:vAlign w:val="center"/>
            <w:shd w:fill="F4F8FB"/>
          </w:tcPr>
          <w:p>
            <w:pPr>
              <w:jc w:val="left"/>
            </w:pPr>
            <w:r>
              <w:rPr>
                <w:rFonts w:ascii="Aptos" w:hAnsi="Aptos" w:eastAsia="Aptos"/>
                <w:b w:val="0"/>
                <w:color w:val="172033"/>
                <w:sz w:val="17"/>
              </w:rPr>
              <w:t>Holdings, sector, market cap, long/short, and market-linked performance</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Private Markets</w:t>
            </w:r>
          </w:p>
        </w:tc>
        <w:tc>
          <w:tcPr>
            <w:tcW w:type="dxa" w:w="6912"/>
            <w:tcMar>
              <w:top w:w="90" w:type="dxa"/>
              <w:start w:w="100" w:type="dxa"/>
              <w:bottom w:w="90" w:type="dxa"/>
              <w:end w:w="100" w:type="dxa"/>
            </w:tcMar>
            <w:vAlign w:val="center"/>
          </w:tcPr>
          <w:p>
            <w:pPr>
              <w:jc w:val="left"/>
            </w:pPr>
            <w:r>
              <w:rPr>
                <w:rFonts w:ascii="Aptos" w:hAnsi="Aptos" w:eastAsia="Aptos"/>
                <w:b w:val="0"/>
                <w:color w:val="172033"/>
                <w:sz w:val="17"/>
              </w:rPr>
              <w:t>NAV, commitments, statement lag, strategy, geography, and commentary</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Liquidity &amp; Commitments</w:t>
            </w:r>
          </w:p>
        </w:tc>
        <w:tc>
          <w:tcPr>
            <w:tcW w:type="dxa" w:w="6912"/>
            <w:tcMar>
              <w:top w:w="90" w:type="dxa"/>
              <w:start w:w="100" w:type="dxa"/>
              <w:bottom w:w="90" w:type="dxa"/>
              <w:end w:w="100" w:type="dxa"/>
            </w:tcMar>
            <w:vAlign w:val="center"/>
            <w:shd w:fill="F4F8FB"/>
          </w:tcPr>
          <w:p>
            <w:pPr>
              <w:jc w:val="left"/>
            </w:pPr>
            <w:r>
              <w:rPr>
                <w:rFonts w:ascii="Aptos" w:hAnsi="Aptos" w:eastAsia="Aptos"/>
                <w:b w:val="0"/>
                <w:color w:val="172033"/>
                <w:sz w:val="17"/>
              </w:rPr>
              <w:t>Cash buckets, calls, distributions, unfunded commitments, and coverage</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Risk Profile</w:t>
            </w:r>
          </w:p>
        </w:tc>
        <w:tc>
          <w:tcPr>
            <w:tcW w:type="dxa" w:w="6912"/>
            <w:tcMar>
              <w:top w:w="90" w:type="dxa"/>
              <w:start w:w="100" w:type="dxa"/>
              <w:bottom w:w="90" w:type="dxa"/>
              <w:end w:w="100" w:type="dxa"/>
            </w:tcMar>
            <w:vAlign w:val="center"/>
          </w:tcPr>
          <w:p>
            <w:pPr>
              <w:jc w:val="left"/>
            </w:pPr>
            <w:r>
              <w:rPr>
                <w:rFonts w:ascii="Aptos" w:hAnsi="Aptos" w:eastAsia="Aptos"/>
                <w:b w:val="0"/>
                <w:color w:val="172033"/>
                <w:sz w:val="17"/>
              </w:rPr>
              <w:t>Public-proxy volatility, drawdown, correlation, and stress scenarios</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Workflow &amp; Controls</w:t>
            </w:r>
          </w:p>
        </w:tc>
        <w:tc>
          <w:tcPr>
            <w:tcW w:type="dxa" w:w="6912"/>
            <w:tcMar>
              <w:top w:w="90" w:type="dxa"/>
              <w:start w:w="100" w:type="dxa"/>
              <w:bottom w:w="90" w:type="dxa"/>
              <w:end w:w="100" w:type="dxa"/>
            </w:tcMar>
            <w:vAlign w:val="center"/>
            <w:shd w:fill="F4F8FB"/>
          </w:tcPr>
          <w:p>
            <w:pPr>
              <w:jc w:val="left"/>
            </w:pPr>
            <w:r>
              <w:rPr>
                <w:rFonts w:ascii="Aptos" w:hAnsi="Aptos" w:eastAsia="Aptos"/>
                <w:b w:val="0"/>
                <w:color w:val="172033"/>
                <w:sz w:val="17"/>
              </w:rPr>
              <w:t>Extraction, validation, review queue, status, and audit evidence</w:t>
            </w:r>
          </w:p>
        </w:tc>
      </w:tr>
    </w:tbl>
    <w:p>
      <w:pPr>
        <w:spacing w:after="0"/>
      </w:pPr>
    </w:p>
    <w:p>
      <w:pPr>
        <w:spacing w:after="120" w:line="259" w:lineRule="auto"/>
      </w:pPr>
      <w:r>
        <w:rPr>
          <w:rFonts w:ascii="Aptos" w:hAnsi="Aptos" w:eastAsia="Aptos"/>
          <w:b w:val="0"/>
          <w:color w:val="172033"/>
          <w:sz w:val="20"/>
        </w:rPr>
        <w:t>The application’s operating narrative is cumulative: the user can see both portfolio insights and the controls that produced them. This is more credible than a dashboard that displays updated values without explaining whether the underlying document passed review.</w:t>
      </w:r>
    </w:p>
    <w:p>
      <w:pPr>
        <w:pStyle w:val="Heading1"/>
        <w:keepNext/>
      </w:pPr>
    </w:p>
    <w:p>
      <w:pPr>
        <w:spacing w:after="120" w:line="259" w:lineRule="auto"/>
      </w:pPr>
      <w:r>
        <w:rPr>
          <w:rFonts w:ascii="Aptos" w:hAnsi="Aptos" w:eastAsia="Aptos"/>
          <w:b w:val="0"/>
          <w:color w:val="172033"/>
          <w:sz w:val="20"/>
        </w:rPr>
        <w:t>The risk module uses real monthly public-market proxy prices for 30 tickers from June 2016 through April 2026. It calculates volatility, maximum drawdown, correlations, and scenario stresses. Private positions are mapped to public proxies where possible, but the output is explicitly labeled as a public-proxy overlay—not a full total-portfolio risk engine.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F4E79"/>
            <w:tcMar>
              <w:top w:w="90" w:type="dxa"/>
              <w:start w:w="100" w:type="dxa"/>
              <w:bottom w:w="90" w:type="dxa"/>
              <w:end w:w="100" w:type="dxa"/>
            </w:tcMar>
          </w:tcPr>
          <w:p>
            <w:pPr>
              <w:jc w:val="center"/>
            </w:pPr>
            <w:r>
              <w:rPr>
                <w:rFonts w:ascii="Aptos" w:hAnsi="Aptos" w:eastAsia="Aptos"/>
                <w:b/>
                <w:color w:val="FFFFFF"/>
                <w:sz w:val="18"/>
              </w:rPr>
              <w:t>Capability</w:t>
            </w:r>
          </w:p>
        </w:tc>
        <w:tc>
          <w:tcPr>
            <w:tcW w:type="dxa" w:w="3312"/>
            <w:shd w:fill="1F4E79"/>
            <w:tcMar>
              <w:top w:w="90" w:type="dxa"/>
              <w:start w:w="100" w:type="dxa"/>
              <w:bottom w:w="90" w:type="dxa"/>
              <w:end w:w="100" w:type="dxa"/>
            </w:tcMar>
          </w:tcPr>
          <w:p>
            <w:pPr>
              <w:jc w:val="center"/>
            </w:pPr>
            <w:r>
              <w:rPr>
                <w:rFonts w:ascii="Aptos" w:hAnsi="Aptos" w:eastAsia="Aptos"/>
                <w:b/>
                <w:color w:val="FFFFFF"/>
                <w:sz w:val="18"/>
              </w:rPr>
              <w:t>Use</w:t>
            </w:r>
          </w:p>
        </w:tc>
        <w:tc>
          <w:tcPr>
            <w:tcW w:type="dxa" w:w="3600"/>
            <w:shd w:fill="1F4E79"/>
            <w:tcMar>
              <w:top w:w="90" w:type="dxa"/>
              <w:start w:w="100" w:type="dxa"/>
              <w:bottom w:w="90" w:type="dxa"/>
              <w:end w:w="100" w:type="dxa"/>
            </w:tcMar>
          </w:tcPr>
          <w:p>
            <w:pPr>
              <w:jc w:val="center"/>
            </w:pPr>
            <w:r>
              <w:rPr>
                <w:rFonts w:ascii="Aptos" w:hAnsi="Aptos" w:eastAsia="Aptos"/>
                <w:b/>
                <w:color w:val="FFFFFF"/>
                <w:sz w:val="18"/>
              </w:rPr>
              <w:t>Important limitation</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Volatility and drawdown</w:t>
            </w:r>
          </w:p>
        </w:tc>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Compare observable proxy behavior</w:t>
            </w:r>
          </w:p>
        </w:tc>
        <w:tc>
          <w:tcPr>
            <w:tcW w:type="dxa" w:w="3600"/>
            <w:tcMar>
              <w:top w:w="90" w:type="dxa"/>
              <w:start w:w="100" w:type="dxa"/>
              <w:bottom w:w="90" w:type="dxa"/>
              <w:end w:w="100" w:type="dxa"/>
            </w:tcMar>
            <w:vAlign w:val="center"/>
          </w:tcPr>
          <w:p>
            <w:pPr>
              <w:jc w:val="left"/>
            </w:pPr>
            <w:r>
              <w:rPr>
                <w:rFonts w:ascii="Aptos" w:hAnsi="Aptos" w:eastAsia="Aptos"/>
                <w:b w:val="0"/>
                <w:color w:val="172033"/>
                <w:sz w:val="17"/>
              </w:rPr>
              <w:t>Private NAV smoothing is not removed</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Correlation matrix</w:t>
            </w:r>
          </w:p>
        </w:tc>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Identify proxy co-movement</w:t>
            </w:r>
          </w:p>
        </w:tc>
        <w:tc>
          <w:tcPr>
            <w:tcW w:type="dxa" w:w="3600"/>
            <w:tcMar>
              <w:top w:w="90" w:type="dxa"/>
              <w:start w:w="100" w:type="dxa"/>
              <w:bottom w:w="90" w:type="dxa"/>
              <w:end w:w="100" w:type="dxa"/>
            </w:tcMar>
            <w:vAlign w:val="center"/>
            <w:shd w:fill="F4F8FB"/>
          </w:tcPr>
          <w:p>
            <w:pPr>
              <w:jc w:val="left"/>
            </w:pPr>
            <w:r>
              <w:rPr>
                <w:rFonts w:ascii="Aptos" w:hAnsi="Aptos" w:eastAsia="Aptos"/>
                <w:b w:val="0"/>
                <w:color w:val="172033"/>
                <w:sz w:val="17"/>
              </w:rPr>
              <w:t>Mappings are approximations</w:t>
            </w:r>
          </w:p>
        </w:tc>
      </w:tr>
      <w:tr>
        <w:tc>
          <w:tcPr>
            <w:tcW w:type="dxa" w:w="2880"/>
            <w:tcMar>
              <w:top w:w="90" w:type="dxa"/>
              <w:start w:w="100" w:type="dxa"/>
              <w:bottom w:w="90" w:type="dxa"/>
              <w:end w:w="100" w:type="dxa"/>
            </w:tcMar>
            <w:vAlign w:val="center"/>
          </w:tcPr>
          <w:p>
            <w:pPr>
              <w:jc w:val="left"/>
            </w:pPr>
            <w:r>
              <w:rPr>
                <w:rFonts w:ascii="Aptos" w:hAnsi="Aptos" w:eastAsia="Aptos"/>
                <w:b w:val="0"/>
                <w:color w:val="172033"/>
                <w:sz w:val="17"/>
              </w:rPr>
              <w:t>Stress scenarios</w:t>
            </w:r>
          </w:p>
        </w:tc>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Test directional vulnerability</w:t>
            </w:r>
          </w:p>
        </w:tc>
        <w:tc>
          <w:tcPr>
            <w:tcW w:type="dxa" w:w="3600"/>
            <w:tcMar>
              <w:top w:w="90" w:type="dxa"/>
              <w:start w:w="100" w:type="dxa"/>
              <w:bottom w:w="90" w:type="dxa"/>
              <w:end w:w="100" w:type="dxa"/>
            </w:tcMar>
            <w:vAlign w:val="center"/>
          </w:tcPr>
          <w:p>
            <w:pPr>
              <w:jc w:val="left"/>
            </w:pPr>
            <w:r>
              <w:rPr>
                <w:rFonts w:ascii="Aptos" w:hAnsi="Aptos" w:eastAsia="Aptos"/>
                <w:b w:val="0"/>
                <w:color w:val="172033"/>
                <w:sz w:val="17"/>
              </w:rPr>
              <w:t>Returns are deterministic assumptions, not forecasts</w:t>
            </w:r>
          </w:p>
        </w:tc>
      </w:tr>
      <w:tr>
        <w:tc>
          <w:tcPr>
            <w:tcW w:type="dxa" w:w="2880"/>
            <w:tcMar>
              <w:top w:w="90" w:type="dxa"/>
              <w:start w:w="100" w:type="dxa"/>
              <w:bottom w:w="90" w:type="dxa"/>
              <w:end w:w="100" w:type="dxa"/>
            </w:tcMar>
            <w:vAlign w:val="center"/>
            <w:shd w:fill="F4F8FB"/>
          </w:tcPr>
          <w:p>
            <w:pPr>
              <w:jc w:val="left"/>
            </w:pPr>
            <w:r>
              <w:rPr>
                <w:rFonts w:ascii="Aptos" w:hAnsi="Aptos" w:eastAsia="Aptos"/>
                <w:b w:val="0"/>
                <w:color w:val="172033"/>
                <w:sz w:val="17"/>
              </w:rPr>
              <w:t>Private proxy mapping</w:t>
            </w:r>
          </w:p>
        </w:tc>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Connect illiquid themes to liquid references</w:t>
            </w:r>
          </w:p>
        </w:tc>
        <w:tc>
          <w:tcPr>
            <w:tcW w:type="dxa" w:w="3600"/>
            <w:tcMar>
              <w:top w:w="90" w:type="dxa"/>
              <w:start w:w="100" w:type="dxa"/>
              <w:bottom w:w="90" w:type="dxa"/>
              <w:end w:w="100" w:type="dxa"/>
            </w:tcMar>
            <w:vAlign w:val="center"/>
            <w:shd w:fill="F4F8FB"/>
          </w:tcPr>
          <w:p>
            <w:pPr>
              <w:jc w:val="left"/>
            </w:pPr>
            <w:r>
              <w:rPr>
                <w:rFonts w:ascii="Aptos" w:hAnsi="Aptos" w:eastAsia="Aptos"/>
                <w:b w:val="0"/>
                <w:color w:val="172033"/>
                <w:sz w:val="17"/>
              </w:rPr>
              <w:t>Basis risk can be material</w:t>
            </w:r>
          </w:p>
        </w:tc>
      </w:tr>
    </w:tbl>
    <w:p>
      <w:pPr>
        <w:spacing w:after="0"/>
      </w:pPr>
    </w:p>
    <w:p>
      <w:pPr>
        <w:spacing w:after="120" w:line="259" w:lineRule="auto"/>
      </w:pPr>
      <w:r>
        <w:rPr>
          <w:rFonts w:ascii="Aptos" w:hAnsi="Aptos" w:eastAsia="Aptos"/>
          <w:b w:val="0"/>
          <w:color w:val="172033"/>
          <w:sz w:val="20"/>
        </w:rPr>
        <w:t>This distinction is essential: proxy analytics add monitoring context, but they cannot replace manager-level cash-flow models, appraisal review, look-through exposure data, or institutional risk aggregation.</w:t>
      </w:r>
    </w:p>
    <w:p>
      <w:pPr>
        <w:pStyle w:val="Heading1"/>
        <w:keepNext/>
      </w:pP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04"/>
            <w:shd w:fill="1F4E79"/>
            <w:tcMar>
              <w:top w:w="90" w:type="dxa"/>
              <w:start w:w="100" w:type="dxa"/>
              <w:bottom w:w="90" w:type="dxa"/>
              <w:end w:w="100" w:type="dxa"/>
            </w:tcMar>
          </w:tcPr>
          <w:p>
            <w:pPr>
              <w:jc w:val="center"/>
            </w:pPr>
            <w:r>
              <w:rPr>
                <w:rFonts w:ascii="Aptos" w:hAnsi="Aptos" w:eastAsia="Aptos"/>
                <w:b/>
                <w:color w:val="FFFFFF"/>
                <w:sz w:val="18"/>
              </w:rPr>
              <w:t>Gate</w:t>
            </w:r>
          </w:p>
        </w:tc>
        <w:tc>
          <w:tcPr>
            <w:tcW w:type="dxa" w:w="2160"/>
            <w:shd w:fill="1F4E79"/>
            <w:tcMar>
              <w:top w:w="90" w:type="dxa"/>
              <w:start w:w="100" w:type="dxa"/>
              <w:bottom w:w="90" w:type="dxa"/>
              <w:end w:w="100" w:type="dxa"/>
            </w:tcMar>
          </w:tcPr>
          <w:p>
            <w:pPr>
              <w:jc w:val="center"/>
            </w:pPr>
            <w:r>
              <w:rPr>
                <w:rFonts w:ascii="Aptos" w:hAnsi="Aptos" w:eastAsia="Aptos"/>
                <w:b/>
                <w:color w:val="FFFFFF"/>
                <w:sz w:val="18"/>
              </w:rPr>
              <w:t>Final result</w:t>
            </w:r>
          </w:p>
        </w:tc>
        <w:tc>
          <w:tcPr>
            <w:tcW w:type="dxa" w:w="5328"/>
            <w:shd w:fill="1F4E79"/>
            <w:tcMar>
              <w:top w:w="90" w:type="dxa"/>
              <w:start w:w="100" w:type="dxa"/>
              <w:bottom w:w="90" w:type="dxa"/>
              <w:end w:w="100" w:type="dxa"/>
            </w:tcMar>
          </w:tcPr>
          <w:p>
            <w:pPr>
              <w:jc w:val="center"/>
            </w:pPr>
            <w:r>
              <w:rPr>
                <w:rFonts w:ascii="Aptos" w:hAnsi="Aptos" w:eastAsia="Aptos"/>
                <w:b/>
                <w:color w:val="FFFFFF"/>
                <w:sz w:val="18"/>
              </w:rPr>
              <w:t>Interpretation</w:t>
            </w:r>
          </w:p>
        </w:tc>
      </w:tr>
      <w:tr>
        <w:tc>
          <w:tcPr>
            <w:tcW w:type="dxa" w:w="2304"/>
            <w:tcMar>
              <w:top w:w="90" w:type="dxa"/>
              <w:start w:w="100" w:type="dxa"/>
              <w:bottom w:w="90" w:type="dxa"/>
              <w:end w:w="100" w:type="dxa"/>
            </w:tcMar>
            <w:vAlign w:val="center"/>
          </w:tcPr>
          <w:p>
            <w:pPr>
              <w:jc w:val="left"/>
            </w:pPr>
            <w:r>
              <w:rPr>
                <w:rFonts w:ascii="Aptos" w:hAnsi="Aptos" w:eastAsia="Aptos"/>
                <w:b w:val="0"/>
                <w:color w:val="172033"/>
                <w:sz w:val="17"/>
              </w:rPr>
              <w:t>Data QA</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26 / 26 passed</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Required raw and processed datasets reconcile</w:t>
            </w:r>
          </w:p>
        </w:tc>
      </w:tr>
      <w:tr>
        <w:tc>
          <w:tcPr>
            <w:tcW w:type="dxa" w:w="2304"/>
            <w:tcMar>
              <w:top w:w="90" w:type="dxa"/>
              <w:start w:w="100" w:type="dxa"/>
              <w:bottom w:w="90" w:type="dxa"/>
              <w:end w:w="100" w:type="dxa"/>
            </w:tcMar>
            <w:vAlign w:val="center"/>
            <w:shd w:fill="F4F8FB"/>
          </w:tcPr>
          <w:p>
            <w:pPr>
              <w:jc w:val="left"/>
            </w:pPr>
            <w:r>
              <w:rPr>
                <w:rFonts w:ascii="Aptos" w:hAnsi="Aptos" w:eastAsia="Aptos"/>
                <w:b w:val="0"/>
                <w:color w:val="172033"/>
                <w:sz w:val="17"/>
              </w:rPr>
              <w:t>Demo readiness</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20 / 20 passed</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Locked storyline and outputs are present</w:t>
            </w:r>
          </w:p>
        </w:tc>
      </w:tr>
      <w:tr>
        <w:tc>
          <w:tcPr>
            <w:tcW w:type="dxa" w:w="2304"/>
            <w:tcMar>
              <w:top w:w="90" w:type="dxa"/>
              <w:start w:w="100" w:type="dxa"/>
              <w:bottom w:w="90" w:type="dxa"/>
              <w:end w:w="100" w:type="dxa"/>
            </w:tcMar>
            <w:vAlign w:val="center"/>
          </w:tcPr>
          <w:p>
            <w:pPr>
              <w:jc w:val="left"/>
            </w:pPr>
            <w:r>
              <w:rPr>
                <w:rFonts w:ascii="Aptos" w:hAnsi="Aptos" w:eastAsia="Aptos"/>
                <w:b w:val="0"/>
                <w:color w:val="172033"/>
                <w:sz w:val="17"/>
              </w:rPr>
              <w:t>Automated tests</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129 passed</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Loader, extraction, validation, updates, risk, and dashboard behaviors covered</w:t>
            </w:r>
          </w:p>
        </w:tc>
      </w:tr>
      <w:tr>
        <w:tc>
          <w:tcPr>
            <w:tcW w:type="dxa" w:w="2304"/>
            <w:tcMar>
              <w:top w:w="90" w:type="dxa"/>
              <w:start w:w="100" w:type="dxa"/>
              <w:bottom w:w="90" w:type="dxa"/>
              <w:end w:w="100" w:type="dxa"/>
            </w:tcMar>
            <w:vAlign w:val="center"/>
            <w:shd w:fill="F4F8FB"/>
          </w:tcPr>
          <w:p>
            <w:pPr>
              <w:jc w:val="left"/>
            </w:pPr>
            <w:r>
              <w:rPr>
                <w:rFonts w:ascii="Aptos" w:hAnsi="Aptos" w:eastAsia="Aptos"/>
                <w:b w:val="0"/>
                <w:color w:val="172033"/>
                <w:sz w:val="17"/>
              </w:rPr>
              <w:t>Expected warnings</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2</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Tests intentionally exercise missing optional data/report handling</w:t>
            </w:r>
          </w:p>
        </w:tc>
      </w:tr>
      <w:tr>
        <w:tc>
          <w:tcPr>
            <w:tcW w:type="dxa" w:w="2304"/>
            <w:tcMar>
              <w:top w:w="90" w:type="dxa"/>
              <w:start w:w="100" w:type="dxa"/>
              <w:bottom w:w="90" w:type="dxa"/>
              <w:end w:w="100" w:type="dxa"/>
            </w:tcMar>
            <w:vAlign w:val="center"/>
          </w:tcPr>
          <w:p>
            <w:pPr>
              <w:jc w:val="left"/>
            </w:pPr>
            <w:r>
              <w:rPr>
                <w:rFonts w:ascii="Aptos" w:hAnsi="Aptos" w:eastAsia="Aptos"/>
                <w:b w:val="0"/>
                <w:color w:val="172033"/>
                <w:sz w:val="17"/>
              </w:rPr>
              <w:t>Extraction outputs</w:t>
            </w:r>
          </w:p>
        </w:tc>
        <w:tc>
          <w:tcPr>
            <w:tcW w:type="dxa" w:w="2160"/>
            <w:tcMar>
              <w:top w:w="90" w:type="dxa"/>
              <w:start w:w="100" w:type="dxa"/>
              <w:bottom w:w="90" w:type="dxa"/>
              <w:end w:w="100" w:type="dxa"/>
            </w:tcMar>
            <w:vAlign w:val="center"/>
          </w:tcPr>
          <w:p>
            <w:pPr>
              <w:jc w:val="left"/>
            </w:pPr>
            <w:r>
              <w:rPr>
                <w:rFonts w:ascii="Aptos" w:hAnsi="Aptos" w:eastAsia="Aptos"/>
                <w:b w:val="0"/>
                <w:color w:val="172033"/>
                <w:sz w:val="17"/>
              </w:rPr>
              <w:t>6 JSON files</w:t>
            </w:r>
          </w:p>
        </w:tc>
        <w:tc>
          <w:tcPr>
            <w:tcW w:type="dxa" w:w="5328"/>
            <w:tcMar>
              <w:top w:w="90" w:type="dxa"/>
              <w:start w:w="100" w:type="dxa"/>
              <w:bottom w:w="90" w:type="dxa"/>
              <w:end w:w="100" w:type="dxa"/>
            </w:tcMar>
            <w:vAlign w:val="center"/>
          </w:tcPr>
          <w:p>
            <w:pPr>
              <w:jc w:val="left"/>
            </w:pPr>
            <w:r>
              <w:rPr>
                <w:rFonts w:ascii="Aptos" w:hAnsi="Aptos" w:eastAsia="Aptos"/>
                <w:b w:val="0"/>
                <w:color w:val="172033"/>
                <w:sz w:val="17"/>
              </w:rPr>
              <w:t>One record per mock source document</w:t>
            </w:r>
          </w:p>
        </w:tc>
      </w:tr>
      <w:tr>
        <w:tc>
          <w:tcPr>
            <w:tcW w:type="dxa" w:w="2304"/>
            <w:tcMar>
              <w:top w:w="90" w:type="dxa"/>
              <w:start w:w="100" w:type="dxa"/>
              <w:bottom w:w="90" w:type="dxa"/>
              <w:end w:w="100" w:type="dxa"/>
            </w:tcMar>
            <w:vAlign w:val="center"/>
            <w:shd w:fill="F4F8FB"/>
          </w:tcPr>
          <w:p>
            <w:pPr>
              <w:jc w:val="left"/>
            </w:pPr>
            <w:r>
              <w:rPr>
                <w:rFonts w:ascii="Aptos" w:hAnsi="Aptos" w:eastAsia="Aptos"/>
                <w:b w:val="0"/>
                <w:color w:val="172033"/>
                <w:sz w:val="17"/>
              </w:rPr>
              <w:t>Risk source</w:t>
            </w:r>
          </w:p>
        </w:tc>
        <w:tc>
          <w:tcPr>
            <w:tcW w:type="dxa" w:w="2160"/>
            <w:tcMar>
              <w:top w:w="90" w:type="dxa"/>
              <w:start w:w="100" w:type="dxa"/>
              <w:bottom w:w="90" w:type="dxa"/>
              <w:end w:w="100" w:type="dxa"/>
            </w:tcMar>
            <w:vAlign w:val="center"/>
            <w:shd w:fill="F4F8FB"/>
          </w:tcPr>
          <w:p>
            <w:pPr>
              <w:jc w:val="left"/>
            </w:pPr>
            <w:r>
              <w:rPr>
                <w:rFonts w:ascii="Aptos" w:hAnsi="Aptos" w:eastAsia="Aptos"/>
                <w:b w:val="0"/>
                <w:color w:val="172033"/>
                <w:sz w:val="17"/>
              </w:rPr>
              <w:t>Real public proxy history</w:t>
            </w:r>
          </w:p>
        </w:tc>
        <w:tc>
          <w:tcPr>
            <w:tcW w:type="dxa" w:w="5328"/>
            <w:tcMar>
              <w:top w:w="90" w:type="dxa"/>
              <w:start w:w="100" w:type="dxa"/>
              <w:bottom w:w="90" w:type="dxa"/>
              <w:end w:w="100" w:type="dxa"/>
            </w:tcMar>
            <w:vAlign w:val="center"/>
            <w:shd w:fill="F4F8FB"/>
          </w:tcPr>
          <w:p>
            <w:pPr>
              <w:jc w:val="left"/>
            </w:pPr>
            <w:r>
              <w:rPr>
                <w:rFonts w:ascii="Aptos" w:hAnsi="Aptos" w:eastAsia="Aptos"/>
                <w:b w:val="0"/>
                <w:color w:val="172033"/>
                <w:sz w:val="17"/>
              </w:rPr>
              <w:t>Committed monthly prices; no live runtime dependency</w:t>
            </w:r>
          </w:p>
        </w:tc>
      </w:tr>
    </w:tbl>
    <w:p>
      <w:pPr>
        <w:spacing w:after="0"/>
      </w:pPr>
    </w:p>
    <w:p>
      <w:pPr>
        <w:pStyle w:val="Heading2"/>
        <w:keepNext/>
      </w:pPr>
    </w:p>
    <w:p>
      <w:pPr>
        <w:pStyle w:val="ListBullet"/>
        <w:spacing w:after="60"/>
      </w:pPr>
      <w:r>
        <w:rPr>
          <w:rFonts w:ascii="Aptos" w:hAnsi="Aptos" w:eastAsia="Aptos"/>
          <w:b w:val="0"/>
          <w:color w:val="172033"/>
          <w:sz w:val="20"/>
        </w:rPr>
        <w:t>python3 -m src.data_checks</w:t>
      </w:r>
    </w:p>
    <w:p>
      <w:pPr>
        <w:pStyle w:val="ListBullet"/>
        <w:spacing w:after="60"/>
      </w:pPr>
      <w:r>
        <w:rPr>
          <w:rFonts w:ascii="Aptos" w:hAnsi="Aptos" w:eastAsia="Aptos"/>
          <w:b w:val="0"/>
          <w:color w:val="172033"/>
          <w:sz w:val="20"/>
        </w:rPr>
        <w:t>python3 -m src.extraction.run_extraction --mode baseline</w:t>
      </w:r>
    </w:p>
    <w:p>
      <w:pPr>
        <w:pStyle w:val="ListBullet"/>
        <w:spacing w:after="60"/>
      </w:pPr>
      <w:r>
        <w:rPr>
          <w:rFonts w:ascii="Aptos" w:hAnsi="Aptos" w:eastAsia="Aptos"/>
          <w:b w:val="0"/>
          <w:color w:val="172033"/>
          <w:sz w:val="20"/>
        </w:rPr>
        <w:t>python3 -m src.validation.run_validation --mode baseline</w:t>
      </w:r>
    </w:p>
    <w:p>
      <w:pPr>
        <w:pStyle w:val="ListBullet"/>
        <w:spacing w:after="60"/>
      </w:pPr>
      <w:r>
        <w:rPr>
          <w:rFonts w:ascii="Aptos" w:hAnsi="Aptos" w:eastAsia="Aptos"/>
          <w:b w:val="0"/>
          <w:color w:val="172033"/>
          <w:sz w:val="20"/>
        </w:rPr>
        <w:t>python3 -m src.portfolio_updates.apply_updates --mode baseline</w:t>
      </w:r>
    </w:p>
    <w:p>
      <w:pPr>
        <w:pStyle w:val="ListBullet"/>
        <w:spacing w:after="60"/>
      </w:pPr>
      <w:r>
        <w:rPr>
          <w:rFonts w:ascii="Aptos" w:hAnsi="Aptos" w:eastAsia="Aptos"/>
          <w:b w:val="0"/>
          <w:color w:val="172033"/>
          <w:sz w:val="20"/>
        </w:rPr>
        <w:t>python3 -m src.risk.run_risk</w:t>
      </w:r>
    </w:p>
    <w:p>
      <w:pPr>
        <w:pStyle w:val="ListBullet"/>
        <w:spacing w:after="60"/>
      </w:pPr>
      <w:r>
        <w:rPr>
          <w:rFonts w:ascii="Aptos" w:hAnsi="Aptos" w:eastAsia="Aptos"/>
          <w:b w:val="0"/>
          <w:color w:val="172033"/>
          <w:sz w:val="20"/>
        </w:rPr>
        <w:t>python3 -m src.demo_check</w:t>
      </w:r>
    </w:p>
    <w:p>
      <w:pPr>
        <w:pStyle w:val="ListBullet"/>
        <w:spacing w:after="60"/>
      </w:pPr>
      <w:r>
        <w:rPr>
          <w:rFonts w:ascii="Aptos" w:hAnsi="Aptos" w:eastAsia="Aptos"/>
          <w:b w:val="0"/>
          <w:color w:val="172033"/>
          <w:sz w:val="20"/>
        </w:rPr>
        <w:t>streamlit run app.py</w:t>
      </w:r>
    </w:p>
    <w:p>
      <w:pPr>
        <w:pStyle w:val="ListBullet"/>
        <w:spacing w:after="60"/>
      </w:pPr>
      <w:r>
        <w:rPr>
          <w:rFonts w:ascii="Aptos" w:hAnsi="Aptos" w:eastAsia="Aptos"/>
          <w:b w:val="0"/>
          <w:color w:val="172033"/>
          <w:sz w:val="20"/>
        </w:rPr>
        <w:t>pytest</w:t>
      </w:r>
    </w:p>
    <w:p>
      <w:pPr>
        <w:pStyle w:val="Heading1"/>
        <w:keepNext/>
      </w:pPr>
    </w:p>
    <w:p>
      <w:pPr>
        <w:pStyle w:val="Heading2"/>
        <w:keepNext/>
      </w:pPr>
    </w:p>
    <w:p>
      <w:pPr>
        <w:pStyle w:val="ListBullet"/>
        <w:spacing w:after="60"/>
      </w:pPr>
      <w:r>
        <w:rPr>
          <w:rFonts w:ascii="Aptos" w:hAnsi="Aptos" w:eastAsia="Aptos"/>
          <w:b w:val="0"/>
          <w:color w:val="172033"/>
          <w:sz w:val="20"/>
        </w:rPr>
        <w:t>Synthetic data only: no real family-office information is committed to the repository.</w:t>
      </w:r>
    </w:p>
    <w:p>
      <w:pPr>
        <w:pStyle w:val="ListBullet"/>
        <w:spacing w:after="60"/>
      </w:pPr>
      <w:r>
        <w:rPr>
          <w:rFonts w:ascii="Aptos" w:hAnsi="Aptos" w:eastAsia="Aptos"/>
          <w:b w:val="0"/>
          <w:color w:val="172033"/>
          <w:sz w:val="20"/>
        </w:rPr>
        <w:t>Source lineage: document IDs, extraction mode, validation results, and update reasons remain visible.</w:t>
      </w:r>
    </w:p>
    <w:p>
      <w:pPr>
        <w:pStyle w:val="ListBullet"/>
        <w:spacing w:after="60"/>
      </w:pPr>
      <w:r>
        <w:rPr>
          <w:rFonts w:ascii="Aptos" w:hAnsi="Aptos" w:eastAsia="Aptos"/>
          <w:b w:val="0"/>
          <w:color w:val="172033"/>
          <w:sz w:val="20"/>
        </w:rPr>
        <w:t>Maker-checker logic: portfolio updates depend on effective document-level approval.</w:t>
      </w:r>
    </w:p>
    <w:p>
      <w:pPr>
        <w:pStyle w:val="ListBullet"/>
        <w:spacing w:after="60"/>
      </w:pPr>
      <w:r>
        <w:rPr>
          <w:rFonts w:ascii="Aptos" w:hAnsi="Aptos" w:eastAsia="Aptos"/>
          <w:b w:val="0"/>
          <w:color w:val="172033"/>
          <w:sz w:val="20"/>
        </w:rPr>
        <w:t>Scope clarity: public proxies and synthetic returns are labeled to prevent false precision.</w:t>
      </w:r>
    </w:p>
    <w:p>
      <w:pPr>
        <w:pStyle w:val="ListBullet"/>
        <w:spacing w:after="60"/>
      </w:pPr>
      <w:r>
        <w:rPr>
          <w:rFonts w:ascii="Aptos" w:hAnsi="Aptos" w:eastAsia="Aptos"/>
          <w:b w:val="0"/>
          <w:color w:val="172033"/>
          <w:sz w:val="20"/>
        </w:rPr>
        <w:t>Explicit errors: missing required inputs and invalid states should fail visibly rather than silently default.</w:t>
      </w:r>
    </w:p>
    <w:p>
      <w:pPr>
        <w:pStyle w:val="Heading2"/>
        <w:keepNext/>
      </w:pPr>
    </w:p>
    <w:p>
      <w:pPr>
        <w:spacing w:after="120" w:line="259" w:lineRule="auto"/>
      </w:pPr>
      <w:r>
        <w:rPr>
          <w:rFonts w:ascii="Aptos" w:hAnsi="Aptos" w:eastAsia="Aptos"/>
          <w:b w:val="0"/>
          <w:color w:val="172033"/>
          <w:sz w:val="20"/>
        </w:rPr>
        <w:t>The prototype does not provide production identity controls, encrypted document storage, segregated duties, bank-instruction verification, live custodian reconciliation, enterprise observability, or audited model governance. The baseline extractor is deliberately deterministic; the optional LLM path requires separate evaluation before any operational use.</w:t>
      </w:r>
    </w:p>
    <w:p>
      <w:pPr>
        <w:pStyle w:val="Heading2"/>
        <w:keepNext/>
      </w:pP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448"/>
            <w:shd w:fill="1F4E79"/>
            <w:tcMar>
              <w:top w:w="90" w:type="dxa"/>
              <w:start w:w="100" w:type="dxa"/>
              <w:bottom w:w="90" w:type="dxa"/>
              <w:end w:w="100" w:type="dxa"/>
            </w:tcMar>
          </w:tcPr>
          <w:p>
            <w:pPr>
              <w:jc w:val="center"/>
            </w:pPr>
            <w:r>
              <w:rPr>
                <w:rFonts w:ascii="Aptos" w:hAnsi="Aptos" w:eastAsia="Aptos"/>
                <w:b/>
                <w:color w:val="FFFFFF"/>
                <w:sz w:val="18"/>
              </w:rPr>
              <w:t>Phase</w:t>
            </w:r>
          </w:p>
        </w:tc>
        <w:tc>
          <w:tcPr>
            <w:tcW w:type="dxa" w:w="7344"/>
            <w:shd w:fill="1F4E79"/>
            <w:tcMar>
              <w:top w:w="90" w:type="dxa"/>
              <w:start w:w="100" w:type="dxa"/>
              <w:bottom w:w="90" w:type="dxa"/>
              <w:end w:w="100" w:type="dxa"/>
            </w:tcMar>
          </w:tcPr>
          <w:p>
            <w:pPr>
              <w:jc w:val="center"/>
            </w:pPr>
            <w:r>
              <w:rPr>
                <w:rFonts w:ascii="Aptos" w:hAnsi="Aptos" w:eastAsia="Aptos"/>
                <w:b/>
                <w:color w:val="FFFFFF"/>
                <w:sz w:val="18"/>
              </w:rPr>
              <w:t>Priority</w:t>
            </w:r>
          </w:p>
        </w:tc>
      </w:tr>
      <w:tr>
        <w:tc>
          <w:tcPr>
            <w:tcW w:type="dxa" w:w="2448"/>
            <w:tcMar>
              <w:top w:w="90" w:type="dxa"/>
              <w:start w:w="100" w:type="dxa"/>
              <w:bottom w:w="90" w:type="dxa"/>
              <w:end w:w="100" w:type="dxa"/>
            </w:tcMar>
            <w:vAlign w:val="center"/>
          </w:tcPr>
          <w:p>
            <w:pPr>
              <w:jc w:val="left"/>
            </w:pPr>
            <w:r>
              <w:rPr>
                <w:rFonts w:ascii="Aptos" w:hAnsi="Aptos" w:eastAsia="Aptos"/>
                <w:b w:val="0"/>
                <w:color w:val="172033"/>
                <w:sz w:val="17"/>
              </w:rPr>
              <w:t>1. Controlled pilot</w:t>
            </w:r>
          </w:p>
        </w:tc>
        <w:tc>
          <w:tcPr>
            <w:tcW w:type="dxa" w:w="7344"/>
            <w:tcMar>
              <w:top w:w="90" w:type="dxa"/>
              <w:start w:w="100" w:type="dxa"/>
              <w:bottom w:w="90" w:type="dxa"/>
              <w:end w:w="100" w:type="dxa"/>
            </w:tcMar>
            <w:vAlign w:val="center"/>
          </w:tcPr>
          <w:p>
            <w:pPr>
              <w:jc w:val="left"/>
            </w:pPr>
            <w:r>
              <w:rPr>
                <w:rFonts w:ascii="Aptos" w:hAnsi="Aptos" w:eastAsia="Aptos"/>
                <w:b w:val="0"/>
                <w:color w:val="172033"/>
                <w:sz w:val="17"/>
              </w:rPr>
              <w:t>Define field ownership, thresholds, reviewer roles, and audit retention</w:t>
            </w:r>
          </w:p>
        </w:tc>
      </w:tr>
      <w:tr>
        <w:tc>
          <w:tcPr>
            <w:tcW w:type="dxa" w:w="2448"/>
            <w:tcMar>
              <w:top w:w="90" w:type="dxa"/>
              <w:start w:w="100" w:type="dxa"/>
              <w:bottom w:w="90" w:type="dxa"/>
              <w:end w:w="100" w:type="dxa"/>
            </w:tcMar>
            <w:vAlign w:val="center"/>
            <w:shd w:fill="F4F8FB"/>
          </w:tcPr>
          <w:p>
            <w:pPr>
              <w:jc w:val="left"/>
            </w:pPr>
            <w:r>
              <w:rPr>
                <w:rFonts w:ascii="Aptos" w:hAnsi="Aptos" w:eastAsia="Aptos"/>
                <w:b w:val="0"/>
                <w:color w:val="172033"/>
                <w:sz w:val="17"/>
              </w:rPr>
              <w:t>2. Source integration</w:t>
            </w:r>
          </w:p>
        </w:tc>
        <w:tc>
          <w:tcPr>
            <w:tcW w:type="dxa" w:w="7344"/>
            <w:tcMar>
              <w:top w:w="90" w:type="dxa"/>
              <w:start w:w="100" w:type="dxa"/>
              <w:bottom w:w="90" w:type="dxa"/>
              <w:end w:w="100" w:type="dxa"/>
            </w:tcMar>
            <w:vAlign w:val="center"/>
            <w:shd w:fill="F4F8FB"/>
          </w:tcPr>
          <w:p>
            <w:pPr>
              <w:jc w:val="left"/>
            </w:pPr>
            <w:r>
              <w:rPr>
                <w:rFonts w:ascii="Aptos" w:hAnsi="Aptos" w:eastAsia="Aptos"/>
                <w:b w:val="0"/>
                <w:color w:val="172033"/>
                <w:sz w:val="17"/>
              </w:rPr>
              <w:t>Connect approved document repositories and portfolio masters</w:t>
            </w:r>
          </w:p>
        </w:tc>
      </w:tr>
      <w:tr>
        <w:tc>
          <w:tcPr>
            <w:tcW w:type="dxa" w:w="2448"/>
            <w:tcMar>
              <w:top w:w="90" w:type="dxa"/>
              <w:start w:w="100" w:type="dxa"/>
              <w:bottom w:w="90" w:type="dxa"/>
              <w:end w:w="100" w:type="dxa"/>
            </w:tcMar>
            <w:vAlign w:val="center"/>
          </w:tcPr>
          <w:p>
            <w:pPr>
              <w:jc w:val="left"/>
            </w:pPr>
            <w:r>
              <w:rPr>
                <w:rFonts w:ascii="Aptos" w:hAnsi="Aptos" w:eastAsia="Aptos"/>
                <w:b w:val="0"/>
                <w:color w:val="172033"/>
                <w:sz w:val="17"/>
              </w:rPr>
              <w:t>3. Model evaluation</w:t>
            </w:r>
          </w:p>
        </w:tc>
        <w:tc>
          <w:tcPr>
            <w:tcW w:type="dxa" w:w="7344"/>
            <w:tcMar>
              <w:top w:w="90" w:type="dxa"/>
              <w:start w:w="100" w:type="dxa"/>
              <w:bottom w:w="90" w:type="dxa"/>
              <w:end w:w="100" w:type="dxa"/>
            </w:tcMar>
            <w:vAlign w:val="center"/>
          </w:tcPr>
          <w:p>
            <w:pPr>
              <w:jc w:val="left"/>
            </w:pPr>
            <w:r>
              <w:rPr>
                <w:rFonts w:ascii="Aptos" w:hAnsi="Aptos" w:eastAsia="Aptos"/>
                <w:b w:val="0"/>
                <w:color w:val="172033"/>
                <w:sz w:val="17"/>
              </w:rPr>
              <w:t>Benchmark extraction accuracy by field, document type, and exception class</w:t>
            </w:r>
          </w:p>
        </w:tc>
      </w:tr>
      <w:tr>
        <w:tc>
          <w:tcPr>
            <w:tcW w:type="dxa" w:w="2448"/>
            <w:tcMar>
              <w:top w:w="90" w:type="dxa"/>
              <w:start w:w="100" w:type="dxa"/>
              <w:bottom w:w="90" w:type="dxa"/>
              <w:end w:w="100" w:type="dxa"/>
            </w:tcMar>
            <w:vAlign w:val="center"/>
            <w:shd w:fill="F4F8FB"/>
          </w:tcPr>
          <w:p>
            <w:pPr>
              <w:jc w:val="left"/>
            </w:pPr>
            <w:r>
              <w:rPr>
                <w:rFonts w:ascii="Aptos" w:hAnsi="Aptos" w:eastAsia="Aptos"/>
                <w:b w:val="0"/>
                <w:color w:val="172033"/>
                <w:sz w:val="17"/>
              </w:rPr>
              <w:t>4. Operational hardening</w:t>
            </w:r>
          </w:p>
        </w:tc>
        <w:tc>
          <w:tcPr>
            <w:tcW w:type="dxa" w:w="7344"/>
            <w:tcMar>
              <w:top w:w="90" w:type="dxa"/>
              <w:start w:w="100" w:type="dxa"/>
              <w:bottom w:w="90" w:type="dxa"/>
              <w:end w:w="100" w:type="dxa"/>
            </w:tcMar>
            <w:vAlign w:val="center"/>
            <w:shd w:fill="F4F8FB"/>
          </w:tcPr>
          <w:p>
            <w:pPr>
              <w:jc w:val="left"/>
            </w:pPr>
            <w:r>
              <w:rPr>
                <w:rFonts w:ascii="Aptos" w:hAnsi="Aptos" w:eastAsia="Aptos"/>
                <w:b w:val="0"/>
                <w:color w:val="172033"/>
                <w:sz w:val="17"/>
              </w:rPr>
              <w:t>Add access controls, encryption, monitoring, retry logic, and incident procedures</w:t>
            </w:r>
          </w:p>
        </w:tc>
      </w:tr>
      <w:tr>
        <w:tc>
          <w:tcPr>
            <w:tcW w:type="dxa" w:w="2448"/>
            <w:tcMar>
              <w:top w:w="90" w:type="dxa"/>
              <w:start w:w="100" w:type="dxa"/>
              <w:bottom w:w="90" w:type="dxa"/>
              <w:end w:w="100" w:type="dxa"/>
            </w:tcMar>
            <w:vAlign w:val="center"/>
          </w:tcPr>
          <w:p>
            <w:pPr>
              <w:jc w:val="left"/>
            </w:pPr>
            <w:r>
              <w:rPr>
                <w:rFonts w:ascii="Aptos" w:hAnsi="Aptos" w:eastAsia="Aptos"/>
                <w:b w:val="0"/>
                <w:color w:val="172033"/>
                <w:sz w:val="17"/>
              </w:rPr>
              <w:t>5. Risk expansion</w:t>
            </w:r>
          </w:p>
        </w:tc>
        <w:tc>
          <w:tcPr>
            <w:tcW w:type="dxa" w:w="7344"/>
            <w:tcMar>
              <w:top w:w="90" w:type="dxa"/>
              <w:start w:w="100" w:type="dxa"/>
              <w:bottom w:w="90" w:type="dxa"/>
              <w:end w:w="100" w:type="dxa"/>
            </w:tcMar>
            <w:vAlign w:val="center"/>
          </w:tcPr>
          <w:p>
            <w:pPr>
              <w:jc w:val="left"/>
            </w:pPr>
            <w:r>
              <w:rPr>
                <w:rFonts w:ascii="Aptos" w:hAnsi="Aptos" w:eastAsia="Aptos"/>
                <w:b w:val="0"/>
                <w:color w:val="172033"/>
                <w:sz w:val="17"/>
              </w:rPr>
              <w:t>Add cash-flow models, look-through exposures, and richer private-market methodologies</w:t>
            </w:r>
          </w:p>
        </w:tc>
      </w:tr>
    </w:tbl>
    <w:p>
      <w:pPr>
        <w:spacing w:after="0"/>
      </w:pPr>
    </w:p>
    <w:p>
      <w:pPr>
        <w:pStyle w:val="Heading1"/>
        <w:keepNext/>
      </w:pPr>
    </w:p>
    <w:p>
      <w:pPr>
        <w:spacing w:after="120" w:line="259" w:lineRule="auto"/>
      </w:pPr>
      <w:r>
        <w:rPr>
          <w:rFonts w:ascii="Aptos" w:hAnsi="Aptos" w:eastAsia="Aptos"/>
          <w:b w:val="0"/>
          <w:color w:val="172033"/>
          <w:sz w:val="20"/>
        </w:rPr>
        <w:t>The project answers the research question with a working, controlled proof-of-concept. The principal value is not a single predictive model or dashboard chart. It is the connected workflow that turns source documents into structured records, tests those records against business rules, keeps unresolved items out of portfolio state, and makes both insights and controls visible to the user.</w:t>
      </w:r>
    </w:p>
    <w:p>
      <w:pPr>
        <w:spacing w:after="120" w:line="259" w:lineRule="auto"/>
      </w:pPr>
      <w:r>
        <w:rPr>
          <w:rFonts w:ascii="Aptos" w:hAnsi="Aptos" w:eastAsia="Aptos"/>
          <w:b w:val="0"/>
          <w:color w:val="172033"/>
          <w:sz w:val="20"/>
        </w:rPr>
        <w:t>The final prototype is presentation-ready and reproducible. It demonstrates where AI and data infrastructure can reduce reporting friction while preserving the governance boundary that matters most in a family office: automation may prepare, compare, and escalate information, but accountable people retain authority over valuation, payment, reporting, and investment decisions.</w:t>
      </w:r>
    </w:p>
    <w:p>
      <w:pPr>
        <w:pStyle w:val="Heading1"/>
        <w:keepNext/>
      </w:pP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312"/>
            <w:shd w:fill="1F4E79"/>
            <w:tcMar>
              <w:top w:w="90" w:type="dxa"/>
              <w:start w:w="100" w:type="dxa"/>
              <w:bottom w:w="90" w:type="dxa"/>
              <w:end w:w="100" w:type="dxa"/>
            </w:tcMar>
          </w:tcPr>
          <w:p>
            <w:pPr>
              <w:jc w:val="center"/>
            </w:pPr>
            <w:r>
              <w:rPr>
                <w:rFonts w:ascii="Aptos" w:hAnsi="Aptos" w:eastAsia="Aptos"/>
                <w:b/>
                <w:color w:val="FFFFFF"/>
                <w:sz w:val="18"/>
              </w:rPr>
              <w:t>Evidence</w:t>
            </w:r>
          </w:p>
        </w:tc>
        <w:tc>
          <w:tcPr>
            <w:tcW w:type="dxa" w:w="6480"/>
            <w:shd w:fill="1F4E79"/>
            <w:tcMar>
              <w:top w:w="90" w:type="dxa"/>
              <w:start w:w="100" w:type="dxa"/>
              <w:bottom w:w="90" w:type="dxa"/>
              <w:end w:w="100" w:type="dxa"/>
            </w:tcMar>
          </w:tcPr>
          <w:p>
            <w:pPr>
              <w:jc w:val="center"/>
            </w:pPr>
            <w:r>
              <w:rPr>
                <w:rFonts w:ascii="Aptos" w:hAnsi="Aptos" w:eastAsia="Aptos"/>
                <w:b/>
                <w:color w:val="FFFFFF"/>
                <w:sz w:val="18"/>
              </w:rPr>
              <w:t>Repository location</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Project scope, workflow, runbook</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README.md</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Data QA</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outputs/reports/data_qa_report.md</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Demo readiness</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outputs/reports/demo_readiness_report.md</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Extraction summaries</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outputs/reports/*_extraction_*</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Validation evidence</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outputs/validation/validation_results_actual.csv</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Review queue</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outputs/validation/review_queue_actual.csv</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Approved update summary</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outputs/reports/update_summary.md</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Processed portfolio state</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data/processed/*.csv</w:t>
            </w:r>
          </w:p>
        </w:tc>
      </w:tr>
      <w:tr>
        <w:tc>
          <w:tcPr>
            <w:tcW w:type="dxa" w:w="3312"/>
            <w:tcMar>
              <w:top w:w="90" w:type="dxa"/>
              <w:start w:w="100" w:type="dxa"/>
              <w:bottom w:w="90" w:type="dxa"/>
              <w:end w:w="100" w:type="dxa"/>
            </w:tcMar>
            <w:vAlign w:val="center"/>
          </w:tcPr>
          <w:p>
            <w:pPr>
              <w:jc w:val="left"/>
            </w:pPr>
            <w:r>
              <w:rPr>
                <w:rFonts w:ascii="Aptos" w:hAnsi="Aptos" w:eastAsia="Aptos"/>
                <w:b w:val="0"/>
                <w:color w:val="172033"/>
                <w:sz w:val="17"/>
              </w:rPr>
              <w:t>Public proxy analytics</w:t>
            </w:r>
          </w:p>
        </w:tc>
        <w:tc>
          <w:tcPr>
            <w:tcW w:type="dxa" w:w="6480"/>
            <w:tcMar>
              <w:top w:w="90" w:type="dxa"/>
              <w:start w:w="100" w:type="dxa"/>
              <w:bottom w:w="90" w:type="dxa"/>
              <w:end w:w="100" w:type="dxa"/>
            </w:tcMar>
            <w:vAlign w:val="center"/>
          </w:tcPr>
          <w:p>
            <w:pPr>
              <w:jc w:val="left"/>
            </w:pPr>
            <w:r>
              <w:rPr>
                <w:rFonts w:ascii="Aptos" w:hAnsi="Aptos" w:eastAsia="Aptos"/>
                <w:b w:val="0"/>
                <w:color w:val="172033"/>
                <w:sz w:val="17"/>
              </w:rPr>
              <w:t>outputs/risk/*.csv</w:t>
            </w:r>
          </w:p>
        </w:tc>
      </w:tr>
      <w:tr>
        <w:tc>
          <w:tcPr>
            <w:tcW w:type="dxa" w:w="3312"/>
            <w:tcMar>
              <w:top w:w="90" w:type="dxa"/>
              <w:start w:w="100" w:type="dxa"/>
              <w:bottom w:w="90" w:type="dxa"/>
              <w:end w:w="100" w:type="dxa"/>
            </w:tcMar>
            <w:vAlign w:val="center"/>
            <w:shd w:fill="F4F8FB"/>
          </w:tcPr>
          <w:p>
            <w:pPr>
              <w:jc w:val="left"/>
            </w:pPr>
            <w:r>
              <w:rPr>
                <w:rFonts w:ascii="Aptos" w:hAnsi="Aptos" w:eastAsia="Aptos"/>
                <w:b w:val="0"/>
                <w:color w:val="172033"/>
                <w:sz w:val="17"/>
              </w:rPr>
              <w:t>Automated verification</w:t>
            </w:r>
          </w:p>
        </w:tc>
        <w:tc>
          <w:tcPr>
            <w:tcW w:type="dxa" w:w="6480"/>
            <w:tcMar>
              <w:top w:w="90" w:type="dxa"/>
              <w:start w:w="100" w:type="dxa"/>
              <w:bottom w:w="90" w:type="dxa"/>
              <w:end w:w="100" w:type="dxa"/>
            </w:tcMar>
            <w:vAlign w:val="center"/>
            <w:shd w:fill="F4F8FB"/>
          </w:tcPr>
          <w:p>
            <w:pPr>
              <w:jc w:val="left"/>
            </w:pPr>
            <w:r>
              <w:rPr>
                <w:rFonts w:ascii="Aptos" w:hAnsi="Aptos" w:eastAsia="Aptos"/>
                <w:b w:val="0"/>
                <w:color w:val="172033"/>
                <w:sz w:val="17"/>
              </w:rPr>
              <w:t>tests/ (129 passing tests at final verification)</w:t>
            </w:r>
          </w:p>
        </w:tc>
      </w:tr>
    </w:tbl>
    <w:p>
      <w:pPr>
        <w:spacing w:after="0"/>
      </w:pPr>
    </w:p>
    <w:p>
      <w:pPr>
        <w:pStyle w:val="Heading1"/>
        <w:keepNext/>
      </w:pPr>
    </w:p>
    <w:p>
      <w:pPr>
        <w:pStyle w:val="ListBullet"/>
        <w:spacing w:after="60"/>
      </w:pPr>
      <w:r>
        <w:rPr>
          <w:rFonts w:ascii="Aptos" w:hAnsi="Aptos" w:eastAsia="Aptos"/>
          <w:b w:val="0"/>
          <w:color w:val="172033"/>
          <w:sz w:val="20"/>
        </w:rPr>
        <w:t>Institutional Limited Partners Association (ILPA): reporting, quarterly reporting, capital call, and distribution templates.</w:t>
      </w:r>
    </w:p>
    <w:p>
      <w:pPr>
        <w:pStyle w:val="ListBullet"/>
        <w:spacing w:after="60"/>
      </w:pPr>
      <w:r>
        <w:rPr>
          <w:rFonts w:ascii="Aptos" w:hAnsi="Aptos" w:eastAsia="Aptos"/>
          <w:b w:val="0"/>
          <w:color w:val="172033"/>
          <w:sz w:val="20"/>
        </w:rPr>
        <w:t>NIST AI Risk Management Framework: govern, map, measure, and manage AI risk.</w:t>
      </w:r>
    </w:p>
    <w:p>
      <w:pPr>
        <w:pStyle w:val="ListBullet"/>
        <w:spacing w:after="60"/>
      </w:pPr>
      <w:r>
        <w:rPr>
          <w:rFonts w:ascii="Aptos" w:hAnsi="Aptos" w:eastAsia="Aptos"/>
          <w:b w:val="0"/>
          <w:color w:val="172033"/>
          <w:sz w:val="20"/>
        </w:rPr>
        <w:t>OECD AI Principles: trustworthy, human-centered, and accountable AI.</w:t>
      </w:r>
    </w:p>
    <w:p>
      <w:pPr>
        <w:pStyle w:val="ListBullet"/>
        <w:spacing w:after="60"/>
      </w:pPr>
      <w:r>
        <w:rPr>
          <w:rFonts w:ascii="Aptos" w:hAnsi="Aptos" w:eastAsia="Aptos"/>
          <w:b w:val="0"/>
          <w:color w:val="172033"/>
          <w:sz w:val="20"/>
        </w:rPr>
        <w:t>CFA Institute and CAIA materials: private-market governance, valuation, transparency, and proxy-risk limitations.</w:t>
      </w:r>
    </w:p>
    <w:p>
      <w:pPr>
        <w:spacing w:after="120" w:line="259" w:lineRule="auto"/>
      </w:pPr>
      <w:r>
        <w:rPr>
          <w:rFonts w:ascii="Aptos" w:hAnsi="Aptos" w:eastAsia="Aptos"/>
          <w:b w:val="0"/>
          <w:color w:val="172033"/>
          <w:sz w:val="20"/>
        </w:rPr>
        <w:t>These frameworks informed the project rationale; the final technical and quantitative claims in this report are grounded in the verified repository outputs listed in Appendix A.</w:t>
      </w:r>
    </w:p>
    <w:sectPr w:rsidR="00730BCB" w:rsidSect="00034616">
      <w:headerReference w:type="default" r:id="rId53"/>
      <w:footerReference w:type="default" r:id="rId54"/>
      <w:pgSz w:w="12240" w:h="15840"/>
      <w:pgMar w:top="1037" w:right="1181" w:bottom="1037" w:left="1181"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382E5" w14:textId="77777777" w:rsidR="00884E69" w:rsidRDefault="00884E69">
      <w:r>
        <w:separator/>
      </w:r>
    </w:p>
  </w:endnote>
  <w:endnote w:type="continuationSeparator" w:id="0">
    <w:p w14:paraId="66AD0349" w14:textId="77777777" w:rsidR="00884E69" w:rsidRDefault="00884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16EF" w14:textId="77777777" w:rsidR="00730BCB" w:rsidRDefault="00000000">
    <w:pPr>
      <w:pStyle w:val="Footer"/>
      <w:jc w:val="center"/>
    </w:pPr>
    <w:r>
      <w:rPr>
        <w:rFonts w:ascii="Arial" w:hAnsi="Arial"/>
        <w:color w:val="5A5A5A"/>
        <w:sz w:val="18"/>
      </w:rPr>
      <w:fldChar w:fldCharType="begin"/>
    </w:r>
    <w:r>
      <w:rPr>
        <w:rFonts w:ascii="Arial" w:hAnsi="Arial"/>
        <w:color w:val="5A5A5A"/>
        <w:sz w:val="18"/>
      </w:rPr>
      <w:instrText>PAGE</w:instrText>
    </w:r>
    <w:r>
      <w:rPr>
        <w:rFonts w:ascii="Arial" w:hAnsi="Arial"/>
        <w:color w:val="5A5A5A"/>
        <w:sz w:val="18"/>
      </w:rPr>
      <w:fldChar w:fldCharType="separate"/>
    </w:r>
    <w:r w:rsidR="0005241A">
      <w:rPr>
        <w:rFonts w:ascii="Arial" w:hAnsi="Arial"/>
        <w:noProof/>
        <w:color w:val="5A5A5A"/>
        <w:sz w:val="18"/>
      </w:rPr>
      <w:t>1</w:t>
    </w:r>
    <w:r>
      <w:rPr>
        <w:rFonts w:ascii="Arial" w:hAnsi="Arial"/>
        <w:color w:val="5A5A5A"/>
        <w:sz w:val="18"/>
      </w:rPr>
      <w:fldChar w:fldCharType="end"/>
    </w:r>
    <w:r>
      <w:rPr>
        <w:rFonts w:ascii="Aptos" w:hAnsi="Aptos" w:eastAsia="Aptos"/>
        <w:b w:val="0"/>
        <w:color w:val="5B6576"/>
        <w:sz w:val="16"/>
      </w:rPr>
      <w:t>AI-Powered Family Office Portfolio Dashboard  |  Final Report  |  Synthetic Data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50F0" w14:textId="77777777" w:rsidR="00884E69" w:rsidRDefault="00884E69">
      <w:r>
        <w:separator/>
      </w:r>
    </w:p>
  </w:footnote>
  <w:footnote w:type="continuationSeparator" w:id="0">
    <w:p w14:paraId="6CBB6A88" w14:textId="77777777" w:rsidR="00884E69" w:rsidRDefault="00884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44FE" w14:textId="77777777" w:rsidR="009A325F" w:rsidRDefault="00000000">
    <w:pPr>
      <w:pStyle w:val="Header"/>
      <w:jc w:val="center"/>
    </w:pPr>
    <w:r>
      <w:rPr>
        <w:rFonts w:ascii="Arial" w:hAnsi="Arial" w:cs="Arial"/>
        <w:color w:val="5A5A5A"/>
        <w:sz w:val="18"/>
      </w:rPr>
      <w:t>AI-Powered Family Office Portfolio Dashboard | Draft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778504">
    <w:abstractNumId w:val="8"/>
  </w:num>
  <w:num w:numId="2" w16cid:durableId="1334840856">
    <w:abstractNumId w:val="6"/>
  </w:num>
  <w:num w:numId="3" w16cid:durableId="732002154">
    <w:abstractNumId w:val="5"/>
  </w:num>
  <w:num w:numId="4" w16cid:durableId="493303007">
    <w:abstractNumId w:val="4"/>
  </w:num>
  <w:num w:numId="5" w16cid:durableId="1222133264">
    <w:abstractNumId w:val="7"/>
  </w:num>
  <w:num w:numId="6" w16cid:durableId="1371298135">
    <w:abstractNumId w:val="3"/>
  </w:num>
  <w:num w:numId="7" w16cid:durableId="913316066">
    <w:abstractNumId w:val="2"/>
  </w:num>
  <w:num w:numId="8" w16cid:durableId="1924560747">
    <w:abstractNumId w:val="1"/>
  </w:num>
  <w:num w:numId="9" w16cid:durableId="210537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1A"/>
    <w:rsid w:val="0006063C"/>
    <w:rsid w:val="0015074B"/>
    <w:rsid w:val="0029639D"/>
    <w:rsid w:val="00296531"/>
    <w:rsid w:val="002A4A1E"/>
    <w:rsid w:val="002F2433"/>
    <w:rsid w:val="00326F90"/>
    <w:rsid w:val="004036F7"/>
    <w:rsid w:val="006E7617"/>
    <w:rsid w:val="006E7D7F"/>
    <w:rsid w:val="00730BCB"/>
    <w:rsid w:val="00764F9C"/>
    <w:rsid w:val="007840C3"/>
    <w:rsid w:val="00884E69"/>
    <w:rsid w:val="00931D43"/>
    <w:rsid w:val="009A325F"/>
    <w:rsid w:val="00A70FFF"/>
    <w:rsid w:val="00AA1D8D"/>
    <w:rsid w:val="00AD7534"/>
    <w:rsid w:val="00B47730"/>
    <w:rsid w:val="00C47B23"/>
    <w:rsid w:val="00C817C0"/>
    <w:rsid w:val="00CB0664"/>
    <w:rsid w:val="00D421E6"/>
    <w:rsid w:val="00D74312"/>
    <w:rsid w:val="00D82F12"/>
    <w:rsid w:val="00FC693F"/>
    <w:rsid w:val="00FD2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90AB8"/>
  <w14:defaultImageDpi w14:val="300"/>
  <w15:docId w15:val="{DE26CA30-3A60-EF43-A51E-29F76107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D7F"/>
    <w:pPr>
      <w:spacing w:after="120" w:line="240" w:lineRule="auto" w:before="0"/>
    </w:pPr>
    <w:rPr>
      <w:rFonts w:ascii="Aptos" w:eastAsia="Times New Roman" w:hAnsi="Aptos" w:cs="Times New Roman"/>
      <w:b w:val="0"/>
      <w:color w:val="172033"/>
      <w:sz w:val="20"/>
      <w:szCs w:val="24"/>
      <w:lang w:val="en-SG" w:eastAsia="zh-CN"/>
    </w:rPr>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60" w:line="252" w:lineRule="auto"/>
      <w:outlineLvl w:val="2"/>
    </w:pPr>
    <w:rPr>
      <w:rFonts w:asciiTheme="majorHAnsi" w:eastAsiaTheme="majorEastAsia" w:hAnsiTheme="majorHAnsi" w:cstheme="majorBidi" w:ascii="Aptos" w:hAnsi="Aptos"/>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120" w:after="60" w:line="252" w:lineRule="auto"/>
      <w:outlineLvl w:val="3"/>
    </w:pPr>
    <w:rPr>
      <w:rFonts w:asciiTheme="majorHAnsi" w:eastAsiaTheme="majorEastAsia" w:hAnsiTheme="majorHAnsi" w:cstheme="majorBidi"/>
      <w:b/>
      <w:bCs/>
      <w:iCs/>
      <w:color w:val="1F4E79"/>
    </w:rPr>
  </w:style>
  <w:style w:type="paragraph" w:styleId="Heading5">
    <w:name w:val="heading 5"/>
    <w:basedOn w:val="Normal"/>
    <w:next w:val="Normal"/>
    <w:link w:val="Heading5Char"/>
    <w:uiPriority w:val="9"/>
    <w:semiHidden/>
    <w:unhideWhenUsed/>
    <w:qFormat/>
    <w:rsid w:val="00FC693F"/>
    <w:pPr>
      <w:keepNext/>
      <w:keepLines/>
      <w:spacing w:before="120" w:after="60" w:line="252" w:lineRule="auto"/>
      <w:outlineLvl w:val="4"/>
    </w:pPr>
    <w:rPr>
      <w:rFonts w:asciiTheme="majorHAnsi" w:eastAsiaTheme="majorEastAsia" w:hAnsiTheme="majorHAnsi" w:cstheme="majorBidi"/>
      <w:b/>
      <w:color w:val="1F4E79"/>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20" w:line="276" w:lineRule="auto"/>
    </w:pPr>
    <w:rPr>
      <w:rFonts w:eastAsia="SimSun"/>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76" w:lineRule="auto"/>
    </w:pPr>
    <w:rPr>
      <w:rFonts w:eastAsia="SimSun"/>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0" w:after="160" w:line="276" w:lineRule="auto"/>
      <w:contextualSpacing/>
      <w:jc w:val="center"/>
    </w:pPr>
    <w:rPr>
      <w:rFonts w:asciiTheme="majorHAnsi" w:eastAsiaTheme="majorEastAsia" w:hAnsiTheme="majorHAnsi" w:cstheme="majorBidi" w:ascii="Aptos" w:hAnsi="Aptos"/>
      <w:b/>
      <w:color w:val="1F4E79"/>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spacing w:after="160" w:line="276" w:lineRule="auto" w:before="0"/>
      <w:jc w:val="center"/>
    </w:pPr>
    <w:rPr>
      <w:rFonts w:asciiTheme="majorHAnsi" w:eastAsiaTheme="majorEastAsia" w:hAnsiTheme="majorHAnsi" w:cstheme="majorBidi" w:ascii="Aptos" w:hAnsi="Aptos"/>
      <w:b w:val="0"/>
      <w:i/>
      <w:iCs/>
      <w:color w:val="5B6576"/>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spacing w:after="120" w:line="276" w:lineRule="auto"/>
      <w:ind w:left="720"/>
      <w:contextualSpacing/>
    </w:pPr>
    <w:rPr>
      <w:rFonts w:eastAsia="SimSun"/>
      <w:sz w:val="22"/>
    </w:rPr>
  </w:style>
  <w:style w:type="paragraph" w:styleId="BodyText">
    <w:name w:val="Body Text"/>
    <w:basedOn w:val="Normal"/>
    <w:link w:val="BodyTextChar"/>
    <w:uiPriority w:val="99"/>
    <w:unhideWhenUsed/>
    <w:rsid w:val="00AA1D8D"/>
    <w:pPr>
      <w:spacing w:after="120" w:line="276" w:lineRule="auto"/>
    </w:pPr>
    <w:rPr>
      <w:rFonts w:eastAsia="SimSu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SimSun"/>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eastAsia="SimSu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76" w:lineRule="auto"/>
      <w:ind w:left="360" w:hanging="360"/>
      <w:contextualSpacing/>
    </w:pPr>
    <w:rPr>
      <w:rFonts w:eastAsia="SimSun"/>
      <w:sz w:val="22"/>
    </w:rPr>
  </w:style>
  <w:style w:type="paragraph" w:styleId="List2">
    <w:name w:val="List 2"/>
    <w:basedOn w:val="Normal"/>
    <w:uiPriority w:val="99"/>
    <w:unhideWhenUsed/>
    <w:rsid w:val="00326F90"/>
    <w:pPr>
      <w:spacing w:after="120" w:line="276" w:lineRule="auto"/>
      <w:ind w:left="720" w:hanging="360"/>
      <w:contextualSpacing/>
    </w:pPr>
    <w:rPr>
      <w:rFonts w:eastAsia="SimSun"/>
      <w:sz w:val="22"/>
    </w:rPr>
  </w:style>
  <w:style w:type="paragraph" w:styleId="List3">
    <w:name w:val="List 3"/>
    <w:basedOn w:val="Normal"/>
    <w:uiPriority w:val="99"/>
    <w:unhideWhenUsed/>
    <w:rsid w:val="00326F90"/>
    <w:pPr>
      <w:spacing w:after="120" w:line="276" w:lineRule="auto"/>
      <w:ind w:left="1080" w:hanging="360"/>
      <w:contextualSpacing/>
    </w:pPr>
    <w:rPr>
      <w:rFonts w:eastAsia="SimSun"/>
      <w:sz w:val="22"/>
    </w:rPr>
  </w:style>
  <w:style w:type="paragraph" w:styleId="ListBullet">
    <w:name w:val="List Bullet"/>
    <w:basedOn w:val="Normal"/>
    <w:uiPriority w:val="99"/>
    <w:unhideWhenUsed/>
    <w:rsid w:val="00326F90"/>
    <w:pPr>
      <w:numPr>
        <w:numId w:val="1"/>
      </w:numPr>
      <w:spacing w:after="60" w:line="276" w:lineRule="auto"/>
      <w:contextualSpacing/>
    </w:pPr>
    <w:rPr>
      <w:rFonts w:eastAsia="SimSun"/>
      <w:sz w:val="22"/>
    </w:rPr>
  </w:style>
  <w:style w:type="paragraph" w:styleId="ListBullet2">
    <w:name w:val="List Bullet 2"/>
    <w:basedOn w:val="Normal"/>
    <w:uiPriority w:val="99"/>
    <w:unhideWhenUsed/>
    <w:rsid w:val="00326F90"/>
    <w:pPr>
      <w:numPr>
        <w:numId w:val="2"/>
      </w:numPr>
      <w:spacing w:after="120" w:line="276" w:lineRule="auto"/>
      <w:contextualSpacing/>
    </w:pPr>
    <w:rPr>
      <w:rFonts w:eastAsia="SimSun"/>
      <w:sz w:val="22"/>
    </w:rPr>
  </w:style>
  <w:style w:type="paragraph" w:styleId="ListBullet3">
    <w:name w:val="List Bullet 3"/>
    <w:basedOn w:val="Normal"/>
    <w:uiPriority w:val="99"/>
    <w:unhideWhenUsed/>
    <w:rsid w:val="00326F90"/>
    <w:pPr>
      <w:numPr>
        <w:numId w:val="3"/>
      </w:numPr>
      <w:spacing w:after="120" w:line="276" w:lineRule="auto"/>
      <w:contextualSpacing/>
    </w:pPr>
    <w:rPr>
      <w:rFonts w:eastAsia="SimSun"/>
      <w:sz w:val="22"/>
    </w:rPr>
  </w:style>
  <w:style w:type="paragraph" w:styleId="ListNumber">
    <w:name w:val="List Number"/>
    <w:basedOn w:val="Normal"/>
    <w:uiPriority w:val="99"/>
    <w:unhideWhenUsed/>
    <w:rsid w:val="00326F90"/>
    <w:pPr>
      <w:numPr>
        <w:numId w:val="5"/>
      </w:numPr>
      <w:spacing w:after="120" w:line="276" w:lineRule="auto"/>
      <w:contextualSpacing/>
    </w:pPr>
    <w:rPr>
      <w:rFonts w:eastAsia="SimSun"/>
      <w:sz w:val="22"/>
    </w:rPr>
  </w:style>
  <w:style w:type="paragraph" w:styleId="ListNumber2">
    <w:name w:val="List Number 2"/>
    <w:basedOn w:val="Normal"/>
    <w:uiPriority w:val="99"/>
    <w:unhideWhenUsed/>
    <w:rsid w:val="0029639D"/>
    <w:pPr>
      <w:numPr>
        <w:numId w:val="6"/>
      </w:numPr>
      <w:spacing w:after="120" w:line="276" w:lineRule="auto"/>
      <w:contextualSpacing/>
    </w:pPr>
    <w:rPr>
      <w:rFonts w:eastAsia="SimSun"/>
      <w:sz w:val="22"/>
    </w:rPr>
  </w:style>
  <w:style w:type="paragraph" w:styleId="ListNumber3">
    <w:name w:val="List Number 3"/>
    <w:basedOn w:val="Normal"/>
    <w:uiPriority w:val="99"/>
    <w:unhideWhenUsed/>
    <w:rsid w:val="0029639D"/>
    <w:pPr>
      <w:numPr>
        <w:numId w:val="7"/>
      </w:numPr>
      <w:spacing w:after="120" w:line="276" w:lineRule="auto"/>
      <w:contextualSpacing/>
    </w:pPr>
    <w:rPr>
      <w:rFonts w:eastAsia="SimSun"/>
      <w:sz w:val="22"/>
    </w:rPr>
  </w:style>
  <w:style w:type="paragraph" w:styleId="ListContinue">
    <w:name w:val="List Continue"/>
    <w:basedOn w:val="Normal"/>
    <w:uiPriority w:val="99"/>
    <w:unhideWhenUsed/>
    <w:rsid w:val="0029639D"/>
    <w:pPr>
      <w:spacing w:after="120" w:line="276" w:lineRule="auto"/>
      <w:ind w:left="360"/>
      <w:contextualSpacing/>
    </w:pPr>
    <w:rPr>
      <w:rFonts w:eastAsia="SimSun"/>
      <w:sz w:val="22"/>
    </w:rPr>
  </w:style>
  <w:style w:type="paragraph" w:styleId="ListContinue2">
    <w:name w:val="List Continue 2"/>
    <w:basedOn w:val="Normal"/>
    <w:uiPriority w:val="99"/>
    <w:unhideWhenUsed/>
    <w:rsid w:val="0029639D"/>
    <w:pPr>
      <w:spacing w:after="120" w:line="276" w:lineRule="auto"/>
      <w:ind w:left="720"/>
      <w:contextualSpacing/>
    </w:pPr>
    <w:rPr>
      <w:rFonts w:eastAsia="SimSun"/>
      <w:sz w:val="22"/>
    </w:rPr>
  </w:style>
  <w:style w:type="paragraph" w:styleId="ListContinue3">
    <w:name w:val="List Continue 3"/>
    <w:basedOn w:val="Normal"/>
    <w:uiPriority w:val="99"/>
    <w:unhideWhenUsed/>
    <w:rsid w:val="0029639D"/>
    <w:pPr>
      <w:spacing w:after="120" w:line="276" w:lineRule="auto"/>
      <w:ind w:left="1080"/>
      <w:contextualSpacing/>
    </w:pPr>
    <w:rPr>
      <w:rFonts w:eastAsia="SimSu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76" w:lineRule="auto"/>
    </w:pPr>
    <w:rPr>
      <w:rFonts w:eastAsia="SimSu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eastAsia="SimSu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Lead">
    <w:name w:val="Resource Lead"/>
    <w:basedOn w:val="Normal"/>
    <w:pPr>
      <w:spacing w:before="60" w:after="30" w:line="276" w:lineRule="auto"/>
    </w:pPr>
    <w:rPr>
      <w:rFonts w:eastAsia="SimSun" w:cs="Arial"/>
      <w:b/>
      <w:color w:val="5A5A5A"/>
      <w:sz w:val="20"/>
    </w:rPr>
  </w:style>
  <w:style w:type="paragraph" w:customStyle="1" w:styleId="ResourceBullet">
    <w:name w:val="Resource Bullet"/>
    <w:basedOn w:val="Normal"/>
    <w:pPr>
      <w:spacing w:after="30" w:line="276" w:lineRule="auto"/>
      <w:ind w:left="259" w:hanging="259"/>
    </w:pPr>
    <w:rPr>
      <w:rFonts w:eastAsia="SimSun"/>
      <w:color w:val="464646"/>
      <w:sz w:val="19"/>
    </w:rPr>
  </w:style>
  <w:style w:type="paragraph" w:customStyle="1" w:styleId="Box">
    <w:name w:val="Box"/>
    <w:basedOn w:val="Normal"/>
    <w:pPr>
      <w:spacing w:after="120" w:line="276" w:lineRule="auto"/>
      <w:ind w:left="216" w:right="216"/>
    </w:pPr>
    <w:rPr>
      <w:rFonts w:eastAsia="SimSun"/>
      <w:sz w:val="20"/>
    </w:rPr>
  </w:style>
  <w:style w:type="paragraph" w:styleId="NormalWeb">
    <w:name w:val="Normal (Web)"/>
    <w:basedOn w:val="Normal"/>
    <w:uiPriority w:val="99"/>
    <w:unhideWhenUsed/>
    <w:rsid w:val="007840C3"/>
    <w:pPr>
      <w:spacing w:before="100" w:beforeAutospacing="1" w:after="100" w:afterAutospacing="1" w:line="276" w:lineRule="auto"/>
    </w:pPr>
    <w:rPr>
      <w:rFonts w:eastAsia="SimSun"/>
      <w:sz w:val="22"/>
    </w:rPr>
  </w:style>
  <w:style w:type="table" w:styleId="PlainTable1">
    <w:name w:val="Plain Table 1"/>
    <w:basedOn w:val="TableNormal"/>
    <w:uiPriority w:val="99"/>
    <w:rsid w:val="007840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E7D7F"/>
    <w:rPr>
      <w:rFonts w:ascii="Courier New" w:eastAsia="Times New Roman" w:hAnsi="Courier New" w:cs="Courier New"/>
      <w:sz w:val="20"/>
      <w:szCs w:val="20"/>
    </w:rPr>
  </w:style>
  <w:style w:type="table" w:styleId="GridTable1Light-Accent5">
    <w:name w:val="Grid Table 1 Light Accent 5"/>
    <w:basedOn w:val="TableNormal"/>
    <w:uiPriority w:val="46"/>
    <w:rsid w:val="00D7431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6ColourfulAccent1">
    <w:name w:val="Grid Table 6 Colorful Accent 1"/>
    <w:basedOn w:val="TableNormal"/>
    <w:uiPriority w:val="51"/>
    <w:rsid w:val="00D7431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99"/>
    <w:rsid w:val="00D743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lpa.org/industry-guidance/templates-standards-model-documents/ilpa-templates-hub/ilpa-reporting-template/" TargetMode="External"/><Relationship Id="rId18" Type="http://schemas.openxmlformats.org/officeDocument/2006/relationships/hyperlink" Target="https://ilpa.org/industry-guidance/templates-standards-model-documents/ilpa-templates-hub/ilpa-capital-call-distribution-template/" TargetMode="External"/><Relationship Id="rId26" Type="http://schemas.openxmlformats.org/officeDocument/2006/relationships/hyperlink" Target="https://www.nist.gov/itl/ai-risk-management-framework" TargetMode="External"/><Relationship Id="rId39" Type="http://schemas.openxmlformats.org/officeDocument/2006/relationships/hyperlink" Target="https://ilpa.org/industry-guidance/templates-standards-model-documents/ilpa-templates-hub/ilpa-reporting-template/" TargetMode="External"/><Relationship Id="rId21" Type="http://schemas.openxmlformats.org/officeDocument/2006/relationships/hyperlink" Target="https://carta.com/sg/en/blog/data-extraction-capital-call-schedules/" TargetMode="External"/><Relationship Id="rId34" Type="http://schemas.openxmlformats.org/officeDocument/2006/relationships/hyperlink" Target="https://www.campdenwealth.com/form/the-family-office-operational-ex" TargetMode="External"/><Relationship Id="rId42" Type="http://schemas.openxmlformats.org/officeDocument/2006/relationships/hyperlink" Target="https://ilpa.org/industry-guidance/templates-standards-model-documents/ilpa-templates-hub/ilpa-capital-call-distribution-template/" TargetMode="External"/><Relationship Id="rId47" Type="http://schemas.openxmlformats.org/officeDocument/2006/relationships/hyperlink" Target="https://www.citigroup.com/rcs/citigpa/storage/public/ai_in_the_family_office.pdf" TargetMode="External"/><Relationship Id="rId50" Type="http://schemas.openxmlformats.org/officeDocument/2006/relationships/hyperlink" Target="https://nvlpubs.nist.gov/nistpubs/ai/nist.ai.100-1.pdf"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pc.cfainstitute.org/research/surveys/2024/private-markets-governance-issues" TargetMode="External"/><Relationship Id="rId29" Type="http://schemas.openxmlformats.org/officeDocument/2006/relationships/hyperlink" Target="https://privatebank.jpmorgan.com/apac/en/insights/markets-and-investing/ideas-and-insights/how-much-does-ai-already-know-about-you-and-your-family-office" TargetMode="External"/><Relationship Id="rId11" Type="http://schemas.openxmlformats.org/officeDocument/2006/relationships/hyperlink" Target="https://www.privatebanking.hsbc.com/family-office-uhnw/the-european-family-office-report-2024/" TargetMode="External"/><Relationship Id="rId24" Type="http://schemas.openxmlformats.org/officeDocument/2006/relationships/hyperlink" Target="https://andsimple.co/guides/ai-strategy-and-governance/" TargetMode="External"/><Relationship Id="rId32" Type="http://schemas.openxmlformats.org/officeDocument/2006/relationships/hyperlink" Target="https://www.privatebank.citibank.com/ivc/docs/Consolidated-reporting-in-family-Offices.pdf" TargetMode="External"/><Relationship Id="rId37" Type="http://schemas.openxmlformats.org/officeDocument/2006/relationships/hyperlink" Target="https://www.landytech.com/hubfs/PDFs/Whitepaper/Family%20offices%20in%20the%20digital%20age%20-%20Data%20and%20the%20reporting%20challenge.pdf" TargetMode="External"/><Relationship Id="rId40" Type="http://schemas.openxmlformats.org/officeDocument/2006/relationships/hyperlink" Target="https://ilpa.org/resources-tools/resource-library/ilpa-reporting-template-v-2-0/" TargetMode="External"/><Relationship Id="rId45" Type="http://schemas.openxmlformats.org/officeDocument/2006/relationships/hyperlink" Target="https://carta.com/learn/private-funds/management/capital-calls/"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ampdenwealth.com/form/the-family-office-operational-ex" TargetMode="External"/><Relationship Id="rId19" Type="http://schemas.openxmlformats.org/officeDocument/2006/relationships/hyperlink" Target="https://ilpa.org/industry-guidance/templates-standards-model-documents/" TargetMode="External"/><Relationship Id="rId31" Type="http://schemas.openxmlformats.org/officeDocument/2006/relationships/image" Target="media/image1.png"/><Relationship Id="rId44" Type="http://schemas.openxmlformats.org/officeDocument/2006/relationships/hyperlink" Target="https://caia.org/sites/default/files/AIAR_Q3_2016_04_PrivateEquity.pdf" TargetMode="External"/><Relationship Id="rId52" Type="http://schemas.openxmlformats.org/officeDocument/2006/relationships/hyperlink" Target="https://privatebank.jpmorgan.com/apac/en/insights/markets-and-investing/ideas-and-insights/how-much-does-ai-already-know-about-you-and-your-family-office" TargetMode="External"/><Relationship Id="rId4" Type="http://schemas.openxmlformats.org/officeDocument/2006/relationships/settings" Target="settings.xml"/><Relationship Id="rId9" Type="http://schemas.openxmlformats.org/officeDocument/2006/relationships/hyperlink" Target="https://www.privatebank.citibank.com/doc/family-office/2025-global-family-office-report.pdf" TargetMode="External"/><Relationship Id="rId14" Type="http://schemas.openxmlformats.org/officeDocument/2006/relationships/hyperlink" Target="https://ilpa.org/resources-tools/resource-library/ilpa-reporting-template-v-2-0/" TargetMode="External"/><Relationship Id="rId22" Type="http://schemas.openxmlformats.org/officeDocument/2006/relationships/hyperlink" Target="https://www.citigroup.com/rcs/citigpa/storage/public/ai_in_the_family_office.pdf" TargetMode="External"/><Relationship Id="rId27" Type="http://schemas.openxmlformats.org/officeDocument/2006/relationships/hyperlink" Target="https://nvlpubs.nist.gov/nistpubs/ai/nist.ai.100-1.pdf" TargetMode="External"/><Relationship Id="rId30" Type="http://schemas.openxmlformats.org/officeDocument/2006/relationships/hyperlink" Target="https://www.citigroup.com/rcs/citigpa/storage/public/ai_in_the_family_office.pdf" TargetMode="External"/><Relationship Id="rId35" Type="http://schemas.openxmlformats.org/officeDocument/2006/relationships/hyperlink" Target="https://alti-global.com/ideas/introducing-the-2025-family-office-operational-excellence-report/" TargetMode="External"/><Relationship Id="rId43" Type="http://schemas.openxmlformats.org/officeDocument/2006/relationships/hyperlink" Target="https://rpc.cfainstitute.org/research/surveys/2024/private-markets-governance-issues" TargetMode="External"/><Relationship Id="rId48" Type="http://schemas.openxmlformats.org/officeDocument/2006/relationships/hyperlink" Target="https://andsimple.co/guides/ai-strategy-and-governance/" TargetMode="External"/><Relationship Id="rId56" Type="http://schemas.openxmlformats.org/officeDocument/2006/relationships/theme" Target="theme/theme1.xml"/><Relationship Id="rId8" Type="http://schemas.openxmlformats.org/officeDocument/2006/relationships/hyperlink" Target="https://www.privatebank.citibank.com/ivc/docs/Consolidated-reporting-in-family-Offices.pdf" TargetMode="External"/><Relationship Id="rId51" Type="http://schemas.openxmlformats.org/officeDocument/2006/relationships/hyperlink" Target="https://www.oecd.org/en/topics/sub-issues/ai-principles.html" TargetMode="External"/><Relationship Id="rId3" Type="http://schemas.openxmlformats.org/officeDocument/2006/relationships/styles" Target="styles.xml"/><Relationship Id="rId12" Type="http://schemas.openxmlformats.org/officeDocument/2006/relationships/hyperlink" Target="https://www.landytech.com/hubfs/PDFs/Whitepaper/Family%20offices%20in%20the%20digital%20age%20-%20Data%20and%20the%20reporting%20challenge.pdf" TargetMode="External"/><Relationship Id="rId17" Type="http://schemas.openxmlformats.org/officeDocument/2006/relationships/hyperlink" Target="https://caia.org/sites/default/files/AIAR_Q3_2016_04_PrivateEquity.pdf" TargetMode="External"/><Relationship Id="rId25" Type="http://schemas.openxmlformats.org/officeDocument/2006/relationships/hyperlink" Target="https://carta.com/sg/en/blog/data-extraction-capital-call-schedules/" TargetMode="External"/><Relationship Id="rId33" Type="http://schemas.openxmlformats.org/officeDocument/2006/relationships/hyperlink" Target="https://www.privatebank.citibank.com/doc/family-office/2025-global-family-office-report.pdf" TargetMode="External"/><Relationship Id="rId38" Type="http://schemas.openxmlformats.org/officeDocument/2006/relationships/hyperlink" Target="https://ilpa.org/industry-guidance/templates-standards-model-documents/" TargetMode="External"/><Relationship Id="rId46" Type="http://schemas.openxmlformats.org/officeDocument/2006/relationships/hyperlink" Target="https://carta.com/sg/en/blog/data-extraction-capital-call-schedules/" TargetMode="External"/><Relationship Id="rId20" Type="http://schemas.openxmlformats.org/officeDocument/2006/relationships/hyperlink" Target="https://carta.com/learn/private-funds/management/capital-calls/" TargetMode="External"/><Relationship Id="rId41" Type="http://schemas.openxmlformats.org/officeDocument/2006/relationships/hyperlink" Target="https://ilpa.org/wp-content/uploads/2016/09/ILPA-Best-Practices-Quarterly-Reporting-Standards_Version-1.1.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lpa.org/wp-content/uploads/2016/09/ILPA-Best-Practices-Quarterly-Reporting-Standards_Version-1.1.pdf" TargetMode="External"/><Relationship Id="rId23" Type="http://schemas.openxmlformats.org/officeDocument/2006/relationships/hyperlink" Target="https://www.privatebank.citibank.com/insights/ai-in-the-family-office-navigating-privacy-efficiency-and-institutional-rigor" TargetMode="External"/><Relationship Id="rId28" Type="http://schemas.openxmlformats.org/officeDocument/2006/relationships/hyperlink" Target="https://www.oecd.org/en/topics/sub-issues/ai-principles.html" TargetMode="External"/><Relationship Id="rId36" Type="http://schemas.openxmlformats.org/officeDocument/2006/relationships/hyperlink" Target="https://www.privatebanking.hsbc.com/family-office-uhnw/the-european-family-office-report-2024/" TargetMode="External"/><Relationship Id="rId49"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8148</Words>
  <Characters>46445</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Family Office Portfolio Dashboard - Final Report</dc:title>
  <dc:subject>Final proof-of-concept report</dc:subject>
  <dc:creator>Yang Shu</dc:creator>
  <cp:keywords/>
  <dc:description/>
  <cp:lastModifiedBy>YANG Shu</cp:lastModifiedBy>
  <cp:revision>8</cp:revision>
  <dcterms:created xsi:type="dcterms:W3CDTF">2013-12-23T23:15:00Z</dcterms:created>
  <dcterms:modified xsi:type="dcterms:W3CDTF">2026-06-04T12:15:00Z</dcterms:modified>
  <cp:category/>
</cp:coreProperties>
</file>