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57.png" ContentType="image/png"/>
  <Override PartName="/word/media/rId54.png" ContentType="image/png"/>
  <Override PartName="/word/media/rId70.png" ContentType="image/png"/>
  <Override PartName="/word/media/rId60.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BCDRを用いた基板の誘電損失と表面粗さによる</w:t>
      </w:r>
      <w:r>
        <w:br/>
      </w:r>
      <w:r>
        <w:rPr>
          <w:rFonts w:hint="eastAsia"/>
        </w:rPr>
        <w:t xml:space="preserve">電気伝導性の測定</w:t>
      </w:r>
      <w:r>
        <w:br/>
      </w:r>
      <w:r>
        <w:t xml:space="preserve">Measurement of Substrate Dielectric Loss and Surface-Roughness-Induced</w:t>
      </w:r>
      <w:r>
        <w:br/>
      </w:r>
      <w:r>
        <w:t xml:space="preserve">Effective Conductivity Using a Balanced-Type Circular-Disk Resonator (BCDR)</w:t>
      </w:r>
    </w:p>
    <w:p>
      <w:pPr>
        <w:pStyle w:val="Author"/>
      </w:pPr>
      <w:r>
        <w:rPr>
          <w:rFonts w:hint="eastAsia"/>
        </w:rPr>
        <w:t xml:space="preserve">長野工業高等専門学校</w:t>
      </w:r>
      <w:r>
        <w:br/>
      </w:r>
      <w:r>
        <w:rPr>
          <w:rFonts w:hint="eastAsia"/>
        </w:rPr>
        <w:t xml:space="preserve">電気電子工学科</w:t>
      </w:r>
      <w:r>
        <w:t xml:space="preserve">　</w:t>
      </w:r>
      <w:r>
        <w:rPr>
          <w:rFonts w:hint="eastAsia"/>
        </w:rPr>
        <w:t xml:space="preserve">栁原</w:t>
      </w:r>
      <w:r>
        <w:t xml:space="preserve"> </w:t>
      </w:r>
      <w:r>
        <w:rPr>
          <w:rFonts w:hint="eastAsia"/>
        </w:rPr>
        <w:t xml:space="preserve">魁人</w:t>
      </w:r>
      <w:r>
        <w:br/>
      </w:r>
      <w:r>
        <w:rPr>
          <w:rFonts w:hint="eastAsia"/>
        </w:rPr>
        <w:t xml:space="preserve">（指導教員</w:t>
      </w:r>
      <w:r>
        <w:t xml:space="preserve"> </w:t>
      </w:r>
      <w:r>
        <w:rPr>
          <w:rFonts w:hint="eastAsia"/>
        </w:rPr>
        <w:t xml:space="preserve">春日</w:t>
      </w:r>
      <w:r>
        <w:t xml:space="preserve"> </w:t>
      </w:r>
      <w:r>
        <w:rPr>
          <w:rFonts w:hint="eastAsia"/>
        </w:rPr>
        <w:t xml:space="preserve">貴志）</w:t>
      </w:r>
    </w:p>
    <w:p>
      <w:pPr>
        <w:pStyle w:val="Date"/>
      </w:pPr>
      <w:r>
        <w:t xml:space="preserve">2026-02-06</w:t>
      </w:r>
    </w:p>
    <w:p>
      <w:pPr>
        <w:pStyle w:val="AbstractTitle"/>
      </w:pPr>
      <w:r>
        <w:t xml:space="preserve">Abstract</w:t>
      </w:r>
    </w:p>
    <w:p>
      <w:pPr>
        <w:pStyle w:val="Abstract"/>
      </w:pPr>
      <w:r>
        <w:rPr>
          <w:rFonts w:hint="eastAsia"/>
        </w:rPr>
        <w:t xml:space="preserve">人工知能（AI）やクラウドコンピューティング，第5世代移動通信システム（5G）の普及により，データセンターおよびバックボーンネットワークにおける伝送帯域は年率40%以上で増大している．第6世代移動通信システム（6G）では100</w:t>
      </w:r>
      <w:r>
        <w:t xml:space="preserve"> </w:t>
      </w:r>
      <w:r>
        <w:rPr>
          <w:rFonts w:hint="eastAsia"/>
        </w:rPr>
        <w:t xml:space="preserve">GHz帯を超えるミリ波・サブテラヘルツ帯の利用が想定されており，この周波数域ではプリント基板における信号減衰が伝送品質を左右する主要因となる．信号減衰は誘電体内部のエネルギー散逸に起因する誘電損失と，配線導体でのジュール熱に起因する導体損失の総和で決定されるが，従来の測定手法では誘電体の評価が主眼に置かれ，導体表面粗さ（Surface</w:t>
      </w:r>
      <w:r>
        <w:t xml:space="preserve"> </w:t>
      </w:r>
      <w:r>
        <w:rPr>
          <w:rFonts w:hint="eastAsia"/>
        </w:rPr>
        <w:t xml:space="preserve">Roughness）が表皮効果と相互作用して高周波抵抗を増大させる現象については定量的評価が不十分であった．本研究では，TM</w:t>
      </w:r>
      <m:oMath>
        <m:sSub>
          <m:e>
            <m:r>
              <m:t>​</m:t>
            </m:r>
          </m:e>
          <m:sub>
            <m:r>
              <m:t>0</m:t>
            </m:r>
            <m:r>
              <m:t>m</m:t>
            </m:r>
            <m:r>
              <m:t>0</m:t>
            </m:r>
          </m:sub>
        </m:sSub>
      </m:oMath>
      <w:r>
        <w:rPr>
          <w:rFonts w:hint="eastAsia"/>
        </w:rPr>
        <w:t xml:space="preserve">モードを利用した平衡形円板共振器法（BCDR）を用い，低損失基板材料MEGTRON6の複素誘電率および実効導電率を10</w:t>
      </w:r>
      <w:r>
        <w:t xml:space="preserve"> GHz–67 </w:t>
      </w:r>
      <w:r>
        <w:rPr>
          <w:rFonts w:hint="eastAsia"/>
        </w:rPr>
        <w:t xml:space="preserve">GHz（本文解析範囲；測定有効点は最大65.3</w:t>
      </w:r>
      <w:r>
        <w:t xml:space="preserve"> </w:t>
      </w:r>
      <w:r>
        <w:rPr>
          <w:rFonts w:hint="eastAsia"/>
        </w:rPr>
        <w:t xml:space="preserve">GHz）において評価した．測定の結果，平均比誘電率は</w:t>
      </w:r>
      <m:oMath>
        <m:sSubSup>
          <m:e>
            <m:r>
              <m:t>ε</m:t>
            </m:r>
          </m:e>
          <m:sub>
            <m:r>
              <m:t>r</m:t>
            </m:r>
          </m:sub>
          <m:sup>
            <m:r>
              <m:rPr>
                <m:sty m:val="p"/>
              </m:rPr>
              <m:t>′</m:t>
            </m:r>
          </m:sup>
        </m:sSubSup>
        <m:r>
          <m:rPr>
            <m:sty m:val="p"/>
          </m:rPr>
          <m:t>≈</m:t>
        </m:r>
        <m:r>
          <m:t>3.59</m:t>
        </m:r>
      </m:oMath>
      <w:r>
        <w:rPr>
          <w:rFonts w:hint="eastAsia"/>
        </w:rPr>
        <w:t xml:space="preserve">で周波数依存性は小さい一方，実効導電率</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は周波数上昇に伴って1–2桁低下することが明らかとなった（例：12.7</w:t>
      </w:r>
      <w:r>
        <w:t xml:space="preserve"> GHzで 2.41 × 10</w:t>
      </w:r>
      <w:r>
        <w:rPr>
          <w:vertAlign w:val="superscript"/>
        </w:rPr>
        <w:t xml:space="preserve">7</w:t>
      </w:r>
      <w:r>
        <w:t xml:space="preserve"> S m</w:t>
      </w:r>
      <w:r>
        <w:rPr>
          <w:vertAlign w:val="superscript"/>
        </w:rPr>
        <w:t xml:space="preserve">−1</w:t>
      </w:r>
      <w:r>
        <w:rPr>
          <w:rFonts w:hint="eastAsia"/>
        </w:rPr>
        <w:t xml:space="preserve">，23.3</w:t>
      </w:r>
      <w:r>
        <w:t xml:space="preserve"> GHzで 8.23 × 10</w:t>
      </w:r>
      <w:r>
        <w:rPr>
          <w:vertAlign w:val="superscript"/>
        </w:rPr>
        <w:t xml:space="preserve">6</w:t>
      </w:r>
      <w:r>
        <w:t xml:space="preserve"> S m</w:t>
      </w:r>
      <w:r>
        <w:rPr>
          <w:vertAlign w:val="superscript"/>
        </w:rPr>
        <w:t xml:space="preserve">−1</w:t>
      </w:r>
      <w:r>
        <w:rPr>
          <w:rFonts w:hint="eastAsia"/>
        </w:rPr>
        <w:t xml:space="preserve">，65.3</w:t>
      </w:r>
      <w:r>
        <w:t xml:space="preserve"> GHzで 3.44 × 10</w:t>
      </w:r>
      <w:r>
        <w:rPr>
          <w:vertAlign w:val="superscript"/>
        </w:rPr>
        <w:t xml:space="preserve">6</w:t>
      </w:r>
      <w:r>
        <w:t xml:space="preserve"> S m</w:t>
      </w:r>
      <w:r>
        <w:rPr>
          <w:vertAlign w:val="superscript"/>
        </w:rPr>
        <w:t xml:space="preserve">−1</w:t>
      </w:r>
      <w:r>
        <w:rPr>
          <w:rFonts w:hint="eastAsia"/>
        </w:rPr>
        <w:t xml:space="preserve">）．本文の結論は67</w:t>
      </w:r>
      <w:r>
        <w:t xml:space="preserve"> </w:t>
      </w:r>
      <w:r>
        <w:rPr>
          <w:rFonts w:hint="eastAsia"/>
        </w:rPr>
        <w:t xml:space="preserve">GHz以下の測定帯域に基づく．測定は複数日にわたり合計20回実施し，本文で示す各データ点および図は20回の測定の平均値である．</w:t>
      </w:r>
    </w:p>
    <w:bookmarkStart w:id="13" w:name="序論"/>
    <w:p>
      <w:pPr>
        <w:pStyle w:val="Heading1"/>
      </w:pPr>
      <w:r>
        <w:rPr>
          <w:rFonts w:hint="eastAsia"/>
        </w:rPr>
        <w:t xml:space="preserve">序論</w:t>
      </w:r>
    </w:p>
    <w:bookmarkStart w:id="9" w:name="次世代通信技術の背景と高周波化の必須性"/>
    <w:p>
      <w:pPr>
        <w:pStyle w:val="Heading2"/>
      </w:pPr>
      <w:r>
        <w:rPr>
          <w:rFonts w:hint="eastAsia"/>
        </w:rPr>
        <w:t xml:space="preserve">次世代通信技術の背景と高周波化の必須性</w:t>
      </w:r>
    </w:p>
    <w:p>
      <w:pPr>
        <w:pStyle w:val="FirstParagraph"/>
      </w:pPr>
      <w:r>
        <w:rPr>
          <w:rFonts w:hint="eastAsia"/>
        </w:rPr>
        <w:t xml:space="preserve">近年，人工知能（AI）やクラウドコンピューティング，および第5世代移動通信システム（5G）の急速な普及に伴い，データセンターやバックボーンネットワークにおけるトラフィック量は年率40%を超える加速度的な増加を続けている．総務省の予測によれば，高精細な4K/8K動画配信サービス等の進展により，2025年には通信トラフィックが現状の約70倍に達するとされており</w:t>
      </w:r>
      <w:r>
        <w:rPr>
          <w:rFonts w:hint="eastAsia"/>
        </w:rPr>
        <w:t xml:space="preserve">，これに対応する超高速・大容量の伝送基盤の確立が急務となっている．</w:t>
      </w:r>
    </w:p>
    <w:p>
      <w:pPr>
        <w:pStyle w:val="BodyText"/>
      </w:pPr>
      <w:r>
        <w:rPr>
          <w:rFonts w:hint="eastAsia"/>
        </w:rPr>
        <w:t xml:space="preserve">この要求を受け，IEEE等の国際標準化団体では，サーバーラック間通信における400</w:t>
      </w:r>
      <w:r>
        <w:t xml:space="preserve">   s</w:t>
      </w:r>
      <w:r>
        <w:rPr>
          <w:vertAlign w:val="superscript"/>
        </w:rPr>
        <w:t xml:space="preserve">−1</w:t>
      </w:r>
      <w:r>
        <w:t xml:space="preserve">から800   s</w:t>
      </w:r>
      <w:r>
        <w:rPr>
          <w:vertAlign w:val="superscript"/>
        </w:rPr>
        <w:t xml:space="preserve">−1</w:t>
      </w:r>
      <w:r>
        <w:rPr>
          <w:rFonts w:hint="eastAsia"/>
        </w:rPr>
        <w:t xml:space="preserve">，さらには1.6</w:t>
      </w:r>
      <w:r>
        <w:t xml:space="preserve">   s</w:t>
      </w:r>
      <w:r>
        <w:rPr>
          <w:vertAlign w:val="superscript"/>
        </w:rPr>
        <w:t xml:space="preserve">−1</w:t>
      </w:r>
      <w:r>
        <w:rPr>
          <w:rFonts w:hint="eastAsia"/>
        </w:rPr>
        <w:t xml:space="preserve">といった伝送速度の規格化が進められている</w:t>
      </w:r>
      <w:r>
        <w:rPr>
          <w:rFonts w:hint="eastAsia"/>
        </w:rPr>
        <w:t xml:space="preserve">．これらを実現するには，信号のベースクロックを56</w:t>
      </w:r>
      <w:r>
        <w:t xml:space="preserve"> GHzから112 </w:t>
      </w:r>
      <w:r>
        <w:rPr>
          <w:rFonts w:hint="eastAsia"/>
        </w:rPr>
        <w:t xml:space="preserve">GHzへと引き上げる必要がある．さらに，デジタル信号が高次高調波成分を含むことを考慮すると，プリント基板やコネクタ等のハードウェアは，100</w:t>
      </w:r>
      <w:r>
        <w:t xml:space="preserve"> GHzから300 </w:t>
      </w:r>
      <w:r>
        <w:rPr>
          <w:rFonts w:hint="eastAsia"/>
        </w:rPr>
        <w:t xml:space="preserve">GHzに及ぶ極めて広い帯域での信号整合性が要求される．</w:t>
      </w:r>
    </w:p>
    <w:p>
      <w:pPr>
        <w:pStyle w:val="BodyText"/>
      </w:pPr>
      <w:r>
        <w:rPr>
          <w:rFonts w:hint="eastAsia"/>
        </w:rPr>
        <w:t xml:space="preserve">現在運用中の5Gにおける30</w:t>
      </w:r>
      <w:r>
        <w:t xml:space="preserve"> </w:t>
      </w:r>
      <w:r>
        <w:rPr>
          <w:rFonts w:hint="eastAsia"/>
        </w:rPr>
        <w:t xml:space="preserve">GHz帯の活用は，Beyond</w:t>
      </w:r>
      <w:r>
        <w:t xml:space="preserve"> </w:t>
      </w:r>
      <w:r>
        <w:rPr>
          <w:rFonts w:hint="eastAsia"/>
        </w:rPr>
        <w:t xml:space="preserve">5G／第6世代移動通信システム（6G）におけるさらなる高周波化へと移行しつつある．6Gにおいては，5Gをはるかに上回る超高速大容量通信に加え，消費電力を5Gの約1/100に抑制するという高いエネルギー効率の両立が目標に掲げられている</w:t>
      </w:r>
      <w:r>
        <w:rPr>
          <w:rFonts w:hint="eastAsia"/>
        </w:rPr>
        <w:t xml:space="preserve">．</w:t>
      </w:r>
    </w:p>
    <w:p>
      <w:pPr>
        <w:pStyle w:val="BodyText"/>
      </w:pPr>
      <w:r>
        <w:rPr>
          <w:rFonts w:hint="eastAsia"/>
        </w:rPr>
        <w:t xml:space="preserve">以上の事情から，ミリ波・サブテラヘルツ帯における材料の電磁気的特性を周波数依存的に正確に把握することは，単なる周波数拡張の要件を超え，限られた電波資源の有効活用と通信システムの低消費電力化を同時に達成するための最重要の基盤技術である．</w:t>
      </w:r>
    </w:p>
    <w:bookmarkEnd w:id="9"/>
    <w:bookmarkStart w:id="10" w:name="高周波帯における信号減衰の課題と測定の必須性"/>
    <w:p>
      <w:pPr>
        <w:pStyle w:val="Heading2"/>
      </w:pPr>
      <w:r>
        <w:rPr>
          <w:rFonts w:hint="eastAsia"/>
        </w:rPr>
        <w:t xml:space="preserve">高周波帯における信号減衰の課題と測定の必須性</w:t>
      </w:r>
    </w:p>
    <w:p>
      <w:pPr>
        <w:pStyle w:val="FirstParagraph"/>
      </w:pPr>
      <w:r>
        <w:rPr>
          <w:rFonts w:hint="eastAsia"/>
        </w:rPr>
        <w:t xml:space="preserve">このような極めて高い周波数帯では，プリント基板における信号減衰が深刻な課題となる．高周波回路における伝送損失は，誘電体損失（Dielectric</w:t>
      </w:r>
      <w:r>
        <w:t xml:space="preserve"> </w:t>
      </w:r>
      <w:r>
        <w:rPr>
          <w:rFonts w:hint="eastAsia"/>
        </w:rPr>
        <w:t xml:space="preserve">loss）と導体損失（Conductor</w:t>
      </w:r>
      <w:r>
        <w:t xml:space="preserve"> </w:t>
      </w:r>
      <w:r>
        <w:rPr>
          <w:rFonts w:hint="eastAsia"/>
        </w:rPr>
        <w:t xml:space="preserve">loss）の合算で表現される．誘電体損失は誘電正接</w:t>
      </w:r>
      <m:oMath>
        <m:r>
          <m:rPr>
            <m:sty m:val="p"/>
          </m:rPr>
          <m:t>tan</m:t>
        </m:r>
        <m:r>
          <m:t>δ</m:t>
        </m:r>
      </m:oMath>
      <w:r>
        <w:rPr>
          <w:rFonts w:hint="eastAsia"/>
        </w:rPr>
        <w:t xml:space="preserve">と周波数</w:t>
      </w:r>
      <m:oMath>
        <m:r>
          <m:t>f</m:t>
        </m:r>
      </m:oMath>
      <w:r>
        <w:rPr>
          <w:rFonts w:hint="eastAsia"/>
        </w:rPr>
        <w:t xml:space="preserve">に比例し，導体損失は表面抵抗</w:t>
      </w:r>
      <m:oMath>
        <m:sSub>
          <m:e>
            <m:r>
              <m:t>R</m:t>
            </m:r>
          </m:e>
          <m:sub>
            <m:r>
              <m:t>s</m:t>
            </m:r>
          </m:sub>
        </m:sSub>
      </m:oMath>
      <w:r>
        <w:rPr>
          <w:rFonts w:hint="eastAsia"/>
        </w:rPr>
        <w:t xml:space="preserve">に比例するため，周波数が数十GHz帯に達すると両損失とも急激に増大する．この結果，信号品質（Signal</w:t>
      </w:r>
      <w:r>
        <w:t xml:space="preserve"> </w:t>
      </w:r>
      <w:r>
        <w:rPr>
          <w:rFonts w:hint="eastAsia"/>
        </w:rPr>
        <w:t xml:space="preserve">Integrity）の劣化や消費電力の増大を招く主要因となる．したがって，6G/Beyond</w:t>
      </w:r>
      <w:r>
        <w:t xml:space="preserve"> </w:t>
      </w:r>
      <w:r>
        <w:rPr>
          <w:rFonts w:hint="eastAsia"/>
        </w:rPr>
        <w:t xml:space="preserve">5G時代のハードウェア設計においては，使用する材料の電磁気的特性（複素誘電率</w:t>
      </w:r>
      <m:oMath>
        <m:acc>
          <m:accPr>
            <m:chr m:val="̇"/>
          </m:accPr>
          <m:e>
            <m:r>
              <m:t>ε</m:t>
            </m:r>
          </m:e>
        </m:acc>
        <m:r>
          <m:rPr>
            <m:sty m:val="p"/>
          </m:rPr>
          <m:t>=</m:t>
        </m:r>
        <m:sSup>
          <m:e>
            <m:r>
              <m:t>ε</m:t>
            </m:r>
          </m:e>
          <m:sup>
            <m:r>
              <m:rPr>
                <m:sty m:val="p"/>
              </m:rPr>
              <m:t>′</m:t>
            </m:r>
          </m:sup>
        </m:sSup>
        <m:r>
          <m:rPr>
            <m:sty m:val="p"/>
          </m:rPr>
          <m:t>−</m:t>
        </m:r>
        <m:acc>
          <m:accPr>
            <m:chr m:val="̇"/>
          </m:accPr>
          <m:e>
            <m:r>
              <m:t>ȷ</m:t>
            </m:r>
          </m:e>
        </m:acc>
        <m:sSup>
          <m:e>
            <m:r>
              <m:t>ε</m:t>
            </m:r>
          </m:e>
          <m:sup>
            <m:r>
              <m:rPr>
                <m:sty m:val="p"/>
              </m:rPr>
              <m:t>″</m:t>
            </m:r>
          </m:sup>
        </m:sSup>
      </m:oMath>
      <w:r>
        <w:rPr>
          <w:rFonts w:hint="eastAsia"/>
        </w:rPr>
        <w:t xml:space="preserve">および導電率</w:t>
      </w:r>
      <m:oMath>
        <m:r>
          <m:t>σ</m:t>
        </m:r>
      </m:oMath>
      <w:r>
        <w:rPr>
          <w:rFonts w:hint="eastAsia"/>
        </w:rPr>
        <w:t xml:space="preserve">）を使用周波数帯域において正確に把握することが，設計精度を確保する上で必須の要件となる．</w:t>
      </w:r>
    </w:p>
    <w:p>
      <w:pPr>
        <w:pStyle w:val="BodyText"/>
      </w:pPr>
      <w:r>
        <w:rPr>
          <w:rFonts w:hint="eastAsia"/>
        </w:rPr>
        <w:t xml:space="preserve">特に周波数が高くなると，信号電流は導体表面の極めて浅い領域に集中する．この領域の深さを表皮深さ</w:t>
      </w:r>
      <m:oMath>
        <m:sSub>
          <m:e>
            <m:r>
              <m:t>δ</m:t>
            </m:r>
          </m:e>
          <m:sub>
            <m:r>
              <m:t>s</m:t>
            </m:r>
          </m:sub>
        </m:sSub>
      </m:oMath>
      <w:r>
        <w:rPr>
          <w:rFonts w:hint="eastAsia"/>
        </w:rPr>
        <w:t xml:space="preserve">といい，以下の式で与えられる：</w:t>
      </w:r>
    </w:p>
    <w:p>
      <w:pPr>
        <w:pStyle w:val="BodyText"/>
      </w:pPr>
      <m:oMathPara>
        <m:oMathParaPr>
          <m:jc m:val="center"/>
        </m:oMathParaPr>
        <m:oMath>
          <m:sSub>
            <m:e>
              <m:r>
                <m:t>δ</m:t>
              </m:r>
            </m:e>
            <m:sub>
              <m:r>
                <m:t>s</m:t>
              </m:r>
            </m:sub>
          </m:sSub>
          <m:r>
            <m:rPr>
              <m:sty m:val="p"/>
            </m:rPr>
            <m:t>=</m:t>
          </m:r>
          <m:f>
            <m:fPr>
              <m:type m:val="bar"/>
            </m:fPr>
            <m:num>
              <m:r>
                <m:t>1</m:t>
              </m:r>
            </m:num>
            <m:den>
              <m:rad>
                <m:radPr>
                  <m:degHide m:val="on"/>
                </m:radPr>
                <m:deg/>
                <m:e>
                  <m:r>
                    <m:t>π</m:t>
                  </m:r>
                  <m:r>
                    <m:t>f</m:t>
                  </m:r>
                  <m:sSub>
                    <m:e>
                      <m:r>
                        <m:t>μ</m:t>
                      </m:r>
                    </m:e>
                    <m:sub>
                      <m:r>
                        <m:t>0</m:t>
                      </m:r>
                    </m:sub>
                  </m:sSub>
                  <m:r>
                    <m:t>σ</m:t>
                  </m:r>
                </m:e>
              </m:rad>
            </m:den>
          </m:f>
          <m:r>
            <m:rPr>
              <m:sty m:val="p"/>
            </m:rPr>
            <m:t>∝</m:t>
          </m:r>
          <m:sSup>
            <m:e>
              <m:r>
                <m:t>f</m:t>
              </m:r>
            </m:e>
            <m:sup>
              <m:r>
                <m:rPr>
                  <m:sty m:val="p"/>
                </m:rPr>
                <m:t>−</m:t>
              </m:r>
              <m:r>
                <m:t>1</m:t>
              </m:r>
              <m:r>
                <m:rPr>
                  <m:sty m:val="p"/>
                </m:rPr>
                <m:t>/</m:t>
              </m:r>
              <m:r>
                <m:t>2</m:t>
              </m:r>
            </m:sup>
          </m:sSup>
        </m:oMath>
      </m:oMathPara>
    </w:p>
    <w:p>
      <w:pPr>
        <w:pStyle w:val="FirstParagraph"/>
      </w:pPr>
      <w:r>
        <w:rPr>
          <w:rFonts w:hint="eastAsia"/>
        </w:rPr>
        <w:t xml:space="preserve">ここで，</w:t>
      </w:r>
      <m:oMath>
        <m:r>
          <m:t>f</m:t>
        </m:r>
      </m:oMath>
      <w:r>
        <w:rPr>
          <w:rFonts w:hint="eastAsia"/>
        </w:rPr>
        <w:t xml:space="preserve">は周波数，</w:t>
      </w:r>
      <m:oMath>
        <m:sSub>
          <m:e>
            <m:r>
              <m:t>μ</m:t>
            </m:r>
          </m:e>
          <m:sub>
            <m:r>
              <m:t>0</m:t>
            </m:r>
          </m:sub>
        </m:sSub>
      </m:oMath>
      <w:r>
        <w:rPr>
          <w:rFonts w:hint="eastAsia"/>
        </w:rPr>
        <w:t xml:space="preserve">は真空の透磁率，</w:t>
      </w:r>
      <m:oMath>
        <m:r>
          <m:t>σ</m:t>
        </m:r>
      </m:oMath>
      <w:r>
        <w:rPr>
          <w:rFonts w:hint="eastAsia"/>
        </w:rPr>
        <w:t xml:space="preserve">は導電率であり，</w:t>
      </w:r>
      <m:oMath>
        <m:sSub>
          <m:e>
            <m:r>
              <m:t>δ</m:t>
            </m:r>
          </m:e>
          <m:sub>
            <m:r>
              <m:t>s</m:t>
            </m:r>
          </m:sub>
        </m:sSub>
      </m:oMath>
      <w:r>
        <w:rPr>
          <w:rFonts w:hint="eastAsia"/>
        </w:rPr>
        <w:t xml:space="preserve">は周波数の平方根に反比例する．銅の導電率を</w:t>
      </w:r>
      <m:oMath>
        <m:r>
          <m:t>σ</m:t>
        </m:r>
        <m:r>
          <m:rPr>
            <m:sty m:val="p"/>
          </m:rPr>
          <m:t>=</m:t>
        </m:r>
        <m:r>
          <m:t>5.8</m:t>
        </m:r>
        <m:r>
          <m:rPr>
            <m:sty m:val="p"/>
          </m:rPr>
          <m:t>×</m:t>
        </m:r>
        <m:sSup>
          <m:e>
            <m:r>
              <m:t>10</m:t>
            </m:r>
          </m:e>
          <m:sup>
            <m:r>
              <m:t>7</m:t>
            </m:r>
          </m:sup>
        </m:sSup>
        <m:r>
          <m:t> </m:t>
        </m:r>
        <m:r>
          <m:rPr>
            <m:sty m:val="p"/>
          </m:rPr>
          <m:t>S</m:t>
        </m:r>
        <m:r>
          <m:rPr>
            <m:sty m:val="p"/>
          </m:rPr>
          <m:t>/</m:t>
        </m:r>
        <m:r>
          <m:rPr>
            <m:sty m:val="p"/>
          </m:rPr>
          <m:t>m</m:t>
        </m:r>
      </m:oMath>
      <w:r>
        <w:rPr>
          <w:rFonts w:hint="eastAsia"/>
        </w:rPr>
        <w:t xml:space="preserve">とすると，</w:t>
      </w:r>
      <m:oMath>
        <m:sSub>
          <m:e>
            <m:r>
              <m:t>δ</m:t>
            </m:r>
          </m:e>
          <m:sub>
            <m:r>
              <m:t>s</m:t>
            </m:r>
          </m:sub>
        </m:sSub>
        <m:r>
          <m:rPr>
            <m:sty m:val="p"/>
          </m:rPr>
          <m:t>=</m:t>
        </m:r>
        <m:r>
          <m:t>66.1</m:t>
        </m:r>
        <m:r>
          <m:t> </m:t>
        </m:r>
        <m:r>
          <m:rPr>
            <m:nor/>
            <m:sty m:val="p"/>
          </m:rPr>
          <m:t>μ</m:t>
        </m:r>
        <m:r>
          <m:rPr>
            <m:nor/>
            <m:sty m:val="p"/>
          </m:rPr>
          <m:t>m</m:t>
        </m:r>
        <m:r>
          <m:rPr>
            <m:sty m:val="p"/>
          </m:rPr>
          <m:t>/</m:t>
        </m:r>
        <m:rad>
          <m:radPr>
            <m:degHide m:val="on"/>
          </m:radPr>
          <m:deg/>
          <m:e>
            <m:r>
              <m:t>f</m:t>
            </m:r>
            <m:r>
              <m:t> </m:t>
            </m:r>
            <m:r>
              <m:rPr>
                <m:sty m:val="p"/>
              </m:rPr>
              <m:t>[</m:t>
            </m:r>
            <m:r>
              <m:rPr>
                <m:nor/>
                <m:sty m:val="p"/>
              </m:rPr>
              <m:t>G</m:t>
            </m:r>
            <m:r>
              <m:rPr>
                <m:nor/>
                <m:sty m:val="p"/>
              </m:rPr>
              <m:t>Hz</m:t>
            </m:r>
            <m:r>
              <m:rPr>
                <m:sty m:val="p"/>
              </m:rPr>
              <m:t>]</m:t>
            </m:r>
          </m:e>
        </m:rad>
      </m:oMath>
      <w:r>
        <w:rPr>
          <w:rFonts w:hint="eastAsia"/>
        </w:rPr>
        <w:t xml:space="preserve">と表され，30</w:t>
      </w:r>
      <w:r>
        <w:t xml:space="preserve"> </w:t>
      </w:r>
      <w:r>
        <w:rPr>
          <w:rFonts w:hint="eastAsia"/>
        </w:rPr>
        <w:t xml:space="preserve">GHzで約0.36</w:t>
      </w:r>
      <w:r>
        <w:t xml:space="preserve"> </w:t>
      </w:r>
      <m:oMath>
        <m:r>
          <m:t>μ</m:t>
        </m:r>
      </m:oMath>
      <w:r>
        <w:rPr>
          <w:rFonts w:hint="eastAsia"/>
        </w:rPr>
        <w:t xml:space="preserve">m，60</w:t>
      </w:r>
      <w:r>
        <w:t xml:space="preserve"> </w:t>
      </w:r>
      <w:r>
        <w:rPr>
          <w:rFonts w:hint="eastAsia"/>
        </w:rPr>
        <w:t xml:space="preserve">GHzで約0.25</w:t>
      </w:r>
      <w:r>
        <w:t xml:space="preserve"> </w:t>
      </w:r>
      <m:oMath>
        <m:r>
          <m:t>μ</m:t>
        </m:r>
      </m:oMath>
      <w:r>
        <w:rPr>
          <w:rFonts w:hint="eastAsia"/>
        </w:rPr>
        <w:t xml:space="preserve">m，100</w:t>
      </w:r>
      <w:r>
        <w:t xml:space="preserve"> </w:t>
      </w:r>
      <w:r>
        <w:rPr>
          <w:rFonts w:hint="eastAsia"/>
        </w:rPr>
        <w:t xml:space="preserve">GHzでは約0.21</w:t>
      </w:r>
      <w:r>
        <w:t xml:space="preserve"> </w:t>
      </w:r>
      <m:oMath>
        <m:r>
          <m:t>μ</m:t>
        </m:r>
      </m:oMath>
      <w:r>
        <w:rPr>
          <w:rFonts w:hint="eastAsia"/>
        </w:rPr>
        <w:t xml:space="preserve">mとなる．</w:t>
      </w:r>
    </w:p>
    <w:p>
      <w:pPr>
        <w:pStyle w:val="BodyText"/>
      </w:pPr>
      <w:r>
        <w:rPr>
          <w:rFonts w:hint="eastAsia"/>
        </w:rPr>
        <w:t xml:space="preserve">注記（用語の明確化）:</w:t>
      </w:r>
      <w:r>
        <w:t xml:space="preserve"> </w:t>
      </w:r>
      <w:r>
        <w:rPr>
          <w:rFonts w:hint="eastAsia"/>
        </w:rPr>
        <w:t xml:space="preserve">本稿では二種類の「導電率」を区別して扱う。記号</w:t>
      </w:r>
      <m:oMath>
        <m:r>
          <m:t>σ</m:t>
        </m:r>
      </m:oMath>
      <w:r>
        <w:t xml:space="preserve">または</w:t>
      </w:r>
      <m:oMath>
        <m:sSub>
          <m:e>
            <m:r>
              <m:t>σ</m:t>
            </m:r>
          </m:e>
          <m:sub>
            <m:r>
              <m:rPr>
                <m:sty m:val="p"/>
              </m:rPr>
              <m:t>D</m:t>
            </m:r>
            <m:r>
              <m:rPr>
                <m:sty m:val="p"/>
              </m:rPr>
              <m:t>C</m:t>
            </m:r>
          </m:sub>
        </m:sSub>
      </m:oMath>
      <w:r>
        <w:rPr>
          <w:rFonts w:hint="eastAsia"/>
        </w:rPr>
        <w:t xml:space="preserve">は物質のバルク（直流）導電率を指す。一方，銅箔表面粗さや周波数依存性を含めて実測により評価される周波数依存の導電率は，実効導電率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と表記する。以降，バルク導電率（材料定数）を議論する際は「導電率（</w:t>
      </w:r>
      <m:oMath>
        <m:r>
          <m:t>σ</m:t>
        </m:r>
      </m:oMath>
      <w:r>
        <w:t xml:space="preserve"> </w:t>
      </w:r>
      <w:r>
        <w:t xml:space="preserve">または</w:t>
      </w:r>
      <w:r>
        <w:t xml:space="preserve"> </w:t>
      </w:r>
      <m:oMath>
        <m:sSub>
          <m:e>
            <m:r>
              <m:t>σ</m:t>
            </m:r>
          </m:e>
          <m:sub>
            <m:r>
              <m:rPr>
                <m:sty m:val="p"/>
              </m:rPr>
              <m:t>D</m:t>
            </m:r>
            <m:r>
              <m:rPr>
                <m:sty m:val="p"/>
              </m:rPr>
              <m:t>C</m:t>
            </m:r>
          </m:sub>
        </m:sSub>
      </m:oMath>
      <w:r>
        <w:rPr>
          <w:rFonts w:hint="eastAsia"/>
        </w:rPr>
        <w:t xml:space="preserve">）」，表面粗さ等を含む測定値を議論する際は必ず「実効導電率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」と明記する。これにより，両者が混同されないようにする。</w:t>
      </w:r>
    </w:p>
    <w:p>
      <w:pPr>
        <w:pStyle w:val="BodyText"/>
      </w:pPr>
      <w:r>
        <w:rPr>
          <w:rFonts w:hint="eastAsia"/>
        </w:rPr>
        <w:t xml:space="preserve">このようにサブミクロンオーダの表皮深さになると，導体表面の微細な凹凸（表面粗さ）が実効的な導電率に大きな影響を与える．</w:t>
      </w:r>
    </w:p>
    <w:p>
      <w:pPr>
        <w:pStyle w:val="BodyText"/>
      </w:pPr>
      <w:r>
        <w:rPr>
          <w:rFonts w:hint="eastAsia"/>
        </w:rPr>
        <w:t xml:space="preserve">プリント基板の銅箔は，密着強度確保のために二乗平均平方根粗さ（RMS</w:t>
      </w:r>
      <w:r>
        <w:t xml:space="preserve"> </w:t>
      </w:r>
      <w:r>
        <w:rPr>
          <w:rFonts w:hint="eastAsia"/>
        </w:rPr>
        <w:t xml:space="preserve">roughness）</w:t>
      </w:r>
      <m:oMath>
        <m:sSub>
          <m:e>
            <m:r>
              <m:t>R</m:t>
            </m:r>
          </m:e>
          <m:sub>
            <m:r>
              <m:t>q</m:t>
            </m:r>
          </m:sub>
        </m:sSub>
        <m:r>
          <m:rPr>
            <m:sty m:val="p"/>
          </m:rPr>
          <m:t>≈</m:t>
        </m:r>
        <m:r>
          <m:t>1</m:t>
        </m:r>
        <m:r>
          <m:t> </m:t>
        </m:r>
        <m:r>
          <m:rPr>
            <m:nor/>
            <m:sty m:val="p"/>
          </m:rPr>
          <m:t>μ</m:t>
        </m:r>
        <m:r>
          <m:rPr>
            <m:nor/>
            <m:sty m:val="p"/>
          </m:rPr>
          <m:t>m</m:t>
        </m:r>
        <m:r>
          <m:rPr>
            <m:nor/>
            <m:sty m:val="p"/>
          </m:rPr>
          <m:t>–</m:t>
        </m:r>
        <m:r>
          <m:t>3</m:t>
        </m:r>
        <m:r>
          <m:t> </m:t>
        </m:r>
        <m:r>
          <m:rPr>
            <m:nor/>
            <m:sty m:val="p"/>
          </m:rPr>
          <m:t>μ</m:t>
        </m:r>
        <m:r>
          <m:rPr>
            <m:nor/>
            <m:sty m:val="p"/>
          </m:rPr>
          <m:t>m</m:t>
        </m:r>
      </m:oMath>
      <w:r>
        <w:rPr>
          <w:rFonts w:hint="eastAsia"/>
        </w:rPr>
        <w:t xml:space="preserve">程度を有する（JPCA‑KHS01，Fukuda</w:t>
      </w:r>
      <w:r>
        <w:rPr>
          <w:rFonts w:hint="eastAsia"/>
        </w:rPr>
        <w:t xml:space="preserve">）．このレンジでは100</w:t>
      </w:r>
      <w:r>
        <w:t xml:space="preserve"> </w:t>
      </w:r>
      <w:r>
        <w:rPr>
          <w:rFonts w:hint="eastAsia"/>
        </w:rPr>
        <w:t xml:space="preserve">GHz帯で</w:t>
      </w:r>
      <m:oMath>
        <m:sSub>
          <m:e>
            <m:r>
              <m:t>R</m:t>
            </m:r>
          </m:e>
          <m:sub>
            <m:r>
              <m:t>q</m:t>
            </m:r>
          </m:sub>
        </m:sSub>
        <m:r>
          <m:rPr>
            <m:sty m:val="p"/>
          </m:rPr>
          <m:t>/</m:t>
        </m:r>
        <m:sSub>
          <m:e>
            <m:r>
              <m:t>δ</m:t>
            </m:r>
          </m:e>
          <m:sub>
            <m:r>
              <m:t>s</m:t>
            </m:r>
          </m:sub>
        </m:sSub>
        <m:r>
          <m:rPr>
            <m:sty m:val="p"/>
          </m:rPr>
          <m:t>≈</m:t>
        </m:r>
        <m:r>
          <m:t>5</m:t>
        </m:r>
        <m:r>
          <m:rPr>
            <m:nor/>
            <m:sty m:val="p"/>
          </m:rPr>
          <m:t>–</m:t>
        </m:r>
        <m:r>
          <m:t>15</m:t>
        </m:r>
      </m:oMath>
      <w:r>
        <w:rPr>
          <w:rFonts w:hint="eastAsia"/>
        </w:rPr>
        <w:t xml:space="preserve">となり，表皮深さを大きく上回る．簡易的な幾何学見積りでは実効経路長は概ね</w:t>
      </w:r>
      <w:r>
        <w:t xml:space="preserve"> </w:t>
      </w:r>
      <m:oMath>
        <m:rad>
          <m:radPr>
            <m:degHide m:val="on"/>
          </m:radPr>
          <m:deg/>
          <m:e>
            <m:r>
              <m:t>1</m:t>
            </m:r>
            <m:r>
              <m:rPr>
                <m:sty m:val="p"/>
              </m:rPr>
              <m:t>+</m:t>
            </m:r>
            <m:r>
              <m:rPr>
                <m:sty m:val="p"/>
              </m:rPr>
              <m:t>(</m:t>
            </m:r>
            <m:sSub>
              <m:e>
                <m:r>
                  <m:t>R</m:t>
                </m:r>
              </m:e>
              <m:sub>
                <m:r>
                  <m:t>q</m:t>
                </m:r>
              </m:sub>
            </m:sSub>
            <m:r>
              <m:rPr>
                <m:sty m:val="p"/>
              </m:rPr>
              <m:t>/</m:t>
            </m:r>
            <m:sSub>
              <m:e>
                <m:r>
                  <m:t>δ</m:t>
                </m:r>
              </m:e>
              <m:sub>
                <m:r>
                  <m:t>s</m:t>
                </m:r>
              </m:sub>
            </m:sSub>
            <m:sSup>
              <m:e>
                <m:r>
                  <m:rPr>
                    <m:sty m:val="p"/>
                  </m:rPr>
                  <m:t>)</m:t>
                </m:r>
              </m:e>
              <m:sup>
                <m:r>
                  <m:t>2</m:t>
                </m:r>
              </m:sup>
            </m:sSup>
          </m:e>
        </m:rad>
      </m:oMath>
      <w:r>
        <w:t xml:space="preserve"> </w:t>
      </w:r>
      <w:r>
        <w:rPr>
          <w:rFonts w:hint="eastAsia"/>
        </w:rPr>
        <w:t xml:space="preserve">程度まで増大すると評価できるが，局所的な磁界集中や突起形状に伴う増分（いわゆる「雪玉」効果）は</w:t>
      </w:r>
      <w:r>
        <w:t xml:space="preserve"> Huray や Hammerstad </w:t>
      </w:r>
      <w:r>
        <w:rPr>
          <w:rFonts w:hint="eastAsia"/>
        </w:rPr>
        <w:t xml:space="preserve">系のモデルで厳密に扱う必要がある．したがって，本稿では上記の幾何学見積りを「概算」として提示し，定量評価や設計適用には</w:t>
      </w:r>
      <w:r>
        <w:t xml:space="preserve"> Huray/Hammerstad </w:t>
      </w:r>
      <w:r>
        <w:rPr>
          <w:rFonts w:hint="eastAsia"/>
        </w:rPr>
        <w:t xml:space="preserve">または最近の波導モデルによる補正を併用することを推奨する</w:t>
      </w:r>
      <w:r>
        <w:rPr>
          <w:rFonts w:hint="eastAsia"/>
        </w:rPr>
        <w:t xml:space="preserve">．</w:t>
      </w:r>
    </w:p>
    <w:p>
      <w:pPr>
        <w:pStyle w:val="BodyText"/>
      </w:pPr>
      <w:r>
        <w:rPr>
          <w:rFonts w:hint="eastAsia"/>
        </w:rPr>
        <w:t xml:space="preserve">従来の測定では，主に低周波から数十GHz帯までの誘電損失が評価されてきたが，表面粗さを含めた実効導電率の周波数特性については十分に検討されていない．特に6G帯へ向けて100</w:t>
      </w:r>
      <w:r>
        <w:t xml:space="preserve"> </w:t>
      </w:r>
      <w:r>
        <w:rPr>
          <w:rFonts w:hint="eastAsia"/>
        </w:rPr>
        <w:t xml:space="preserve">GHz以上の周波数帯での導体損失の評価は，基板開発において不可欠な要素となっている．</w:t>
      </w:r>
    </w:p>
    <w:bookmarkEnd w:id="10"/>
    <w:bookmarkStart w:id="11" w:name="既存研究の現状と本研究の位置づけ"/>
    <w:p>
      <w:pPr>
        <w:pStyle w:val="Heading2"/>
      </w:pPr>
      <w:r>
        <w:rPr>
          <w:rFonts w:hint="eastAsia"/>
        </w:rPr>
        <w:t xml:space="preserve">既存研究の現状と本研究の位置づけ</w:t>
      </w:r>
    </w:p>
    <w:p>
      <w:pPr>
        <w:pStyle w:val="FirstParagraph"/>
      </w:pPr>
      <w:r>
        <w:rPr>
          <w:rFonts w:hint="eastAsia"/>
        </w:rPr>
        <w:t xml:space="preserve">これまで，FR-4やMEGTRON6などの基板材料について，平衡形円板共振器法（BCDR）により複素誘電率を測定し，誘電損失を評価する研究は行われてきた</w:t>
      </w:r>
      <w:r>
        <w:t xml:space="preserve">.</w:t>
      </w:r>
    </w:p>
    <w:p>
      <w:pPr>
        <w:pStyle w:val="BodyText"/>
      </w:pPr>
      <w:r>
        <w:rPr>
          <w:rFonts w:hint="eastAsia"/>
        </w:rPr>
        <w:t xml:space="preserve">しかし，信号減衰のもう一つの重要な要因である導体損失について，銅箔の表面粗さが実効的な導電率に与える影響を広帯域で定量的に評価した研究は十分ではなかった．</w:t>
      </w:r>
    </w:p>
    <w:bookmarkEnd w:id="11"/>
    <w:bookmarkStart w:id="12" w:name="本研究の目的と意義"/>
    <w:p>
      <w:pPr>
        <w:pStyle w:val="Heading2"/>
      </w:pPr>
      <w:r>
        <w:rPr>
          <w:rFonts w:hint="eastAsia"/>
        </w:rPr>
        <w:t xml:space="preserve">本研究の目的と意義</w:t>
      </w:r>
    </w:p>
    <w:p>
      <w:pPr>
        <w:pStyle w:val="FirstParagraph"/>
      </w:pPr>
      <w:r>
        <w:rPr>
          <w:rFonts w:hint="eastAsia"/>
        </w:rPr>
        <w:t xml:space="preserve">本研究の目的は，ミリ波帯（10</w:t>
      </w:r>
      <w:r>
        <w:t xml:space="preserve"> GHz–67 </w:t>
      </w:r>
      <w:r>
        <w:rPr>
          <w:rFonts w:hint="eastAsia"/>
        </w:rPr>
        <w:t xml:space="preserve">GHz）における基板材料の損失評価手法として平衡形円板共振器法（Balanced-Type</w:t>
      </w:r>
      <w:r>
        <w:t xml:space="preserve"> Circular Disk Resonator: </w:t>
      </w:r>
      <w:r>
        <w:rPr>
          <w:rFonts w:hint="eastAsia"/>
        </w:rPr>
        <w:t xml:space="preserve">BCDR法）を適用し，誘電損失と導体損失を高精度に分離測定する手法を確立するとともに，導体表面粗さが伝送特性に与える影響を定量的に解明することである．具体的には，低損失基板材料として次世代高速回路に用いられるPanasonic製MEGTRON6（ガラスエポキシ系複合材料）を対象とし，以下の3段階の研究を遂行する（本稿では測定帯域を67</w:t>
      </w:r>
      <w:r>
        <w:t xml:space="preserve"> </w:t>
      </w:r>
      <w:r>
        <w:rPr>
          <w:rFonts w:hint="eastAsia"/>
        </w:rPr>
        <w:t xml:space="preserve">GHz以下に制限し解析を行う）．</w:t>
      </w:r>
    </w:p>
    <w:p>
      <w:pPr>
        <w:pStyle w:val="BodyText"/>
      </w:pPr>
      <w:r>
        <w:t xml:space="preserve">1. </w:t>
      </w:r>
      <w:r>
        <w:rPr>
          <w:rFonts w:hint="eastAsia"/>
        </w:rPr>
        <w:t xml:space="preserve">BCDR法を用いて，10</w:t>
      </w:r>
      <w:r>
        <w:t xml:space="preserve"> GHzから67 </w:t>
      </w:r>
      <w:r>
        <w:rPr>
          <w:rFonts w:hint="eastAsia"/>
        </w:rPr>
        <w:t xml:space="preserve">GHzの帯域における基板材料の複素誘電率（比誘電率</w:t>
      </w:r>
      <w:r>
        <w:t xml:space="preserve"> </w:t>
      </w:r>
      <m:oMath>
        <m:sSubSup>
          <m:e>
            <m:r>
              <m:t>ε</m:t>
            </m:r>
          </m:e>
          <m:sub>
            <m:r>
              <m:t>r</m:t>
            </m:r>
          </m:sub>
          <m:sup>
            <m:r>
              <m:rPr>
                <m:sty m:val="p"/>
              </m:rPr>
              <m:t>′</m:t>
            </m:r>
          </m:sup>
        </m:sSubSup>
      </m:oMath>
      <w:r>
        <w:t xml:space="preserve"> </w:t>
      </w:r>
      <w:r>
        <w:rPr>
          <w:rFonts w:hint="eastAsia"/>
        </w:rPr>
        <w:t xml:space="preserve">および誘電正接</w:t>
      </w:r>
      <w:r>
        <w:t xml:space="preserve"> </w:t>
      </w:r>
      <m:oMath>
        <m:r>
          <m:rPr>
            <m:sty m:val="p"/>
          </m:rPr>
          <m:t>tan</m:t>
        </m:r>
        <m:r>
          <m:t>δ</m:t>
        </m:r>
      </m:oMath>
      <w:r>
        <w:rPr>
          <w:rFonts w:hint="eastAsia"/>
        </w:rPr>
        <w:t xml:space="preserve">）を測定する．測定には鏡面研磨銅板（標準導体）を用いて誘電体寄与を抽出する．</w:t>
      </w:r>
    </w:p>
    <w:p>
      <w:pPr>
        <w:pStyle w:val="BodyText"/>
      </w:pPr>
      <w:r>
        <w:t xml:space="preserve">2. </w:t>
      </w:r>
      <w:r>
        <w:rPr>
          <w:rFonts w:hint="eastAsia"/>
        </w:rPr>
        <w:t xml:space="preserve">同一手法により，製造処理済み銅箔を用いて実効導電率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を導出する．</w:t>
      </w:r>
    </w:p>
    <w:p>
      <w:pPr>
        <w:pStyle w:val="BodyText"/>
      </w:pPr>
      <w:r>
        <w:t xml:space="preserve">3. </w:t>
      </w:r>
      <w:r>
        <w:rPr>
          <w:rFonts w:hint="eastAsia"/>
        </w:rPr>
        <w:t xml:space="preserve">得られた材料定数に基づき，マイクロストリップ線路の減衰定数</w:t>
      </w:r>
      <w:r>
        <w:t xml:space="preserve"> </w:t>
      </w:r>
      <m:oMath>
        <m:r>
          <m:t>α</m:t>
        </m:r>
        <m:r>
          <m:rPr>
            <m:sty m:val="p"/>
          </m:rPr>
          <m:t>(</m:t>
        </m:r>
        <m:r>
          <m:t>f</m:t>
        </m:r>
        <m:r>
          <m:rPr>
            <m:sty m:val="p"/>
          </m:rPr>
          <m:t>)</m:t>
        </m:r>
      </m:oMath>
      <w:r>
        <w:t xml:space="preserve"> </w:t>
      </w:r>
      <w:r>
        <w:rPr>
          <w:rFonts w:hint="eastAsia"/>
        </w:rPr>
        <w:t xml:space="preserve">を算出し，従来モデルとの乖離を定量的に評価する．</w:t>
      </w:r>
    </w:p>
    <w:p>
      <w:pPr>
        <w:pStyle w:val="BodyText"/>
      </w:pPr>
      <w:r>
        <w:rPr>
          <w:rFonts w:hint="eastAsia"/>
        </w:rPr>
        <w:t xml:space="preserve">本研究により，6G向けの基板開発において，材料の誘電特性と導体特性の両者を同時に評価する方法論を確立することの重要性を実証する．特に，導体表面の微細な凹凸が実効導電率に与える周波数依存性の定量化は，次世代デバイスの低損失化設計における重要な知見を提供するものである．</w:t>
      </w:r>
    </w:p>
    <w:bookmarkEnd w:id="12"/>
    <w:bookmarkEnd w:id="13"/>
    <w:bookmarkStart w:id="29" w:name="誘電体と基板材料について"/>
    <w:p>
      <w:pPr>
        <w:pStyle w:val="Heading1"/>
      </w:pPr>
      <w:r>
        <w:rPr>
          <w:rFonts w:hint="eastAsia"/>
        </w:rPr>
        <w:t xml:space="preserve">誘電体と基板材料について</w:t>
      </w:r>
    </w:p>
    <w:bookmarkStart w:id="14" w:name="プリント基板"/>
    <w:p>
      <w:pPr>
        <w:pStyle w:val="Heading2"/>
      </w:pPr>
      <w:r>
        <w:rPr>
          <w:rFonts w:hint="eastAsia"/>
        </w:rPr>
        <w:t xml:space="preserve">プリント基板</w:t>
      </w:r>
    </w:p>
    <w:p>
      <w:pPr>
        <w:pStyle w:val="FirstParagraph"/>
      </w:pPr>
      <w:r>
        <w:rPr>
          <w:rFonts w:hint="eastAsia"/>
        </w:rPr>
        <w:t xml:space="preserve">プリント基板は現代の電子機器に欠かせない電子部品である．電子部品を搭載する絶縁基板の上に銅箔回路を形成し，抵抗器やコンデンサなどの受動素子，トランジスタなどの能動素子をマウントすることで，電子回路としての機能を発揮する．</w:t>
      </w:r>
    </w:p>
    <w:p>
      <w:pPr>
        <w:pStyle w:val="BodyText"/>
      </w:pPr>
      <w:r>
        <w:rPr>
          <w:rFonts w:hint="eastAsia"/>
        </w:rPr>
        <w:t xml:space="preserve">プリント基板は構成形式により分類される．片面基板は基板の一面に導体回路が形成されており，コスト低減が必要な大量生産品に用いられる．両面基板は基板の両面に導体回路が形成され，片面基板より高密度な配線が可能で，高集積化・高機能化に応じて発展してきた．さらに微細化・高密度実装が要求される用途では，基材内部と表層の導体回路が3層以上で構成される多層基板が用いられる．</w:t>
      </w:r>
    </w:p>
    <w:p>
      <w:pPr>
        <w:pStyle w:val="BodyText"/>
      </w:pPr>
      <w:r>
        <w:rPr>
          <w:rFonts w:hint="eastAsia"/>
        </w:rPr>
        <w:t xml:space="preserve">プリント基板を構成する誘電体中の信号伝達速度</w:t>
      </w:r>
      <m:oMath>
        <m:r>
          <m:t>v</m:t>
        </m:r>
      </m:oMath>
      <w:r>
        <w:rPr>
          <w:rFonts w:hint="eastAsia"/>
        </w:rPr>
        <w:t xml:space="preserve">は，比誘電率</w:t>
      </w:r>
      <m:oMath>
        <m:sSubSup>
          <m:e>
            <m:r>
              <m:t>ε</m:t>
            </m:r>
          </m:e>
          <m:sub>
            <m:r>
              <m:t>r</m:t>
            </m:r>
          </m:sub>
          <m:sup>
            <m:r>
              <m:rPr>
                <m:sty m:val="p"/>
              </m:rPr>
              <m:t>′</m:t>
            </m:r>
          </m:sup>
        </m:sSubSup>
      </m:oMath>
      <w:r>
        <w:rPr>
          <w:rFonts w:hint="eastAsia"/>
        </w:rPr>
        <w:t xml:space="preserve">と光速</w:t>
      </w:r>
      <m:oMath>
        <m:r>
          <m:t>c</m:t>
        </m:r>
      </m:oMath>
      <w:r>
        <w:rPr>
          <w:rFonts w:hint="eastAsia"/>
        </w:rPr>
        <w:t xml:space="preserve">の関係で表される：</w:t>
      </w:r>
    </w:p>
    <w:p>
      <w:pPr>
        <w:pStyle w:val="BodyText"/>
      </w:pPr>
      <m:oMathPara>
        <m:oMathParaPr>
          <m:jc m:val="center"/>
        </m:oMathParaPr>
        <m:oMath>
          <m:r>
            <m:t>v</m:t>
          </m:r>
          <m:r>
            <m:rPr>
              <m:sty m:val="p"/>
            </m:rPr>
            <m:t>=</m:t>
          </m:r>
          <m:f>
            <m:fPr>
              <m:type m:val="bar"/>
            </m:fPr>
            <m:num>
              <m:r>
                <m:t>c</m:t>
              </m:r>
            </m:num>
            <m:den>
              <m:rad>
                <m:radPr>
                  <m:degHide m:val="on"/>
                </m:radPr>
                <m:deg/>
                <m:e>
                  <m:sSubSup>
                    <m:e>
                      <m:r>
                        <m:t>ε</m:t>
                      </m:r>
                    </m:e>
                    <m:sub>
                      <m:r>
                        <m:t>r</m:t>
                      </m:r>
                    </m:sub>
                    <m:sup>
                      <m:r>
                        <m:rPr>
                          <m:sty m:val="p"/>
                        </m:rPr>
                        <m:t>′</m:t>
                      </m:r>
                    </m:sup>
                  </m:sSubSup>
                </m:e>
              </m:rad>
            </m:den>
          </m:f>
        </m:oMath>
      </m:oMathPara>
    </w:p>
    <w:p>
      <w:pPr>
        <w:pStyle w:val="FirstParagraph"/>
      </w:pPr>
      <w:r>
        <w:rPr>
          <w:rFonts w:hint="eastAsia"/>
        </w:rPr>
        <w:t xml:space="preserve">したがって誘電率が低いほど信号伝達速度が高まり，高速伝送に有利である．5G/6Gで用いられる30</w:t>
      </w:r>
      <w:r>
        <w:t xml:space="preserve"> </w:t>
      </w:r>
      <w:r>
        <w:rPr>
          <w:rFonts w:hint="eastAsia"/>
        </w:rPr>
        <w:t xml:space="preserve">GHz以上の周波数帯では，低誘電率材料の採用が信号の高速伝播を実現する鍵となる．</w:t>
      </w:r>
    </w:p>
    <w:bookmarkEnd w:id="14"/>
    <w:bookmarkStart w:id="24" w:name="基板材料"/>
    <w:p>
      <w:pPr>
        <w:pStyle w:val="Heading2"/>
      </w:pPr>
      <w:r>
        <w:rPr>
          <w:rFonts w:hint="eastAsia"/>
        </w:rPr>
        <w:t xml:space="preserve">基板材料</w:t>
      </w:r>
    </w:p>
    <w:p>
      <w:pPr>
        <w:pStyle w:val="FirstParagraph"/>
      </w:pPr>
      <w:r>
        <w:rPr>
          <w:rFonts w:hint="eastAsia"/>
        </w:rPr>
        <w:t xml:space="preserve">高周波基板に用いられる一般的な材料と特性を表</w:t>
      </w:r>
      <w:r>
        <w:t xml:space="preserve"> </w:t>
      </w:r>
      <w:hyperlink w:anchor="tab:substrate_materials">
        <w:r>
          <w:rPr>
            <w:rStyle w:val="Hyperlink"/>
          </w:rPr>
          <w:t xml:space="preserve">[tab:substrate_materials]</w:t>
        </w:r>
      </w:hyperlink>
      <w:r>
        <w:rPr>
          <w:rFonts w:hint="eastAsia"/>
        </w:rPr>
        <w:t xml:space="preserve">に示す．</w:t>
      </w:r>
    </w:p>
    <w:p>
      <w:pPr>
        <w:pStyle w:val="TableCaption"/>
      </w:pPr>
      <w:r>
        <w:rPr>
          <w:rFonts w:hint="eastAsia"/>
        </w:rPr>
        <w:t xml:space="preserve">高周波基板材料の特性</w:t>
      </w:r>
    </w:p>
    <w:tbl>
      <w:tblPr>
        <w:tblStyle w:val="Table"/>
        <w:tblW w:type="auto" w:w="0"/>
        <w:tblLook w:firstRow="1" w:lastRow="0" w:firstColumn="0" w:lastColumn="0" w:noHBand="0" w:noVBand="0" w:val="0020"/>
        <w:tblCaption w:val="高周波基板材料の特性"/>
      </w:tblPr>
      <w:tblGrid>
        <w:gridCol w:w="2640"/>
        <w:gridCol w:w="2640"/>
        <w:gridCol w:w="2640"/>
      </w:tblGrid>
      <w:tr>
        <w:trPr>
          <w:tblHeader w:val="on"/>
        </w:trPr>
        <w:tc>
          <w:tcPr/>
          <w:p>
            <w:pPr>
              <w:pStyle w:val="Compact"/>
              <w:jc w:val="left"/>
            </w:pPr>
            <w:r>
              <w:rPr>
                <w:rFonts w:hint="eastAsia"/>
              </w:rPr>
              <w:t xml:space="preserve">基板材料</w:t>
            </w:r>
          </w:p>
        </w:tc>
        <w:tc>
          <w:tcPr/>
          <w:p>
            <w:pPr>
              <w:pStyle w:val="Compact"/>
              <w:jc w:val="left"/>
            </w:pPr>
            <w:r>
              <w:rPr>
                <w:rFonts w:hint="eastAsia"/>
              </w:rPr>
              <w:t xml:space="preserve">比誘電率</w:t>
            </w:r>
          </w:p>
        </w:tc>
        <w:tc>
          <w:tcPr/>
          <w:p>
            <w:pPr>
              <w:pStyle w:val="Compact"/>
              <w:jc w:val="left"/>
            </w:pPr>
            <w:r>
              <w:rPr>
                <w:rFonts w:hint="eastAsia"/>
              </w:rPr>
              <w:t xml:space="preserve">用途・特徴</w:t>
            </w:r>
          </w:p>
        </w:tc>
      </w:tr>
      <w:tr>
        <w:tc>
          <w:tcPr/>
          <w:p>
            <w:pPr>
              <w:pStyle w:val="Compact"/>
              <w:jc w:val="left"/>
            </w:pPr>
            <w:r>
              <w:t xml:space="preserve">ガラスエポキシ(FR-4)</w:t>
            </w:r>
          </w:p>
        </w:tc>
        <w:tc>
          <w:tcPr/>
          <w:p>
            <w:pPr>
              <w:pStyle w:val="Compact"/>
              <w:jc w:val="left"/>
            </w:pPr>
            <w:r>
              <w:rPr>
                <w:rFonts w:hint="eastAsia"/>
              </w:rPr>
              <w:t xml:space="preserve">4.0～5.2</w:t>
            </w:r>
          </w:p>
        </w:tc>
        <w:tc>
          <w:tcPr/>
          <w:p>
            <w:pPr>
              <w:pStyle w:val="Compact"/>
              <w:jc w:val="left"/>
            </w:pPr>
            <w:r>
              <w:rPr>
                <w:rFonts w:hint="eastAsia"/>
              </w:rPr>
              <w:t xml:space="preserve">安価で強度高い．多層基板で多く採用．価格優先</w:t>
            </w:r>
          </w:p>
        </w:tc>
      </w:tr>
      <w:tr>
        <w:tc>
          <w:tcPr/>
          <w:p>
            <w:pPr>
              <w:pStyle w:val="Compact"/>
              <w:jc w:val="left"/>
            </w:pPr>
            <w:r>
              <w:t xml:space="preserve">テフロン</w:t>
            </w:r>
          </w:p>
        </w:tc>
        <w:tc>
          <w:tcPr/>
          <w:p>
            <w:pPr>
              <w:pStyle w:val="Compact"/>
              <w:jc w:val="left"/>
            </w:pPr>
            <w:r>
              <w:t xml:space="preserve">2.1</w:t>
            </w:r>
          </w:p>
        </w:tc>
        <w:tc>
          <w:tcPr/>
          <w:p>
            <w:pPr>
              <w:pStyle w:val="Compact"/>
              <w:jc w:val="left"/>
            </w:pPr>
            <w:r>
              <w:rPr>
                <w:rFonts w:hint="eastAsia"/>
              </w:rPr>
              <w:t xml:space="preserve">GHz帯で誘電率安定．</w:t>
            </w:r>
            <m:oMath>
              <m:r>
                <m:rPr>
                  <m:sty m:val="p"/>
                </m:rPr>
                <m:t>tan</m:t>
              </m:r>
              <m:r>
                <m:t>δ</m:t>
              </m:r>
            </m:oMath>
            <w:r>
              <w:rPr>
                <w:rFonts w:hint="eastAsia"/>
              </w:rPr>
              <w:t xml:space="preserve">非常に小さい．高価</w:t>
            </w:r>
          </w:p>
        </w:tc>
      </w:tr>
      <w:tr>
        <w:tc>
          <w:tcPr/>
          <w:p>
            <w:pPr>
              <w:pStyle w:val="Compact"/>
              <w:jc w:val="left"/>
            </w:pPr>
            <w:r>
              <w:t xml:space="preserve">セラミック</w:t>
            </w:r>
          </w:p>
        </w:tc>
        <w:tc>
          <w:tcPr/>
          <w:p>
            <w:pPr>
              <w:pStyle w:val="Compact"/>
              <w:jc w:val="left"/>
            </w:pPr>
            <w:r>
              <w:rPr>
                <w:rFonts w:hint="eastAsia"/>
              </w:rPr>
              <w:t xml:space="preserve">4.5～5.2</w:t>
            </w:r>
          </w:p>
        </w:tc>
        <w:tc>
          <w:tcPr/>
          <w:p>
            <w:pPr>
              <w:pStyle w:val="Compact"/>
              <w:jc w:val="left"/>
            </w:pPr>
            <w:r>
              <w:rPr>
                <w:rFonts w:hint="eastAsia"/>
              </w:rPr>
              <w:t xml:space="preserve">GHz帯で</w:t>
            </w:r>
            <m:oMath>
              <m:r>
                <m:rPr>
                  <m:sty m:val="p"/>
                </m:rPr>
                <m:t>tan</m:t>
              </m:r>
              <m:r>
                <m:t>δ</m:t>
              </m:r>
            </m:oMath>
            <w:r>
              <w:rPr>
                <w:rFonts w:hint="eastAsia"/>
              </w:rPr>
              <w:t xml:space="preserve">低く安定．放熱性高い．高価</w:t>
            </w:r>
          </w:p>
        </w:tc>
      </w:tr>
      <w:tr>
        <w:tc>
          <w:tcPr/>
          <w:p>
            <w:pPr>
              <w:pStyle w:val="Compact"/>
              <w:jc w:val="left"/>
            </w:pPr>
            <w:r>
              <w:t xml:space="preserve">フェノール</w:t>
            </w:r>
          </w:p>
        </w:tc>
        <w:tc>
          <w:tcPr/>
          <w:p>
            <w:pPr>
              <w:pStyle w:val="Compact"/>
              <w:jc w:val="left"/>
            </w:pPr>
            <w:r>
              <w:rPr>
                <w:rFonts w:hint="eastAsia"/>
              </w:rPr>
              <w:t xml:space="preserve">4.6～5.5</w:t>
            </w:r>
          </w:p>
        </w:tc>
        <w:tc>
          <w:tcPr/>
          <w:p>
            <w:pPr>
              <w:pStyle w:val="Compact"/>
              <w:jc w:val="left"/>
            </w:pPr>
            <w:r>
              <w:rPr>
                <w:rFonts w:hint="eastAsia"/>
              </w:rPr>
              <w:t xml:space="preserve">耐熱性はFR-4に劣るが低価格．生産量最大</w:t>
            </w:r>
          </w:p>
        </w:tc>
      </w:tr>
      <w:tr>
        <w:tc>
          <w:tcPr/>
          <w:p>
            <w:pPr>
              <w:pStyle w:val="Compact"/>
              <w:jc w:val="left"/>
            </w:pPr>
            <w:r>
              <w:t xml:space="preserve">ポリイミド</w:t>
            </w:r>
          </w:p>
        </w:tc>
        <w:tc>
          <w:tcPr/>
          <w:p>
            <w:pPr>
              <w:pStyle w:val="Compact"/>
              <w:jc w:val="left"/>
            </w:pPr>
            <w:r>
              <w:t xml:space="preserve">3.5</w:t>
            </w:r>
          </w:p>
        </w:tc>
        <w:tc>
          <w:tcPr/>
          <w:p>
            <w:pPr>
              <w:pStyle w:val="Compact"/>
              <w:jc w:val="left"/>
            </w:pPr>
            <w:r>
              <w:rPr>
                <w:rFonts w:hint="eastAsia"/>
              </w:rPr>
              <w:t xml:space="preserve">フレキシブル基板用．柔軟性と電気特性両立</w:t>
            </w:r>
          </w:p>
        </w:tc>
      </w:tr>
      <w:tr>
        <w:tc>
          <w:tcPr/>
          <w:p>
            <w:pPr>
              <w:pStyle w:val="Compact"/>
              <w:jc w:val="left"/>
            </w:pPr>
            <w:r>
              <w:rPr>
                <w:rFonts w:hint="eastAsia"/>
              </w:rPr>
              <w:t xml:space="preserve">低損失エポキシ</w:t>
            </w:r>
          </w:p>
        </w:tc>
        <w:tc>
          <w:tcPr/>
          <w:p>
            <w:pPr>
              <w:pStyle w:val="Compact"/>
              <w:jc w:val="left"/>
            </w:pPr>
            <w:r>
              <w:rPr>
                <w:rFonts w:hint="eastAsia"/>
              </w:rPr>
              <w:t xml:space="preserve">3.2～3.8</w:t>
            </w:r>
          </w:p>
        </w:tc>
        <w:tc>
          <w:tcPr/>
          <w:p>
            <w:pPr>
              <w:pStyle w:val="Compact"/>
              <w:jc w:val="left"/>
            </w:pPr>
            <w:r>
              <w:rPr>
                <w:rFonts w:hint="eastAsia"/>
              </w:rPr>
              <w:t xml:space="preserve">低</w:t>
            </w:r>
            <m:oMath>
              <m:r>
                <m:rPr>
                  <m:sty m:val="p"/>
                </m:rPr>
                <m:t>tan</m:t>
              </m:r>
              <m:r>
                <m:t>δ</m:t>
              </m:r>
            </m:oMath>
            <w:r>
              <w:rPr>
                <w:rFonts w:hint="eastAsia"/>
              </w:rPr>
              <w:t xml:space="preserve">で広帯域対応．MEGTRON6が代表例</w:t>
            </w:r>
          </w:p>
        </w:tc>
      </w:tr>
    </w:tbl>
    <w:p>
      <w:pPr>
        <w:pStyle w:val="BodyText"/>
      </w:pPr>
      <w:r>
        <w:rPr>
          <w:rFonts w:hint="eastAsia"/>
        </w:rPr>
        <w:t xml:space="preserve">kHz～MHz帯では安価なフェノールやFR-4が用いられるが，数十GHzの信号を扱う製品ではテフロンやセラミック等の高周波特性に優れた材料が必要とされる．しかしこれらはFR-4に比べ4倍以上高価であるため，GHz帯においてもコスト面からFR-4が広く採用されている現状にある．</w:t>
      </w:r>
    </w:p>
    <w:bookmarkStart w:id="15" w:name="低損失基板megtron6の特性"/>
    <w:p>
      <w:pPr>
        <w:pStyle w:val="Heading3"/>
      </w:pPr>
      <w:r>
        <w:rPr>
          <w:rFonts w:hint="eastAsia"/>
        </w:rPr>
        <w:t xml:space="preserve">低損失基板MEGTRON6の特性</w:t>
      </w:r>
    </w:p>
    <w:p>
      <w:pPr>
        <w:pStyle w:val="FirstParagraph"/>
      </w:pPr>
      <w:r>
        <w:rPr>
          <w:rFonts w:hint="eastAsia"/>
        </w:rPr>
        <w:t xml:space="preserve">本研究ではMEGTRON6（パナソニック製，低損失高周波基板）を測定対象とした</w:t>
      </w:r>
      <w:r>
        <w:rPr>
          <w:rFonts w:hint="eastAsia"/>
        </w:rPr>
        <w:t xml:space="preserve">．MEGTRON6は20</w:t>
      </w:r>
      <w:r>
        <w:t xml:space="preserve"> </w:t>
      </w:r>
      <w:r>
        <w:rPr>
          <w:rFonts w:hint="eastAsia"/>
        </w:rPr>
        <w:t xml:space="preserve">GHz以上での使用を想定し，従来のFR-4より大幅に誘電損失を低減している低損失エポキシ樹脂基板である．</w:t>
      </w:r>
    </w:p>
    <w:p>
      <w:pPr>
        <w:pStyle w:val="BodyText"/>
      </w:pPr>
      <w:r>
        <w:rPr>
          <w:rFonts w:hint="eastAsia"/>
        </w:rPr>
        <w:t xml:space="preserve">MEGTRON6の主な特徴は以下の通りである：</w:t>
      </w:r>
    </w:p>
    <w:p>
      <w:pPr>
        <w:numPr>
          <w:ilvl w:val="0"/>
          <w:numId w:val="1001"/>
        </w:numPr>
      </w:pPr>
      <w:r>
        <w:rPr>
          <w:rFonts w:hint="eastAsia"/>
          <w:b/>
          <w:bCs/>
        </w:rPr>
        <w:t xml:space="preserve">低誘電率</w:t>
      </w:r>
      <w:r>
        <w:rPr>
          <w:rFonts w:hint="eastAsia"/>
        </w:rPr>
        <w:t xml:space="preserve">：比誘電率</w:t>
      </w:r>
      <m:oMath>
        <m:sSubSup>
          <m:e>
            <m:r>
              <m:t>ε</m:t>
            </m:r>
          </m:e>
          <m:sub>
            <m:r>
              <m:t>r</m:t>
            </m:r>
          </m:sub>
          <m:sup>
            <m:r>
              <m:rPr>
                <m:sty m:val="p"/>
              </m:rPr>
              <m:t>′</m:t>
            </m:r>
          </m:sup>
        </m:sSubSup>
        <m:r>
          <m:rPr>
            <m:sty m:val="p"/>
          </m:rPr>
          <m:t>≈</m:t>
        </m:r>
        <m:r>
          <m:t>3.6</m:t>
        </m:r>
      </m:oMath>
      <w:r>
        <w:rPr>
          <w:rFonts w:hint="eastAsia"/>
        </w:rPr>
        <w:t xml:space="preserve">程度で，FR-4の4.0～5.2と比べて低い．これにより信号伝播速度が向上する．</w:t>
      </w:r>
    </w:p>
    <w:p>
      <w:pPr>
        <w:numPr>
          <w:ilvl w:val="0"/>
          <w:numId w:val="1001"/>
        </w:numPr>
      </w:pPr>
      <w:r>
        <w:rPr>
          <w:rFonts w:hint="eastAsia"/>
          <w:b/>
          <w:bCs/>
        </w:rPr>
        <w:t xml:space="preserve">低誘電正接</w:t>
      </w:r>
      <w:r>
        <w:rPr>
          <w:rFonts w:hint="eastAsia"/>
        </w:rPr>
        <w:t xml:space="preserve">：誘電正接</w:t>
      </w:r>
      <m:oMath>
        <m:r>
          <m:rPr>
            <m:sty m:val="p"/>
          </m:rPr>
          <m:t>tan</m:t>
        </m:r>
        <m:r>
          <m:t>δ</m:t>
        </m:r>
      </m:oMath>
      <w:r>
        <w:rPr>
          <w:rFonts w:hint="eastAsia"/>
        </w:rPr>
        <w:t xml:space="preserve">がGHz帯で</w:t>
      </w:r>
      <m:oMath>
        <m:sSup>
          <m:e>
            <m:r>
              <m:t>10</m:t>
            </m:r>
          </m:e>
          <m:sup>
            <m:r>
              <m:rPr>
                <m:sty m:val="p"/>
              </m:rPr>
              <m:t>−</m:t>
            </m:r>
            <m:r>
              <m:t>3</m:t>
            </m:r>
          </m:sup>
        </m:sSup>
      </m:oMath>
      <w:r>
        <w:rPr>
          <w:rFonts w:hint="eastAsia"/>
        </w:rPr>
        <w:t xml:space="preserve">オーダと非常に低く，誘電損失を大幅に低減．</w:t>
      </w:r>
    </w:p>
    <w:p>
      <w:pPr>
        <w:numPr>
          <w:ilvl w:val="0"/>
          <w:numId w:val="1001"/>
        </w:numPr>
      </w:pPr>
      <w:r>
        <w:rPr>
          <w:rFonts w:hint="eastAsia"/>
          <w:b/>
          <w:bCs/>
        </w:rPr>
        <w:t xml:space="preserve">広帯域対応</w:t>
      </w:r>
      <w:r>
        <w:rPr>
          <w:rFonts w:hint="eastAsia"/>
        </w:rPr>
        <w:t xml:space="preserve">：装置・材料仕様としては10</w:t>
      </w:r>
      <w:r>
        <w:t xml:space="preserve"> GHzから100 </w:t>
      </w:r>
      <w:r>
        <w:rPr>
          <w:rFonts w:hint="eastAsia"/>
        </w:rPr>
        <w:t xml:space="preserve">GHz超までの特性維持が報告されている（本稿の解析は67</w:t>
      </w:r>
      <w:r>
        <w:t xml:space="preserve"> </w:t>
      </w:r>
      <w:r>
        <w:rPr>
          <w:rFonts w:hint="eastAsia"/>
        </w:rPr>
        <w:t xml:space="preserve">GHz以下に限定）.</w:t>
      </w:r>
    </w:p>
    <w:p>
      <w:pPr>
        <w:numPr>
          <w:ilvl w:val="0"/>
          <w:numId w:val="1001"/>
        </w:numPr>
      </w:pPr>
      <w:r>
        <w:rPr>
          <w:rFonts w:hint="eastAsia"/>
          <w:b/>
          <w:bCs/>
        </w:rPr>
        <w:t xml:space="preserve">ガラス転移温度</w:t>
      </w:r>
      <w:r>
        <w:rPr>
          <w:rFonts w:hint="eastAsia"/>
        </w:rPr>
        <w:t xml:space="preserve">：高い耐熱性により多層基板の製造過程での熱ストレスに耐性．</w:t>
      </w:r>
    </w:p>
    <w:p>
      <w:pPr>
        <w:numPr>
          <w:ilvl w:val="0"/>
          <w:numId w:val="1001"/>
        </w:numPr>
      </w:pPr>
      <w:r>
        <w:rPr>
          <w:rFonts w:hint="eastAsia"/>
          <w:b/>
          <w:bCs/>
        </w:rPr>
        <w:t xml:space="preserve">加工性</w:t>
      </w:r>
      <w:r>
        <w:rPr>
          <w:rFonts w:hint="eastAsia"/>
        </w:rPr>
        <w:t xml:space="preserve">：FR-4同等の加工性を保つため，既存の製造ラインでの対応が可能．</w:t>
      </w:r>
    </w:p>
    <w:p>
      <w:pPr>
        <w:pStyle w:val="FirstParagraph"/>
      </w:pPr>
      <w:r>
        <w:rPr>
          <w:rFonts w:hint="eastAsia"/>
        </w:rPr>
        <w:t xml:space="preserve">MEGTRON6のような低損失基板は，5G/6G時代の高周波回路設計において不可欠な材料である．ただし，誘電特性の優位性があっても，導体損失（特に表面粗さに起因するもの）が見過ごされると，全体の伝送損失が期待値に達しない可能性がある．</w:t>
      </w:r>
    </w:p>
    <w:bookmarkEnd w:id="15"/>
    <w:bookmarkStart w:id="16" w:name="ミリ波帯における基板材料の伝送損失"/>
    <w:p>
      <w:pPr>
        <w:pStyle w:val="Heading3"/>
      </w:pPr>
      <w:r>
        <w:rPr>
          <w:rFonts w:hint="eastAsia"/>
        </w:rPr>
        <w:t xml:space="preserve">ミリ波帯における基板材料の伝送損失</w:t>
      </w:r>
    </w:p>
    <w:p>
      <w:pPr>
        <w:pStyle w:val="FirstParagraph"/>
      </w:pPr>
      <w:r>
        <w:rPr>
          <w:rFonts w:hint="eastAsia"/>
        </w:rPr>
        <w:t xml:space="preserve">高周波伝送線路の伝送損失</w:t>
      </w:r>
      <m:oMath>
        <m:r>
          <m:t>α</m:t>
        </m:r>
      </m:oMath>
      <w:r>
        <w:rPr>
          <w:rFonts w:hint="eastAsia"/>
        </w:rPr>
        <w:t xml:space="preserve">は以下の二つの要因で構成される</w:t>
      </w:r>
      <w:r>
        <w:rPr>
          <w:rFonts w:hint="eastAsia"/>
        </w:rPr>
        <w:t xml:space="preserve">：</w:t>
      </w:r>
    </w:p>
    <w:p>
      <w:pPr>
        <w:pStyle w:val="BodyText"/>
      </w:pPr>
      <m:oMathPara>
        <m:oMathParaPr>
          <m:jc m:val="center"/>
        </m:oMathParaPr>
        <m:oMath>
          <m:r>
            <m:t>α</m:t>
          </m:r>
          <m:r>
            <m:rPr>
              <m:sty m:val="p"/>
            </m:rPr>
            <m:t>=</m:t>
          </m:r>
          <m:sSub>
            <m:e>
              <m:r>
                <m:t>α</m:t>
              </m:r>
            </m:e>
            <m:sub>
              <m:r>
                <m:t>d</m:t>
              </m:r>
            </m:sub>
          </m:sSub>
          <m:r>
            <m:rPr>
              <m:sty m:val="p"/>
            </m:rPr>
            <m:t>+</m:t>
          </m:r>
          <m:sSub>
            <m:e>
              <m:r>
                <m:t>α</m:t>
              </m:r>
            </m:e>
            <m:sub>
              <m:r>
                <m:t>c</m:t>
              </m:r>
            </m:sub>
          </m:sSub>
        </m:oMath>
      </m:oMathPara>
    </w:p>
    <w:p>
      <w:pPr>
        <w:pStyle w:val="FirstParagraph"/>
      </w:pPr>
      <w:r>
        <w:t xml:space="preserve">ここで</w:t>
      </w:r>
      <m:oMath>
        <m:sSub>
          <m:e>
            <m:r>
              <m:t>α</m:t>
            </m:r>
          </m:e>
          <m:sub>
            <m:r>
              <m:t>d</m:t>
            </m:r>
          </m:sub>
        </m:sSub>
      </m:oMath>
      <w:r>
        <w:rPr>
          <w:rFonts w:hint="eastAsia"/>
        </w:rPr>
        <w:t xml:space="preserve">は誘電損失による減衰定数，</w:t>
      </w:r>
      <m:oMath>
        <m:sSub>
          <m:e>
            <m:r>
              <m:t>α</m:t>
            </m:r>
          </m:e>
          <m:sub>
            <m:r>
              <m:t>c</m:t>
            </m:r>
          </m:sub>
        </m:sSub>
      </m:oMath>
      <w:r>
        <w:rPr>
          <w:rFonts w:hint="eastAsia"/>
        </w:rPr>
        <w:t xml:space="preserve">は導体損失による減衰定数である．</w:t>
      </w:r>
    </w:p>
    <w:p>
      <w:pPr>
        <w:pStyle w:val="BodyText"/>
      </w:pPr>
      <w:r>
        <w:rPr>
          <w:rFonts w:hint="eastAsia"/>
          <w:b/>
          <w:bCs/>
        </w:rPr>
        <w:t xml:space="preserve">誘電損失による減衰定数</w:t>
      </w:r>
      <m:oMath>
        <m:sSub>
          <m:e>
            <m:r>
              <m:t>α</m:t>
            </m:r>
          </m:e>
          <m:sub>
            <m:r>
              <m:t>d</m:t>
            </m:r>
          </m:sub>
        </m:sSub>
      </m:oMath>
      <w:r>
        <w:rPr>
          <w:rFonts w:hint="eastAsia"/>
        </w:rPr>
        <w:t xml:space="preserve">は周波数に比例して増加し，基板材料の</w:t>
      </w:r>
      <m:oMath>
        <m:r>
          <m:rPr>
            <m:sty m:val="p"/>
          </m:rPr>
          <m:t>tan</m:t>
        </m:r>
        <m:r>
          <m:t>δ</m:t>
        </m:r>
      </m:oMath>
      <w:r>
        <w:rPr>
          <w:rFonts w:hint="eastAsia"/>
        </w:rPr>
        <w:t xml:space="preserve">と周波数に強く依存する．一方，</w:t>
      </w:r>
      <w:r>
        <w:rPr>
          <w:rFonts w:hint="eastAsia"/>
          <w:b/>
          <w:bCs/>
        </w:rPr>
        <w:t xml:space="preserve">導体損失による減衰定数</w:t>
      </w:r>
      <m:oMath>
        <m:sSub>
          <m:e>
            <m:r>
              <m:t>α</m:t>
            </m:r>
          </m:e>
          <m:sub>
            <m:r>
              <m:t>c</m:t>
            </m:r>
          </m:sub>
        </m:sSub>
      </m:oMath>
      <w:r>
        <w:rPr>
          <w:rFonts w:hint="eastAsia"/>
        </w:rPr>
        <w:t xml:space="preserve">は周波数の平方根に比例して増加する：</w:t>
      </w:r>
    </w:p>
    <w:p>
      <w:pPr>
        <w:pStyle w:val="BodyText"/>
      </w:pPr>
      <m:oMathPara>
        <m:oMathParaPr>
          <m:jc m:val="center"/>
        </m:oMathParaPr>
        <m:oMath>
          <m:sSub>
            <m:e>
              <m:r>
                <m:t>α</m:t>
              </m:r>
            </m:e>
            <m:sub>
              <m:r>
                <m:t>c</m:t>
              </m:r>
            </m:sub>
          </m:sSub>
          <m:r>
            <m:rPr>
              <m:sty m:val="p"/>
            </m:rPr>
            <m:t>∝</m:t>
          </m:r>
          <m:rad>
            <m:radPr>
              <m:degHide m:val="on"/>
            </m:radPr>
            <m:deg/>
            <m:e>
              <m:r>
                <m:t>f</m:t>
              </m:r>
            </m:e>
          </m:rad>
        </m:oMath>
      </m:oMathPara>
    </w:p>
    <w:p>
      <w:pPr>
        <w:pStyle w:val="FirstParagraph"/>
      </w:pPr>
      <w:r>
        <w:rPr>
          <w:rFonts w:hint="eastAsia"/>
        </w:rPr>
        <w:t xml:space="preserve">周波数が100</w:t>
      </w:r>
      <w:r>
        <w:t xml:space="preserve"> </w:t>
      </w:r>
      <w:r>
        <w:rPr>
          <w:rFonts w:hint="eastAsia"/>
        </w:rPr>
        <w:t xml:space="preserve">GHzを超える高周波帯では，誘電損失が支配的になるように見えるが，導体の表面粗さがある場合，その影響が顕著に現れ始める．これは，表面粗さがある導体表面では，電流が迂回路を強制され，実効的な抵抗が増加するためである．</w:t>
      </w:r>
    </w:p>
    <w:bookmarkEnd w:id="16"/>
    <w:bookmarkStart w:id="17" w:name="導体表面粗さの周波数依存効果"/>
    <w:p>
      <w:pPr>
        <w:pStyle w:val="Heading3"/>
      </w:pPr>
      <w:r>
        <w:rPr>
          <w:rFonts w:hint="eastAsia"/>
        </w:rPr>
        <w:t xml:space="preserve">導体表面粗さの周波数依存効果</w:t>
      </w:r>
    </w:p>
    <w:p>
      <w:pPr>
        <w:pStyle w:val="FirstParagraph"/>
      </w:pPr>
      <w:r>
        <w:rPr>
          <w:rFonts w:hint="eastAsia"/>
        </w:rPr>
        <w:t xml:space="preserve">銅箔表面の粗さは，従来の触針式粗さ計では最大高さ粗さRz（DIN規格の最大高さ）や10点平均粗さRzjisで評価されてきた</w:t>
      </w:r>
      <w:r>
        <w:rPr>
          <w:rFonts w:hint="eastAsia"/>
        </w:rPr>
        <w:t xml:space="preserve">．しかし高周波帯では，微細な凹凸が信号伝播に与える影響がより重要になる．</w:t>
      </w:r>
    </w:p>
    <w:p>
      <w:pPr>
        <w:pStyle w:val="BodyText"/>
      </w:pPr>
      <w:r>
        <w:rPr>
          <w:rFonts w:hint="eastAsia"/>
        </w:rPr>
        <w:t xml:space="preserve">表皮深さと表面粗さの相対関係が重要である：</w:t>
      </w:r>
    </w:p>
    <w:p>
      <w:pPr>
        <w:numPr>
          <w:ilvl w:val="0"/>
          <w:numId w:val="1002"/>
        </w:numPr>
      </w:pPr>
      <w:r>
        <w:rPr>
          <w:rFonts w:hint="eastAsia"/>
          <w:b/>
          <w:bCs/>
        </w:rPr>
        <w:t xml:space="preserve">表皮深さ</w:t>
      </w:r>
      <w:r>
        <w:rPr>
          <w:b/>
          <w:bCs/>
        </w:rPr>
        <w:t xml:space="preserve"> &gt;&gt; </w:t>
      </w:r>
      <w:r>
        <w:rPr>
          <w:rFonts w:hint="eastAsia"/>
          <w:b/>
          <w:bCs/>
        </w:rPr>
        <w:t xml:space="preserve">表面粗さ</w:t>
      </w:r>
      <w:r>
        <w:rPr>
          <w:rFonts w:hint="eastAsia"/>
        </w:rPr>
        <w:t xml:space="preserve">：表面粗さの影響は無視できる．</w:t>
      </w:r>
    </w:p>
    <w:p>
      <w:pPr>
        <w:numPr>
          <w:ilvl w:val="0"/>
          <w:numId w:val="1002"/>
        </w:numPr>
      </w:pPr>
      <w:r>
        <w:rPr>
          <w:rFonts w:hint="eastAsia"/>
          <w:b/>
          <w:bCs/>
        </w:rPr>
        <w:t xml:space="preserve">表皮深さ</w:t>
      </w:r>
      <w:r>
        <w:rPr>
          <w:b/>
          <w:bCs/>
        </w:rPr>
        <w:t xml:space="preserve"> </w:t>
      </w:r>
      <m:oMath>
        <m:r>
          <m:rPr>
            <m:sty m:val="p"/>
          </m:rPr>
          <m:t>∼</m:t>
        </m:r>
      </m:oMath>
      <w:r>
        <w:rPr>
          <w:b/>
          <w:bCs/>
        </w:rPr>
        <w:t xml:space="preserve"> </w:t>
      </w:r>
      <w:r>
        <w:rPr>
          <w:rFonts w:hint="eastAsia"/>
          <w:b/>
          <w:bCs/>
        </w:rPr>
        <w:t xml:space="preserve">表面粗さ</w:t>
      </w:r>
      <w:r>
        <w:rPr>
          <w:rFonts w:hint="eastAsia"/>
        </w:rPr>
        <w:t xml:space="preserve">：表面粗さが実効抵抗を大きく増加させる（critical</w:t>
      </w:r>
      <w:r>
        <w:t xml:space="preserve"> </w:t>
      </w:r>
      <w:r>
        <w:rPr>
          <w:rFonts w:hint="eastAsia"/>
        </w:rPr>
        <w:t xml:space="preserve">regime）．</w:t>
      </w:r>
    </w:p>
    <w:p>
      <w:pPr>
        <w:numPr>
          <w:ilvl w:val="0"/>
          <w:numId w:val="1002"/>
        </w:numPr>
      </w:pPr>
      <w:r>
        <w:rPr>
          <w:rFonts w:hint="eastAsia"/>
          <w:b/>
          <w:bCs/>
        </w:rPr>
        <w:t xml:space="preserve">表皮深さ</w:t>
      </w:r>
      <w:r>
        <w:rPr>
          <w:b/>
          <w:bCs/>
        </w:rPr>
        <w:t xml:space="preserve"> &lt;&lt; </w:t>
      </w:r>
      <w:r>
        <w:rPr>
          <w:rFonts w:hint="eastAsia"/>
          <w:b/>
          <w:bCs/>
        </w:rPr>
        <w:t xml:space="preserve">表面粗さ</w:t>
      </w:r>
      <w:r>
        <w:rPr>
          <w:rFonts w:hint="eastAsia"/>
        </w:rPr>
        <w:t xml:space="preserve">：表面粗さの詳細な形状が支配的になる．</w:t>
      </w:r>
    </w:p>
    <w:p>
      <w:pPr>
        <w:pStyle w:val="FirstParagraph"/>
      </w:pPr>
      <w:r>
        <w:rPr>
          <w:rFonts w:hint="eastAsia"/>
        </w:rPr>
        <w:t xml:space="preserve">本研究では，100</w:t>
      </w:r>
      <w:r>
        <w:t xml:space="preserve"> GHz–300 </w:t>
      </w:r>
      <w:r>
        <w:rPr>
          <w:rFonts w:hint="eastAsia"/>
        </w:rPr>
        <w:t xml:space="preserve">GHz）では，表皮深さが0.1</w:t>
      </w:r>
      <w:r>
        <w:t xml:space="preserve"> </w:t>
      </w:r>
      <w:r>
        <w:rPr>
          <w:rFonts w:hint="eastAsia"/>
        </w:rPr>
        <w:t xml:space="preserve">μmオーダに達するため，サブミクロンの凹凸でさえも無視できない影響を与える</w:t>
      </w:r>
      <w:r>
        <w:rPr>
          <w:rFonts w:hint="eastAsia"/>
        </w:rPr>
        <w:t xml:space="preserve">．このため，高周波基板用銅箔には，従来の化学的粗化ではなく，より平滑な表面を持つ低プロファイル銅箔や，特殊な表面処理が施された製品が採用され始めている</w:t>
      </w:r>
      <w:r>
        <w:rPr>
          <w:rFonts w:hint="eastAsia"/>
        </w:rPr>
        <w:t xml:space="preserve">．</w:t>
      </w:r>
    </w:p>
    <w:bookmarkEnd w:id="17"/>
    <w:bookmarkStart w:id="18" w:name="高周波用銅箔の表面処理技術"/>
    <w:p>
      <w:pPr>
        <w:pStyle w:val="Heading3"/>
      </w:pPr>
      <w:r>
        <w:rPr>
          <w:rFonts w:hint="eastAsia"/>
        </w:rPr>
        <w:t xml:space="preserve">高周波用銅箔の表面処理技術</w:t>
      </w:r>
    </w:p>
    <w:p>
      <w:pPr>
        <w:pStyle w:val="FirstParagraph"/>
      </w:pPr>
      <w:r>
        <w:rPr>
          <w:rFonts w:hint="eastAsia"/>
        </w:rPr>
        <w:t xml:space="preserve">従来のプリント基板では，銅箔と誘電体の接着性を確保するため，化学的粗化（chemical</w:t>
      </w:r>
      <w:r>
        <w:t xml:space="preserve"> </w:t>
      </w:r>
      <w:r>
        <w:rPr>
          <w:rFonts w:hint="eastAsia"/>
        </w:rPr>
        <w:t xml:space="preserve">roughening）により銅箔表面を意図的に凹凸させてきた．しかし，高周波帯ではこの粗化された表面が導体損失を増加させる．</w:t>
      </w:r>
    </w:p>
    <w:p>
      <w:pPr>
        <w:pStyle w:val="BodyText"/>
      </w:pPr>
      <w:r>
        <w:rPr>
          <w:rFonts w:hint="eastAsia"/>
        </w:rPr>
        <w:t xml:space="preserve">近年開発された高周波基板向けの表面処理技術には以下のようなものがある：</w:t>
      </w:r>
    </w:p>
    <w:p>
      <w:pPr>
        <w:numPr>
          <w:ilvl w:val="0"/>
          <w:numId w:val="1003"/>
        </w:numPr>
      </w:pPr>
      <w:r>
        <w:rPr>
          <w:rFonts w:hint="eastAsia"/>
          <w:b/>
          <w:bCs/>
        </w:rPr>
        <w:t xml:space="preserve">低プロファイル（LP）銅箔</w:t>
      </w:r>
      <w:r>
        <w:rPr>
          <w:rFonts w:hint="eastAsia"/>
        </w:rPr>
        <w:t xml:space="preserve">：粗さRzjis</w:t>
      </w:r>
      <w:r>
        <w:t xml:space="preserve"> </w:t>
      </w:r>
      <m:oMath>
        <m:r>
          <m:rPr>
            <m:sty m:val="p"/>
          </m:rPr>
          <m:t>≤</m:t>
        </m:r>
      </m:oMath>
      <w:r>
        <w:t xml:space="preserve"> </w:t>
      </w:r>
      <w:r>
        <w:t xml:space="preserve">2.5 </w:t>
      </w:r>
      <m:oMath>
        <m:r>
          <m:t>μ</m:t>
        </m:r>
      </m:oMath>
      <w:r>
        <w:rPr>
          <w:rFonts w:hint="eastAsia"/>
        </w:rPr>
        <w:t xml:space="preserve">mに抑制</w:t>
      </w:r>
      <w:r>
        <w:rPr>
          <w:rFonts w:hint="eastAsia"/>
        </w:rPr>
        <w:t xml:space="preserve">．</w:t>
      </w:r>
    </w:p>
    <w:p>
      <w:pPr>
        <w:numPr>
          <w:ilvl w:val="0"/>
          <w:numId w:val="1003"/>
        </w:numPr>
      </w:pPr>
      <w:r>
        <w:rPr>
          <w:rFonts w:hint="eastAsia"/>
          <w:b/>
          <w:bCs/>
        </w:rPr>
        <w:t xml:space="preserve">超低プロファイル（ULP）銅箔</w:t>
      </w:r>
      <w:r>
        <w:rPr>
          <w:rFonts w:hint="eastAsia"/>
        </w:rPr>
        <w:t xml:space="preserve">：さらに小さい粗さでの供給が進んでいる（規格・実測値は</w:t>
      </w:r>
      <w:r>
        <w:t xml:space="preserve"> Fukuda </w:t>
      </w:r>
      <w:r>
        <w:rPr>
          <w:rFonts w:hint="eastAsia"/>
        </w:rPr>
        <w:t xml:space="preserve">ら参照）</w:t>
      </w:r>
      <w:r>
        <w:rPr>
          <w:rFonts w:hint="eastAsia"/>
        </w:rPr>
        <w:t xml:space="preserve">．</w:t>
      </w:r>
    </w:p>
    <w:p>
      <w:pPr>
        <w:numPr>
          <w:ilvl w:val="0"/>
          <w:numId w:val="1003"/>
        </w:numPr>
      </w:pPr>
      <w:r>
        <w:rPr>
          <w:rFonts w:hint="eastAsia"/>
          <w:b/>
          <w:bCs/>
        </w:rPr>
        <w:t xml:space="preserve">フラットボンディング（FB）処理</w:t>
      </w:r>
      <w:r>
        <w:rPr>
          <w:rFonts w:hint="eastAsia"/>
        </w:rPr>
        <w:t xml:space="preserve">：錫合金と偶合層を形成し，約0.1</w:t>
      </w:r>
      <w:r>
        <w:t xml:space="preserve"> </w:t>
      </w:r>
      <m:oMath>
        <m:r>
          <m:t>μ</m:t>
        </m:r>
      </m:oMath>
      <w:r>
        <w:rPr>
          <w:rFonts w:hint="eastAsia"/>
        </w:rPr>
        <w:t xml:space="preserve">mの平滑な表面を実現しつつ接着性を確保する手法</w:t>
      </w:r>
      <w:r>
        <w:rPr>
          <w:rFonts w:hint="eastAsia"/>
        </w:rPr>
        <w:t xml:space="preserve">．</w:t>
      </w:r>
    </w:p>
    <w:p>
      <w:pPr>
        <w:numPr>
          <w:ilvl w:val="0"/>
          <w:numId w:val="1003"/>
        </w:numPr>
      </w:pPr>
      <w:r>
        <w:rPr>
          <w:rFonts w:hint="eastAsia"/>
          <w:b/>
          <w:bCs/>
        </w:rPr>
        <w:t xml:space="preserve">ニッケルレス金めっき</w:t>
      </w:r>
      <w:r>
        <w:rPr>
          <w:rFonts w:hint="eastAsia"/>
        </w:rPr>
        <w:t xml:space="preserve">：パラジウム層を介して金めっきすることで，表皮深さ領域で下地のニッケル（高抵抗）の影響を低減し，30</w:t>
      </w:r>
      <w:r>
        <w:t xml:space="preserve"> </w:t>
      </w:r>
      <w:r>
        <w:rPr>
          <w:rFonts w:hint="eastAsia"/>
        </w:rPr>
        <w:t xml:space="preserve">GHz付近での伝送損失を改善する処理が報告されている</w:t>
      </w:r>
      <w:r>
        <w:rPr>
          <w:rFonts w:hint="eastAsia"/>
        </w:rPr>
        <w:t xml:space="preserve">．</w:t>
      </w:r>
    </w:p>
    <w:p>
      <w:pPr>
        <w:pStyle w:val="FirstParagraph"/>
      </w:pPr>
      <w:r>
        <w:rPr>
          <w:rFonts w:hint="eastAsia"/>
        </w:rPr>
        <w:t xml:space="preserve">上述の実装技術は実測でも伝送損失の低減に寄与することが示されており，特に30</w:t>
      </w:r>
      <w:r>
        <w:t xml:space="preserve"> </w:t>
      </w:r>
      <w:r>
        <w:rPr>
          <w:rFonts w:hint="eastAsia"/>
        </w:rPr>
        <w:t xml:space="preserve">GHz以上の帯域で従来の粗化銅箔に比べて有意な改善が確認されている（参考:</w:t>
      </w:r>
      <w:r>
        <w:t xml:space="preserve"> Fukuda, Kido, </w:t>
      </w:r>
      <w:r>
        <w:rPr>
          <w:rFonts w:hint="eastAsia"/>
        </w:rPr>
        <w:t xml:space="preserve">OTR235）</w:t>
      </w:r>
      <w:r>
        <w:rPr>
          <w:rFonts w:hint="eastAsia"/>
        </w:rPr>
        <w:t xml:space="preserve">．表面粗さの直接評価には共焦点レーザー顕微鏡やAFMが有効であり，粗さ指標（Rzjis,</w:t>
      </w:r>
      <w:r>
        <w:t xml:space="preserve"> Sa, </w:t>
      </w:r>
      <w:r>
        <w:rPr>
          <w:rFonts w:hint="eastAsia"/>
        </w:rPr>
        <w:t xml:space="preserve">Rq）と伝送損失の相関を併記することが望ましい（測定手法の例:</w:t>
      </w:r>
      <w:r>
        <w:t xml:space="preserve"> Fukuda, </w:t>
      </w:r>
      <w:r>
        <w:rPr>
          <w:rFonts w:hint="eastAsia"/>
        </w:rPr>
        <w:t xml:space="preserve">Nakata）</w:t>
      </w:r>
      <w:r>
        <w:rPr>
          <w:rFonts w:hint="eastAsia"/>
        </w:rPr>
        <w:t xml:space="preserve">．</w:t>
      </w:r>
    </w:p>
    <w:bookmarkEnd w:id="18"/>
    <w:bookmarkStart w:id="19" w:name="誘電体の定義"/>
    <w:p>
      <w:pPr>
        <w:pStyle w:val="Heading3"/>
      </w:pPr>
      <w:r>
        <w:rPr>
          <w:rFonts w:hint="eastAsia"/>
        </w:rPr>
        <w:t xml:space="preserve">誘電体の定義</w:t>
      </w:r>
    </w:p>
    <w:p>
      <w:pPr>
        <w:pStyle w:val="FirstParagraph"/>
      </w:pPr>
      <w:r>
        <w:rPr>
          <w:rFonts w:hint="eastAsia"/>
        </w:rPr>
        <w:t xml:space="preserve">誘電体とは，外部電界が印加されたときにエネルギーを蓄積できる材料である．誘電体の分極しやすさを定量的に示すのが誘電率</w:t>
      </w:r>
      <m:oMath>
        <m:r>
          <m:t>ε</m:t>
        </m:r>
      </m:oMath>
      <w:r>
        <w:rPr>
          <w:rFonts w:hint="eastAsia"/>
        </w:rPr>
        <w:t xml:space="preserve">である．</w:t>
      </w:r>
    </w:p>
    <w:bookmarkEnd w:id="19"/>
    <w:bookmarkStart w:id="20" w:name="誘電体の電気的特性"/>
    <w:p>
      <w:pPr>
        <w:pStyle w:val="Heading3"/>
      </w:pPr>
      <w:r>
        <w:rPr>
          <w:rFonts w:hint="eastAsia"/>
        </w:rPr>
        <w:t xml:space="preserve">誘電体の電気的特性</w:t>
      </w:r>
    </w:p>
    <w:p>
      <w:pPr>
        <w:pStyle w:val="FirstParagraph"/>
      </w:pPr>
      <w:r>
        <w:rPr>
          <w:rFonts w:hint="eastAsia"/>
        </w:rPr>
        <w:t xml:space="preserve">誘電体の電気的特性は，誘電分極と誘電損失により特徴づけられる．外部電界が印加されると，材料を構成する原子核や陽イオン，電子は元の位置からわずかに変位し，物質内に多数の微小電気双極子が発生する．この現象が誘電分極である．</w:t>
      </w:r>
    </w:p>
    <w:bookmarkEnd w:id="20"/>
    <w:bookmarkStart w:id="21" w:name="誘電分極"/>
    <w:p>
      <w:pPr>
        <w:pStyle w:val="Heading3"/>
      </w:pPr>
      <w:r>
        <w:rPr>
          <w:rFonts w:hint="eastAsia"/>
        </w:rPr>
        <w:t xml:space="preserve">誘電分極</w:t>
      </w:r>
    </w:p>
    <w:p>
      <w:pPr>
        <w:pStyle w:val="FirstParagraph"/>
      </w:pPr>
      <w:r>
        <w:rPr>
          <w:rFonts w:hint="eastAsia"/>
        </w:rPr>
        <w:t xml:space="preserve">双極子動きには慣性があるため，印加電圧の周波数が高くなると分極の種類によっては変化に追随できなくなる．このため誘電率が周波数によって変化する「誘電分散」が生じる．</w:t>
      </w:r>
    </w:p>
    <w:p>
      <w:pPr>
        <w:pStyle w:val="BodyText"/>
      </w:pPr>
      <w:r>
        <w:rPr>
          <w:rFonts w:hint="eastAsia"/>
        </w:rPr>
        <w:t xml:space="preserve">一般に三種類の分極が存在する：</w:t>
      </w:r>
    </w:p>
    <w:p>
      <w:pPr>
        <w:numPr>
          <w:ilvl w:val="0"/>
          <w:numId w:val="1004"/>
        </w:numPr>
      </w:pPr>
      <w:r>
        <w:rPr>
          <w:rFonts w:hint="eastAsia"/>
          <w:b/>
          <w:bCs/>
        </w:rPr>
        <w:t xml:space="preserve">電子分極</w:t>
      </w:r>
      <w:r>
        <w:rPr>
          <w:rFonts w:hint="eastAsia"/>
        </w:rPr>
        <w:t xml:space="preserve">：原子核の相対的変位により生じる．赤外線領域程度の周波数まで寄与．</w:t>
      </w:r>
    </w:p>
    <w:p>
      <w:pPr>
        <w:numPr>
          <w:ilvl w:val="0"/>
          <w:numId w:val="1004"/>
        </w:numPr>
      </w:pPr>
      <w:r>
        <w:rPr>
          <w:rFonts w:hint="eastAsia"/>
          <w:b/>
          <w:bCs/>
        </w:rPr>
        <w:t xml:space="preserve">イオン分極</w:t>
      </w:r>
      <w:r>
        <w:rPr>
          <w:rFonts w:hint="eastAsia"/>
        </w:rPr>
        <w:t xml:space="preserve">：正負イオンの相対的変位により生じる．赤外線領域程度の周波数まで寄与．</w:t>
      </w:r>
    </w:p>
    <w:p>
      <w:pPr>
        <w:numPr>
          <w:ilvl w:val="0"/>
          <w:numId w:val="1004"/>
        </w:numPr>
      </w:pPr>
      <w:r>
        <w:rPr>
          <w:rFonts w:hint="eastAsia"/>
          <w:b/>
          <w:bCs/>
        </w:rPr>
        <w:t xml:space="preserve">双極子分極（配向分極）</w:t>
      </w:r>
      <w:r>
        <w:rPr>
          <w:rFonts w:hint="eastAsia"/>
        </w:rPr>
        <w:t xml:space="preserve">：永久双極子が外部電界に配向することにより生じる．マイクロ波領域程度の周波数まで寄与．</w:t>
      </w:r>
    </w:p>
    <w:p>
      <w:pPr>
        <w:pStyle w:val="FirstParagraph"/>
      </w:pPr>
      <w:r>
        <w:rPr>
          <w:rFonts w:hint="eastAsia"/>
        </w:rPr>
        <w:t xml:space="preserve">周波数の上昇に伴い，双極子はマイクロ波領域程度までしか追随できず，イオン分極も赤外線領域程度までの寄与にとどまる．紫外線領域では電子分極も寄与しなくなり，全体として誘電率は周波数とともに低下する傾向を示す．</w:t>
      </w:r>
    </w:p>
    <w:bookmarkEnd w:id="21"/>
    <w:bookmarkStart w:id="22" w:name="複素誘電率"/>
    <w:p>
      <w:pPr>
        <w:pStyle w:val="Heading3"/>
      </w:pPr>
      <w:r>
        <w:rPr>
          <w:rFonts w:hint="eastAsia"/>
        </w:rPr>
        <w:t xml:space="preserve">複素誘電率</w:t>
      </w:r>
    </w:p>
    <w:p>
      <w:pPr>
        <w:pStyle w:val="FirstParagraph"/>
      </w:pPr>
      <w:r>
        <w:rPr>
          <w:rFonts w:hint="eastAsia"/>
        </w:rPr>
        <w:t xml:space="preserve">交流電界が印加されたとき，誘電体内の双極子は周期的に向きを変えるが，この変化は電界変化に対して時間遅れを伴う．この遅れを位相角</w:t>
      </w:r>
      <m:oMath>
        <m:r>
          <m:t>δ</m:t>
        </m:r>
      </m:oMath>
      <w:r>
        <w:rPr>
          <w:rFonts w:hint="eastAsia"/>
        </w:rPr>
        <w:t xml:space="preserve">で表すと，誘電率</w:t>
      </w:r>
      <m:oMath>
        <m:r>
          <m:t>ε</m:t>
        </m:r>
      </m:oMath>
      <w:r>
        <w:rPr>
          <w:rFonts w:hint="eastAsia"/>
        </w:rPr>
        <w:t xml:space="preserve">は複素数で表現される：</w:t>
      </w:r>
    </w:p>
    <w:p>
      <w:pPr>
        <w:pStyle w:val="BodyText"/>
      </w:pPr>
      <m:oMathPara>
        <m:oMathParaPr>
          <m:jc m:val="center"/>
        </m:oMathParaPr>
        <m:oMath>
          <m:acc>
            <m:accPr>
              <m:chr m:val="̇"/>
            </m:accPr>
            <m:e>
              <m:r>
                <m:t>ε</m:t>
              </m:r>
            </m:e>
          </m:acc>
          <m:r>
            <m:rPr>
              <m:sty m:val="p"/>
            </m:rPr>
            <m:t>=</m:t>
          </m:r>
          <m:sSup>
            <m:e>
              <m:r>
                <m:t>ε</m:t>
              </m:r>
            </m:e>
            <m:sup>
              <m:r>
                <m:rPr>
                  <m:sty m:val="p"/>
                </m:rPr>
                <m:t>′</m:t>
              </m:r>
            </m:sup>
          </m:sSup>
          <m:r>
            <m:rPr>
              <m:sty m:val="p"/>
            </m:rPr>
            <m:t>−</m:t>
          </m:r>
          <m:acc>
            <m:accPr>
              <m:chr m:val="̇"/>
            </m:accPr>
            <m:e>
              <m:r>
                <m:t>ȷ</m:t>
              </m:r>
            </m:e>
          </m:acc>
          <m:sSup>
            <m:e>
              <m:r>
                <m:t>ε</m:t>
              </m:r>
            </m:e>
            <m:sup>
              <m:r>
                <m:rPr>
                  <m:sty m:val="p"/>
                </m:rPr>
                <m:t>″</m:t>
              </m:r>
            </m:sup>
          </m:sSup>
          <m:r>
            <m:rPr>
              <m:sty m:val="p"/>
            </m:rPr>
            <m:t>=</m:t>
          </m:r>
          <m:sSub>
            <m:e>
              <m:r>
                <m:t>ε</m:t>
              </m:r>
            </m:e>
            <m:sub>
              <m:r>
                <m:t>0</m:t>
              </m:r>
            </m:sub>
          </m:sSub>
          <m:sSubSup>
            <m:e>
              <m:r>
                <m:t>ε</m:t>
              </m:r>
            </m:e>
            <m:sub>
              <m:r>
                <m:t>r</m:t>
              </m:r>
            </m:sub>
            <m:sup>
              <m:r>
                <m:rPr>
                  <m:sty m:val="p"/>
                </m:rPr>
                <m:t>′</m:t>
              </m:r>
            </m:sup>
          </m:sSubSup>
          <m:r>
            <m:rPr>
              <m:sty m:val="p"/>
            </m:rPr>
            <m:t>(</m:t>
          </m:r>
          <m:r>
            <m:t>1</m:t>
          </m:r>
          <m:r>
            <m:rPr>
              <m:sty m:val="p"/>
            </m:rPr>
            <m:t>−</m:t>
          </m:r>
          <m:acc>
            <m:accPr>
              <m:chr m:val="̇"/>
            </m:accPr>
            <m:e>
              <m:r>
                <m:t>ȷ</m:t>
              </m:r>
            </m:e>
          </m:acc>
          <m:r>
            <m:rPr>
              <m:sty m:val="p"/>
            </m:rPr>
            <m:t>tan</m:t>
          </m:r>
          <m:r>
            <m:t>δ</m:t>
          </m:r>
          <m:r>
            <m:rPr>
              <m:sty m:val="p"/>
            </m:rPr>
            <m:t>)</m:t>
          </m:r>
        </m:oMath>
      </m:oMathPara>
    </w:p>
    <w:p>
      <w:pPr>
        <w:pStyle w:val="FirstParagraph"/>
      </w:pPr>
      <w:r>
        <w:t xml:space="preserve">ここで</w:t>
      </w:r>
      <m:oMath>
        <m:sSub>
          <m:e>
            <m:r>
              <m:t>ε</m:t>
            </m:r>
          </m:e>
          <m:sub>
            <m:r>
              <m:t>0</m:t>
            </m:r>
          </m:sub>
        </m:sSub>
      </m:oMath>
      <w:r>
        <w:rPr>
          <w:rFonts w:hint="eastAsia"/>
        </w:rPr>
        <w:t xml:space="preserve">は真空の誘電率，</w:t>
      </w:r>
      <m:oMath>
        <m:sSup>
          <m:e>
            <m:r>
              <m:t>ε</m:t>
            </m:r>
          </m:e>
          <m:sup>
            <m:r>
              <m:rPr>
                <m:sty m:val="p"/>
              </m:rPr>
              <m:t>′</m:t>
            </m:r>
          </m:sup>
        </m:sSup>
      </m:oMath>
      <w:r>
        <w:rPr>
          <w:rFonts w:hint="eastAsia"/>
        </w:rPr>
        <w:t xml:space="preserve">は比誘電率（実部，エネルギー蓄積に関連），</w:t>
      </w:r>
      <m:oMath>
        <m:sSup>
          <m:e>
            <m:r>
              <m:t>ε</m:t>
            </m:r>
          </m:e>
          <m:sup>
            <m:r>
              <m:rPr>
                <m:sty m:val="p"/>
              </m:rPr>
              <m:t>″</m:t>
            </m:r>
          </m:sup>
        </m:sSup>
      </m:oMath>
      <w:r>
        <w:rPr>
          <w:rFonts w:hint="eastAsia"/>
        </w:rPr>
        <w:t xml:space="preserve">は誘電損失（虚部，エネルギー散逸に関連）である．</w:t>
      </w:r>
    </w:p>
    <w:bookmarkEnd w:id="22"/>
    <w:bookmarkStart w:id="23" w:name="誘電損失と誘電正接"/>
    <w:p>
      <w:pPr>
        <w:pStyle w:val="Heading3"/>
      </w:pPr>
      <w:r>
        <w:rPr>
          <w:rFonts w:hint="eastAsia"/>
        </w:rPr>
        <w:t xml:space="preserve">誘電損失と誘電正接</w:t>
      </w:r>
    </w:p>
    <w:p>
      <w:pPr>
        <w:pStyle w:val="FirstParagraph"/>
      </w:pPr>
      <w:r>
        <w:rPr>
          <w:rFonts w:hint="eastAsia"/>
        </w:rPr>
        <w:t xml:space="preserve">双極子が交流電界から受け取ったエネルギーの一部は，分極に伴う運動により熱エネルギーとして消費される．この損失の大きさを直接表す量が誘電損失</w:t>
      </w:r>
      <m:oMath>
        <m:sSup>
          <m:e>
            <m:r>
              <m:t>ε</m:t>
            </m:r>
          </m:e>
          <m:sup>
            <m:r>
              <m:rPr>
                <m:sty m:val="p"/>
              </m:rPr>
              <m:t>″</m:t>
            </m:r>
          </m:sup>
        </m:sSup>
      </m:oMath>
      <w:r>
        <w:rPr>
          <w:rFonts w:hint="eastAsia"/>
        </w:rPr>
        <w:t xml:space="preserve">である．</w:t>
      </w:r>
    </w:p>
    <w:p>
      <w:pPr>
        <w:pStyle w:val="BodyText"/>
      </w:pPr>
      <w:r>
        <w:rPr>
          <w:rFonts w:hint="eastAsia"/>
        </w:rPr>
        <w:t xml:space="preserve">複素誘電率の実部と虚部の比を「誘電正接」と呼び，次式で定義される：</w:t>
      </w:r>
    </w:p>
    <w:p>
      <w:pPr>
        <w:pStyle w:val="BodyText"/>
      </w:pPr>
      <m:oMathPara>
        <m:oMathParaPr>
          <m:jc m:val="center"/>
        </m:oMathParaPr>
        <m:oMath>
          <m:r>
            <m:rPr>
              <m:sty m:val="p"/>
            </m:rPr>
            <m:t>tan</m:t>
          </m:r>
          <m:r>
            <m:t>δ</m:t>
          </m:r>
          <m:r>
            <m:rPr>
              <m:sty m:val="p"/>
            </m:rPr>
            <m:t>=</m:t>
          </m:r>
          <m:f>
            <m:fPr>
              <m:type m:val="bar"/>
            </m:fPr>
            <m:num>
              <m:sSup>
                <m:e>
                  <m:r>
                    <m:t>ε</m:t>
                  </m:r>
                </m:e>
                <m:sup>
                  <m:r>
                    <m:rPr>
                      <m:sty m:val="p"/>
                    </m:rPr>
                    <m:t>″</m:t>
                  </m:r>
                </m:sup>
              </m:sSup>
            </m:num>
            <m:den>
              <m:sSup>
                <m:e>
                  <m:r>
                    <m:t>ε</m:t>
                  </m:r>
                </m:e>
                <m:sup>
                  <m:r>
                    <m:rPr>
                      <m:sty m:val="p"/>
                    </m:rPr>
                    <m:t>′</m:t>
                  </m:r>
                </m:sup>
              </m:sSup>
            </m:den>
          </m:f>
        </m:oMath>
      </m:oMathPara>
    </w:p>
    <w:p>
      <w:pPr>
        <w:pStyle w:val="FirstParagraph"/>
      </w:pPr>
      <m:oMath>
        <m:r>
          <m:rPr>
            <m:sty m:val="p"/>
          </m:rPr>
          <m:t>tan</m:t>
        </m:r>
        <m:r>
          <m:t>δ</m:t>
        </m:r>
      </m:oMath>
      <w:r>
        <w:rPr>
          <w:rFonts w:hint="eastAsia"/>
        </w:rPr>
        <w:t xml:space="preserve">は，誘電体内部で熱エネルギーとして散逸される電力の，蓄積される電力に対する比を示す無次元量であり，高周波基板材料の低損失性能を定量化する最も重要なパラメータである．一般的なガラスエポキシ基板（FR-4）では</w:t>
      </w:r>
      <m:oMath>
        <m:r>
          <m:rPr>
            <m:sty m:val="p"/>
          </m:rPr>
          <m:t>tan</m:t>
        </m:r>
        <m:r>
          <m:t>δ</m:t>
        </m:r>
        <m:r>
          <m:rPr>
            <m:sty m:val="p"/>
          </m:rPr>
          <m:t>≈</m:t>
        </m:r>
        <m:r>
          <m:t>0.02</m:t>
        </m:r>
      </m:oMath>
      <w:r>
        <w:rPr>
          <w:rFonts w:hint="eastAsia"/>
        </w:rPr>
        <w:t xml:space="preserve">程度であるのに対し，MEGTRON6のような低損失材料では</w:t>
      </w:r>
      <m:oMath>
        <m:r>
          <m:rPr>
            <m:sty m:val="p"/>
          </m:rPr>
          <m:t>tan</m:t>
        </m:r>
        <m:r>
          <m:t>δ</m:t>
        </m:r>
        <m:r>
          <m:rPr>
            <m:sty m:val="p"/>
          </m:rPr>
          <m:t>≈</m:t>
        </m:r>
        <m:r>
          <m:t>0.002</m:t>
        </m:r>
      </m:oMath>
      <w:r>
        <w:t xml:space="preserve">–</w:t>
      </w:r>
      <m:oMath>
        <m:r>
          <m:t>0.004</m:t>
        </m:r>
      </m:oMath>
      <w:r>
        <w:rPr>
          <w:rFonts w:hint="eastAsia"/>
        </w:rPr>
        <w:t xml:space="preserve">の範囲にあり，約5–10倍の低損失特性を有する．</w:t>
      </w:r>
    </w:p>
    <w:bookmarkEnd w:id="23"/>
    <w:bookmarkEnd w:id="24"/>
    <w:bookmarkStart w:id="27" w:name="高周波伝送における信号減衰"/>
    <w:p>
      <w:pPr>
        <w:pStyle w:val="Heading2"/>
      </w:pPr>
      <w:r>
        <w:rPr>
          <w:rFonts w:hint="eastAsia"/>
        </w:rPr>
        <w:t xml:space="preserve">高周波伝送における信号減衰</w:t>
      </w:r>
    </w:p>
    <w:p>
      <w:pPr>
        <w:pStyle w:val="FirstParagraph"/>
      </w:pPr>
      <w:r>
        <w:rPr>
          <w:rFonts w:hint="eastAsia"/>
        </w:rPr>
        <w:t xml:space="preserve">プリント基板上の伝送線路では，二つの主要な損失機構により信号が減衰する：</w:t>
      </w:r>
    </w:p>
    <w:bookmarkStart w:id="25" w:name="誘電損失による減衰定数-alpha_d"/>
    <w:p>
      <w:pPr>
        <w:pStyle w:val="Heading4"/>
      </w:pPr>
      <w:r>
        <w:rPr>
          <w:rFonts w:hint="eastAsia"/>
        </w:rPr>
        <w:t xml:space="preserve">（1）誘電損失による減衰定数</w:t>
      </w:r>
      <w:r>
        <w:t xml:space="preserve"> </w:t>
      </w:r>
      <m:oMath>
        <m:sSub>
          <m:e>
            <m:r>
              <m:t>α</m:t>
            </m:r>
          </m:e>
          <m:sub>
            <m:r>
              <m:t>d</m:t>
            </m:r>
          </m:sub>
        </m:sSub>
      </m:oMath>
    </w:p>
    <w:p>
      <w:pPr>
        <w:pStyle w:val="FirstParagraph"/>
      </w:pPr>
      <m:oMathPara>
        <m:oMathParaPr>
          <m:jc m:val="center"/>
        </m:oMathParaPr>
        <m:oMath>
          <m:sSub>
            <m:e>
              <m:r>
                <m:t>α</m:t>
              </m:r>
            </m:e>
            <m:sub>
              <m:r>
                <m:t>d</m:t>
              </m:r>
            </m:sub>
          </m:sSub>
          <m:r>
            <m:rPr>
              <m:sty m:val="p"/>
            </m:rPr>
            <m:t>=</m:t>
          </m:r>
          <m:f>
            <m:fPr>
              <m:type m:val="bar"/>
            </m:fPr>
            <m:num>
              <m:r>
                <m:t>π</m:t>
              </m:r>
              <m:r>
                <m:t>f</m:t>
              </m:r>
            </m:num>
            <m:den>
              <m:r>
                <m:t>c</m:t>
              </m:r>
            </m:den>
          </m:f>
          <m:r>
            <m:rPr>
              <m:sty m:val="p"/>
            </m:rPr>
            <m:t>⋅</m:t>
          </m:r>
          <m:sSubSup>
            <m:e>
              <m:r>
                <m:t>ε</m:t>
              </m:r>
            </m:e>
            <m:sub>
              <m:r>
                <m:t>r</m:t>
              </m:r>
            </m:sub>
            <m:sup>
              <m:r>
                <m:rPr>
                  <m:sty m:val="p"/>
                </m:rPr>
                <m:t>′</m:t>
              </m:r>
            </m:sup>
          </m:sSubSup>
          <m:r>
            <m:rPr>
              <m:sty m:val="p"/>
            </m:rPr>
            <m:t>tan</m:t>
          </m:r>
          <m:r>
            <m:t>δ</m:t>
          </m:r>
          <m:r>
            <m:rPr>
              <m:sty m:val="p"/>
            </m:rPr>
            <m:t>⋅</m:t>
          </m:r>
          <m:f>
            <m:fPr>
              <m:type m:val="bar"/>
            </m:fPr>
            <m:num>
              <m:rad>
                <m:radPr>
                  <m:degHide m:val="on"/>
                </m:radPr>
                <m:deg/>
                <m:e>
                  <m:sSub>
                    <m:e>
                      <m:r>
                        <m:t>ε</m:t>
                      </m:r>
                    </m:e>
                    <m:sub>
                      <m:r>
                        <m:t>r</m:t>
                      </m:r>
                      <m:r>
                        <m:t>e</m:t>
                      </m:r>
                    </m:sub>
                  </m:sSub>
                </m:e>
              </m:rad>
              <m:r>
                <m:rPr>
                  <m:sty m:val="p"/>
                </m:rPr>
                <m:t>(</m:t>
              </m:r>
              <m:sSub>
                <m:e>
                  <m:r>
                    <m:t>ε</m:t>
                  </m:r>
                </m:e>
                <m:sub>
                  <m:r>
                    <m:t>r</m:t>
                  </m:r>
                  <m:r>
                    <m:t>e</m:t>
                  </m:r>
                </m:sub>
              </m:sSub>
              <m:r>
                <m:rPr>
                  <m:sty m:val="p"/>
                </m:rPr>
                <m:t>−</m:t>
              </m:r>
              <m:r>
                <m:t>1</m:t>
              </m:r>
              <m:r>
                <m:rPr>
                  <m:sty m:val="p"/>
                </m:rPr>
                <m:t>)</m:t>
              </m:r>
            </m:num>
            <m:den>
              <m:sSub>
                <m:e>
                  <m:r>
                    <m:t>ε</m:t>
                  </m:r>
                </m:e>
                <m:sub>
                  <m:r>
                    <m:t>r</m:t>
                  </m:r>
                  <m:r>
                    <m:t>e</m:t>
                  </m:r>
                </m:sub>
              </m:sSub>
              <m:r>
                <m:rPr>
                  <m:sty m:val="p"/>
                </m:rPr>
                <m:t>(</m:t>
              </m:r>
              <m:sSubSup>
                <m:e>
                  <m:r>
                    <m:t>ε</m:t>
                  </m:r>
                </m:e>
                <m:sub>
                  <m:r>
                    <m:t>r</m:t>
                  </m:r>
                </m:sub>
                <m:sup>
                  <m:r>
                    <m:rPr>
                      <m:sty m:val="p"/>
                    </m:rPr>
                    <m:t>′</m:t>
                  </m:r>
                </m:sup>
              </m:sSubSup>
              <m:r>
                <m:rPr>
                  <m:sty m:val="p"/>
                </m:rPr>
                <m:t>−</m:t>
              </m:r>
              <m:r>
                <m:t>1</m:t>
              </m:r>
              <m:r>
                <m:rPr>
                  <m:sty m:val="p"/>
                </m:rPr>
                <m:t>)</m:t>
              </m:r>
            </m:den>
          </m:f>
        </m:oMath>
      </m:oMathPara>
    </w:p>
    <w:p>
      <w:pPr>
        <w:pStyle w:val="FirstParagraph"/>
      </w:pPr>
      <w:r>
        <w:t xml:space="preserve">ここで</w:t>
      </w:r>
      <m:oMath>
        <m:r>
          <m:t>f</m:t>
        </m:r>
      </m:oMath>
      <w:r>
        <w:rPr>
          <w:rFonts w:hint="eastAsia"/>
        </w:rPr>
        <w:t xml:space="preserve">は周波数，</w:t>
      </w:r>
      <m:oMath>
        <m:r>
          <m:t>c</m:t>
        </m:r>
      </m:oMath>
      <w:r>
        <w:rPr>
          <w:rFonts w:hint="eastAsia"/>
        </w:rPr>
        <w:t xml:space="preserve">は光速，</w:t>
      </w:r>
      <m:oMath>
        <m:sSub>
          <m:e>
            <m:r>
              <m:t>ε</m:t>
            </m:r>
          </m:e>
          <m:sub>
            <m:r>
              <m:t>r</m:t>
            </m:r>
            <m:r>
              <m:t>e</m:t>
            </m:r>
          </m:sub>
        </m:sSub>
      </m:oMath>
      <w:r>
        <w:rPr>
          <w:rFonts w:hint="eastAsia"/>
        </w:rPr>
        <w:t xml:space="preserve">は有効比誘電率である．誘電損失による減衰は周波数の上昇に伴い増加する．</w:t>
      </w:r>
    </w:p>
    <w:bookmarkEnd w:id="25"/>
    <w:bookmarkStart w:id="26" w:name="導体損失による減衰定数-alpha_c"/>
    <w:p>
      <w:pPr>
        <w:pStyle w:val="Heading4"/>
      </w:pPr>
      <w:r>
        <w:rPr>
          <w:rFonts w:hint="eastAsia"/>
        </w:rPr>
        <w:t xml:space="preserve">（2）導体損失による減衰定数</w:t>
      </w:r>
      <w:r>
        <w:t xml:space="preserve"> </w:t>
      </w:r>
      <m:oMath>
        <m:sSub>
          <m:e>
            <m:r>
              <m:t>α</m:t>
            </m:r>
          </m:e>
          <m:sub>
            <m:r>
              <m:t>c</m:t>
            </m:r>
          </m:sub>
        </m:sSub>
      </m:oMath>
    </w:p>
    <w:p>
      <w:pPr>
        <w:pStyle w:val="FirstParagraph"/>
      </w:pPr>
      <m:oMathPara>
        <m:oMathParaPr>
          <m:jc m:val="center"/>
        </m:oMathParaPr>
        <m:oMath>
          <m:sSub>
            <m:e>
              <m:r>
                <m:t>α</m:t>
              </m:r>
            </m:e>
            <m:sub>
              <m:r>
                <m:t>c</m:t>
              </m:r>
            </m:sub>
          </m:sSub>
          <m:r>
            <m:rPr>
              <m:sty m:val="p"/>
            </m:rPr>
            <m:t>=</m:t>
          </m:r>
          <m:f>
            <m:fPr>
              <m:type m:val="bar"/>
            </m:fPr>
            <m:num>
              <m:sSub>
                <m:e>
                  <m:r>
                    <m:t>R</m:t>
                  </m:r>
                </m:e>
                <m:sub>
                  <m:r>
                    <m:t>s</m:t>
                  </m:r>
                </m:sub>
              </m:sSub>
            </m:num>
            <m:den>
              <m:sSub>
                <m:e>
                  <m:r>
                    <m:t>Z</m:t>
                  </m:r>
                </m:e>
                <m:sub>
                  <m:r>
                    <m:t>0</m:t>
                  </m:r>
                </m:sub>
              </m:sSub>
              <m:r>
                <m:t>W</m:t>
              </m:r>
            </m:den>
          </m:f>
        </m:oMath>
      </m:oMathPara>
    </w:p>
    <w:p>
      <w:pPr>
        <w:pStyle w:val="FirstParagraph"/>
      </w:pPr>
      <w:r>
        <w:t xml:space="preserve">ここで</w:t>
      </w:r>
      <m:oMath>
        <m:sSub>
          <m:e>
            <m:r>
              <m:t>R</m:t>
            </m:r>
          </m:e>
          <m:sub>
            <m:r>
              <m:t>s</m:t>
            </m:r>
          </m:sub>
        </m:sSub>
        <m:r>
          <m:rPr>
            <m:sty m:val="p"/>
          </m:rPr>
          <m:t>=</m:t>
        </m:r>
        <m:rad>
          <m:radPr>
            <m:degHide m:val="on"/>
          </m:radPr>
          <m:deg/>
          <m:e>
            <m:r>
              <m:t>π</m:t>
            </m:r>
            <m:r>
              <m:t>f</m:t>
            </m:r>
            <m:sSub>
              <m:e>
                <m:r>
                  <m:t>μ</m:t>
                </m:r>
              </m:e>
              <m:sub>
                <m:r>
                  <m:t>0</m:t>
                </m:r>
              </m:sub>
            </m:sSub>
            <m:r>
              <m:rPr>
                <m:sty m:val="p"/>
              </m:rPr>
              <m:t>/</m:t>
            </m:r>
            <m:r>
              <m:t>σ</m:t>
            </m:r>
          </m:e>
        </m:rad>
      </m:oMath>
      <w:r>
        <w:rPr>
          <w:rFonts w:hint="eastAsia"/>
        </w:rPr>
        <w:t xml:space="preserve">は表面抵抗，</w:t>
      </w:r>
      <m:oMath>
        <m:sSub>
          <m:e>
            <m:r>
              <m:t>Z</m:t>
            </m:r>
          </m:e>
          <m:sub>
            <m:r>
              <m:t>0</m:t>
            </m:r>
          </m:sub>
        </m:sSub>
      </m:oMath>
      <w:r>
        <w:rPr>
          <w:rFonts w:hint="eastAsia"/>
        </w:rPr>
        <w:t xml:space="preserve">は特性インピーダンス，</w:t>
      </w:r>
      <m:oMath>
        <m:r>
          <m:t>W</m:t>
        </m:r>
      </m:oMath>
      <w:r>
        <w:rPr>
          <w:rFonts w:hint="eastAsia"/>
        </w:rPr>
        <w:t xml:space="preserve">は線路幅である．</w:t>
      </w:r>
    </w:p>
    <w:p>
      <w:pPr>
        <w:pStyle w:val="BodyText"/>
      </w:pPr>
      <w:r>
        <w:rPr>
          <w:rFonts w:hint="eastAsia"/>
        </w:rPr>
        <w:t xml:space="preserve">周波数が高くなると表皮深さ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が浅くなり，電流はより狭い領域に集中する．このとき導体表面の凹凸（表面粗さ）の影響が顕著になり，実効導電率が低下して導体損失が増加する．</w:t>
      </w:r>
    </w:p>
    <w:p>
      <w:pPr>
        <w:pStyle w:val="BodyText"/>
      </w:pPr>
      <w:r>
        <w:rPr>
          <w:rFonts w:hint="eastAsia"/>
        </w:rPr>
        <w:t xml:space="preserve">全体の減衰定数は両者の和となる：</w:t>
      </w:r>
    </w:p>
    <w:p>
      <w:pPr>
        <w:pStyle w:val="BodyText"/>
      </w:pPr>
      <m:oMathPara>
        <m:oMathParaPr>
          <m:jc m:val="center"/>
        </m:oMathParaPr>
        <m:oMath>
          <m:r>
            <m:t>α</m:t>
          </m:r>
          <m:r>
            <m:rPr>
              <m:sty m:val="p"/>
            </m:rPr>
            <m:t>=</m:t>
          </m:r>
          <m:sSub>
            <m:e>
              <m:r>
                <m:t>α</m:t>
              </m:r>
            </m:e>
            <m:sub>
              <m:r>
                <m:t>d</m:t>
              </m:r>
            </m:sub>
          </m:sSub>
          <m:r>
            <m:rPr>
              <m:sty m:val="p"/>
            </m:rPr>
            <m:t>+</m:t>
          </m:r>
          <m:sSub>
            <m:e>
              <m:r>
                <m:t>α</m:t>
              </m:r>
            </m:e>
            <m:sub>
              <m:r>
                <m:t>c</m:t>
              </m:r>
            </m:sub>
          </m:sSub>
        </m:oMath>
      </m:oMathPara>
    </w:p>
    <w:bookmarkEnd w:id="26"/>
    <w:bookmarkEnd w:id="27"/>
    <w:bookmarkStart w:id="28" w:name="本研究に用いた測定用基板"/>
    <w:p>
      <w:pPr>
        <w:pStyle w:val="Heading2"/>
      </w:pPr>
      <w:r>
        <w:rPr>
          <w:rFonts w:hint="eastAsia"/>
        </w:rPr>
        <w:t xml:space="preserve">本研究に用いた測定用基板</w:t>
      </w:r>
    </w:p>
    <w:p>
      <w:pPr>
        <w:pStyle w:val="FirstParagraph"/>
      </w:pPr>
      <w:r>
        <w:rPr>
          <w:rFonts w:hint="eastAsia"/>
        </w:rPr>
        <w:t xml:space="preserve">本研究ではMEGTRON6基板を測定対象とした．MEGTRON6は厚さ0.3～0.5</w:t>
      </w:r>
      <w:r>
        <w:t xml:space="preserve"> </w:t>
      </w:r>
      <w:r>
        <w:rPr>
          <w:rFonts w:hint="eastAsia"/>
        </w:rPr>
        <w:t xml:space="preserve">mmの複数試料を用意し，複素誘電率と実効導電率の周波数依存性を測定した．</w:t>
      </w:r>
    </w:p>
    <w:bookmarkEnd w:id="28"/>
    <w:bookmarkEnd w:id="29"/>
    <w:bookmarkStart w:id="49" w:name="測定原理および方法"/>
    <w:p>
      <w:pPr>
        <w:pStyle w:val="Heading1"/>
      </w:pPr>
      <w:r>
        <w:rPr>
          <w:rFonts w:hint="eastAsia"/>
        </w:rPr>
        <w:t xml:space="preserve">測定原理および方法</w:t>
      </w:r>
    </w:p>
    <w:bookmarkStart w:id="32" w:name="複素誘電率の測定法ー概要"/>
    <w:p>
      <w:pPr>
        <w:pStyle w:val="Heading2"/>
      </w:pPr>
      <w:r>
        <w:rPr>
          <w:rFonts w:hint="eastAsia"/>
        </w:rPr>
        <w:t xml:space="preserve">複素誘電率の測定法ー概要</w:t>
      </w:r>
    </w:p>
    <w:p>
      <w:pPr>
        <w:pStyle w:val="FirstParagraph"/>
      </w:pPr>
      <w:r>
        <w:rPr>
          <w:rFonts w:hint="eastAsia"/>
        </w:rPr>
        <w:t xml:space="preserve">高周波領域における材料の複素誘電率を測定する代表的な方法は，評価対象の周波数帯や損失の大きさに応じて，大きく以下の3つに分類される</w:t>
      </w:r>
      <w:r>
        <w:rPr>
          <w:rFonts w:hint="eastAsia"/>
        </w:rPr>
        <w:t xml:space="preserve">．</w:t>
      </w:r>
    </w:p>
    <w:p>
      <w:pPr>
        <w:pStyle w:val="DefinitionTerm"/>
      </w:pPr>
      <w:r>
        <w:rPr>
          <w:rFonts w:hint="eastAsia"/>
        </w:rPr>
        <w:t xml:space="preserve">集中定数法：</w:t>
      </w:r>
    </w:p>
    <w:p>
      <w:pPr>
        <w:pStyle w:val="Definition"/>
      </w:pPr>
      <w:r>
        <w:rPr>
          <w:rFonts w:hint="eastAsia"/>
        </w:rPr>
        <w:t xml:space="preserve">数kHz～1</w:t>
      </w:r>
      <w:r>
        <w:t xml:space="preserve"> </w:t>
      </w:r>
      <w:r>
        <w:rPr>
          <w:rFonts w:hint="eastAsia"/>
        </w:rPr>
        <w:t xml:space="preserve">GHz程度の比較的低い周波数帯で用いられる．測定試料を電極で挟んでコンデンサを形成し，そのインピーダンス（キャパシタンスとコンダクタンス）から誘電率を算出する．</w:t>
      </w:r>
    </w:p>
    <w:p>
      <w:pPr>
        <w:pStyle w:val="DefinitionTerm"/>
      </w:pPr>
      <w:r>
        <w:rPr>
          <w:rFonts w:hint="eastAsia"/>
        </w:rPr>
        <w:t xml:space="preserve">反射・伝送法（Sパラメータ法）：</w:t>
      </w:r>
    </w:p>
    <w:p>
      <w:pPr>
        <w:pStyle w:val="Definition"/>
      </w:pPr>
      <w:r>
        <w:rPr>
          <w:rFonts w:hint="eastAsia"/>
        </w:rPr>
        <w:t xml:space="preserve">数十MHz～数百GHzの広帯域に対応可能．試料に対し電磁波を照射し，反射・透過係数（Sパラメータ）を測定して誘電率を算出する．高損失材料の評価に適しており，自由空間で行うフリースペース法もこの一種である</w:t>
      </w:r>
      <w:r>
        <w:rPr>
          <w:rFonts w:hint="eastAsia"/>
        </w:rPr>
        <w:t xml:space="preserve">．</w:t>
      </w:r>
    </w:p>
    <w:p>
      <w:pPr>
        <w:pStyle w:val="DefinitionTerm"/>
      </w:pPr>
      <w:r>
        <w:rPr>
          <w:rFonts w:hint="eastAsia"/>
        </w:rPr>
        <w:t xml:space="preserve">共振法：</w:t>
      </w:r>
    </w:p>
    <w:p>
      <w:pPr>
        <w:pStyle w:val="Definition"/>
      </w:pPr>
      <w:r>
        <w:t xml:space="preserve">1 </w:t>
      </w:r>
      <w:r>
        <w:rPr>
          <w:rFonts w:hint="eastAsia"/>
        </w:rPr>
        <w:t xml:space="preserve">GHz以上の高周波帯で，特に低損失材料を高精度に評価する場合に用いられる．試料を内部に設置した共振器の共振周波数とQ値の変化から誘電率を求める．本研究で用いるBCDR法も共振法に分類される．</w:t>
      </w:r>
    </w:p>
    <w:bookmarkStart w:id="30" w:name="sパラメータと高周波測定の基礎"/>
    <w:p>
      <w:pPr>
        <w:pStyle w:val="Heading4"/>
      </w:pPr>
      <w:r>
        <w:rPr>
          <w:rFonts w:hint="eastAsia"/>
        </w:rPr>
        <w:t xml:space="preserve">Sパラメータと高周波測定の基礎</w:t>
      </w:r>
    </w:p>
    <w:p>
      <w:pPr>
        <w:pStyle w:val="FirstParagraph"/>
      </w:pPr>
      <w:r>
        <w:rPr>
          <w:rFonts w:hint="eastAsia"/>
        </w:rPr>
        <w:t xml:space="preserve">高周波回路の特性評価では，インピーダンスやアドミタンスの代わりにSパラメータ（Scattering</w:t>
      </w:r>
      <w:r>
        <w:t xml:space="preserve"> parameter, </w:t>
      </w:r>
      <w:r>
        <w:rPr>
          <w:rFonts w:hint="eastAsia"/>
        </w:rPr>
        <w:t xml:space="preserve">散乱行列）が広く用いられる．これは，高周波領域では電圧・電流を直接測定することが困難であるのに対し，電力の進行波・反射波はベクトル・ネットワーク・アナライザ（VNA）を用いて安定して測定できるためである．2ポート回路では，ポート1,</w:t>
      </w:r>
      <w:r>
        <w:t xml:space="preserve"> </w:t>
      </w:r>
      <w:r>
        <w:rPr>
          <w:rFonts w:hint="eastAsia"/>
        </w:rPr>
        <w:t xml:space="preserve">2への入射波を</w:t>
      </w:r>
      <m:oMath>
        <m:sSub>
          <m:e>
            <m:r>
              <m:t>a</m:t>
            </m:r>
          </m:e>
          <m:sub>
            <m:r>
              <m:t>1</m:t>
            </m:r>
          </m:sub>
        </m:sSub>
        <m:r>
          <m:rPr>
            <m:sty m:val="p"/>
          </m:rPr>
          <m:t>,</m:t>
        </m:r>
        <m:sSub>
          <m:e>
            <m:r>
              <m:t>a</m:t>
            </m:r>
          </m:e>
          <m:sub>
            <m:r>
              <m:t>2</m:t>
            </m:r>
          </m:sub>
        </m:sSub>
      </m:oMath>
      <w:r>
        <w:rPr>
          <w:rFonts w:hint="eastAsia"/>
        </w:rPr>
        <w:t xml:space="preserve">，出射波を</w:t>
      </w:r>
      <m:oMath>
        <m:sSub>
          <m:e>
            <m:r>
              <m:t>b</m:t>
            </m:r>
          </m:e>
          <m:sub>
            <m:r>
              <m:t>1</m:t>
            </m:r>
          </m:sub>
        </m:sSub>
        <m:r>
          <m:rPr>
            <m:sty m:val="p"/>
          </m:rPr>
          <m:t>,</m:t>
        </m:r>
        <m:sSub>
          <m:e>
            <m:r>
              <m:t>b</m:t>
            </m:r>
          </m:e>
          <m:sub>
            <m:r>
              <m:t>2</m:t>
            </m:r>
          </m:sub>
        </m:sSub>
      </m:oMath>
      <w:r>
        <w:rPr>
          <w:rFonts w:hint="eastAsia"/>
        </w:rPr>
        <w:t xml:space="preserve">とすると，Sパラメータは次式で定義される</w:t>
      </w: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t>S</m:t>
                        </m:r>
                      </m:e>
                      <m:sub>
                        <m:r>
                          <m:t>11</m:t>
                        </m:r>
                      </m:sub>
                    </m:sSub>
                  </m:e>
                  <m:e>
                    <m:sSub>
                      <m:e>
                        <m:r>
                          <m:t>S</m:t>
                        </m:r>
                      </m:e>
                      <m:sub>
                        <m:r>
                          <m:t>12</m:t>
                        </m:r>
                      </m:sub>
                    </m:sSub>
                  </m:e>
                </m:mr>
                <m:mr>
                  <m:e>
                    <m:sSub>
                      <m:e>
                        <m:r>
                          <m:t>S</m:t>
                        </m:r>
                      </m:e>
                      <m:sub>
                        <m:r>
                          <m:t>21</m:t>
                        </m:r>
                      </m:sub>
                    </m:sSub>
                  </m:e>
                  <m:e>
                    <m:sSub>
                      <m:e>
                        <m:r>
                          <m:t>S</m:t>
                        </m:r>
                      </m:e>
                      <m:sub>
                        <m:r>
                          <m:t>22</m:t>
                        </m:r>
                      </m:sub>
                    </m:sSub>
                  </m:e>
                </m:mr>
              </m:m>
            </m:e>
          </m:d>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
            </m:e>
          </m:d>
        </m:oMath>
      </m:oMathPara>
    </w:p>
    <w:p>
      <w:pPr>
        <w:pStyle w:val="FirstParagraph"/>
      </w:pPr>
      <w:r>
        <w:rPr>
          <w:rFonts w:hint="eastAsia"/>
        </w:rPr>
        <w:t xml:space="preserve">ここで，</w:t>
      </w:r>
      <m:oMath>
        <m:sSub>
          <m:e>
            <m:r>
              <m:t>S</m:t>
            </m:r>
          </m:e>
          <m:sub>
            <m:r>
              <m:t>11</m:t>
            </m:r>
          </m:sub>
        </m:sSub>
      </m:oMath>
      <w:r>
        <w:rPr>
          <w:rFonts w:hint="eastAsia"/>
        </w:rPr>
        <w:t xml:space="preserve">は入力ポートの反射係数，</w:t>
      </w:r>
      <m:oMath>
        <m:sSub>
          <m:e>
            <m:r>
              <m:t>S</m:t>
            </m:r>
          </m:e>
          <m:sub>
            <m:r>
              <m:t>21</m:t>
            </m:r>
          </m:sub>
        </m:sSub>
      </m:oMath>
      <w:r>
        <w:rPr>
          <w:rFonts w:hint="eastAsia"/>
        </w:rPr>
        <w:t xml:space="preserve">は透過係数（伝送特性）である．</w:t>
      </w:r>
    </w:p>
    <w:p>
      <w:pPr>
        <w:pStyle w:val="BodyText"/>
      </w:pPr>
      <w:r>
        <w:rPr>
          <w:rFonts w:hint="eastAsia"/>
        </w:rPr>
        <w:t xml:space="preserve">共振法では，VNAを用いて共振器の透過係数</w:t>
      </w:r>
      <m:oMath>
        <m:sSub>
          <m:e>
            <m:r>
              <m:t>S</m:t>
            </m:r>
          </m:e>
          <m:sub>
            <m:r>
              <m:t>21</m:t>
            </m:r>
          </m:sub>
        </m:sSub>
      </m:oMath>
      <w:r>
        <w:rPr>
          <w:rFonts w:hint="eastAsia"/>
        </w:rPr>
        <w:t xml:space="preserve">の周波数応答を測定し，得られた共振ピークから共振周波数</w:t>
      </w:r>
      <m:oMath>
        <m:sSub>
          <m:e>
            <m:r>
              <m:t>f</m:t>
            </m:r>
          </m:e>
          <m:sub>
            <m:r>
              <m:t>0</m:t>
            </m:r>
          </m:sub>
        </m:sSub>
      </m:oMath>
      <w:r>
        <w:rPr>
          <w:rFonts w:hint="eastAsia"/>
        </w:rPr>
        <w:t xml:space="preserve">と，共振の鋭さを表す無負荷Q値</w:t>
      </w:r>
      <m:oMath>
        <m:sSub>
          <m:e>
            <m:r>
              <m:t>Q</m:t>
            </m:r>
          </m:e>
          <m:sub>
            <m:r>
              <m:t>u</m:t>
            </m:r>
          </m:sub>
        </m:sSub>
      </m:oMath>
      <w:r>
        <w:rPr>
          <w:rFonts w:hint="eastAsia"/>
        </w:rPr>
        <w:t xml:space="preserve">を決定する．</w:t>
      </w:r>
      <m:oMath>
        <m:sSub>
          <m:e>
            <m:r>
              <m:t>Q</m:t>
            </m:r>
          </m:e>
          <m:sub>
            <m:r>
              <m:t>u</m:t>
            </m:r>
          </m:sub>
        </m:sSub>
      </m:oMath>
      <w:r>
        <w:rPr>
          <w:rFonts w:hint="eastAsia"/>
        </w:rPr>
        <w:t xml:space="preserve">は共振ピークの中心周波数とそのピークから3</w:t>
      </w:r>
      <w:r>
        <w:t xml:space="preserve"> </w:t>
      </w:r>
      <w:r>
        <w:rPr>
          <w:rFonts w:hint="eastAsia"/>
        </w:rPr>
        <w:t xml:space="preserve">dB低下した点の周波数幅（半値全幅</w:t>
      </w:r>
      <w:r>
        <w:t xml:space="preserve"> </w:t>
      </w:r>
      <m:oMath>
        <m:r>
          <m:rPr>
            <m:sty m:val="p"/>
          </m:rPr>
          <m:t>Δ</m:t>
        </m:r>
        <m:sSub>
          <m:e>
            <m:r>
              <m:t>f</m:t>
            </m:r>
          </m:e>
          <m:sub>
            <m:r>
              <m:rPr>
                <m:nor/>
                <m:sty m:val="p"/>
              </m:rPr>
              <m:t>3dB</m:t>
            </m:r>
          </m:sub>
        </m:sSub>
      </m:oMath>
      <w:r>
        <w:rPr>
          <w:rFonts w:hint="eastAsia"/>
        </w:rPr>
        <w:t xml:space="preserve">）の比で定義される．</w:t>
      </w:r>
    </w:p>
    <w:p>
      <w:pPr>
        <w:pStyle w:val="BodyText"/>
      </w:pPr>
      <m:oMathPara>
        <m:oMathParaPr>
          <m:jc m:val="center"/>
        </m:oMathParaPr>
        <m:oMath>
          <m:sSub>
            <m:e>
              <m:r>
                <m:t>Q</m:t>
              </m:r>
            </m:e>
            <m:sub>
              <m:r>
                <m:t>u</m:t>
              </m:r>
            </m:sub>
          </m:sSub>
          <m:r>
            <m:rPr>
              <m:sty m:val="p"/>
            </m:rPr>
            <m:t>=</m:t>
          </m:r>
          <m:f>
            <m:fPr>
              <m:type m:val="bar"/>
            </m:fPr>
            <m:num>
              <m:sSub>
                <m:e>
                  <m:r>
                    <m:t>f</m:t>
                  </m:r>
                </m:e>
                <m:sub>
                  <m:r>
                    <m:t>0</m:t>
                  </m:r>
                </m:sub>
              </m:sSub>
            </m:num>
            <m:den>
              <m:r>
                <m:rPr>
                  <m:sty m:val="p"/>
                </m:rPr>
                <m:t>Δ</m:t>
              </m:r>
              <m:sSub>
                <m:e>
                  <m:r>
                    <m:t>f</m:t>
                  </m:r>
                </m:e>
                <m:sub>
                  <m:r>
                    <m:rPr>
                      <m:nor/>
                      <m:sty m:val="p"/>
                    </m:rPr>
                    <m:t>3dB</m:t>
                  </m:r>
                </m:sub>
              </m:sSub>
            </m:den>
          </m:f>
        </m:oMath>
      </m:oMathPara>
    </w:p>
    <w:p>
      <w:pPr>
        <w:pStyle w:val="FirstParagraph"/>
      </w:pPr>
      <w:r>
        <w:rPr>
          <w:rFonts w:hint="eastAsia"/>
        </w:rPr>
        <w:t xml:space="preserve">低損失な材料ほどエネルギーの散逸が少ないためQ値は高くなり，鋭い共振ピークを示す．共振法は，この</w:t>
      </w:r>
      <m:oMath>
        <m:sSub>
          <m:e>
            <m:r>
              <m:t>f</m:t>
            </m:r>
          </m:e>
          <m:sub>
            <m:r>
              <m:t>0</m:t>
            </m:r>
          </m:sub>
        </m:sSub>
      </m:oMath>
      <w:r>
        <w:t xml:space="preserve">と</w:t>
      </w:r>
      <m:oMath>
        <m:sSub>
          <m:e>
            <m:r>
              <m:t>Q</m:t>
            </m:r>
          </m:e>
          <m:sub>
            <m:r>
              <m:t>u</m:t>
            </m:r>
          </m:sub>
        </m:sSub>
      </m:oMath>
      <w:r>
        <w:rPr>
          <w:rFonts w:hint="eastAsia"/>
        </w:rPr>
        <w:t xml:space="preserve">の精密な測定を通じて，微小な誘電損失を評価することに優れている．</w:t>
      </w:r>
    </w:p>
    <w:bookmarkEnd w:id="30"/>
    <w:bookmarkStart w:id="31" w:name="解析帯域の限定"/>
    <w:p>
      <w:pPr>
        <w:pStyle w:val="Heading4"/>
      </w:pPr>
      <w:r>
        <w:rPr>
          <w:rFonts w:hint="eastAsia"/>
        </w:rPr>
        <w:t xml:space="preserve">解析帯域の限定</w:t>
      </w:r>
    </w:p>
    <w:p>
      <w:pPr>
        <w:pStyle w:val="FirstParagraph"/>
      </w:pPr>
      <w:r>
        <w:rPr>
          <w:rFonts w:hint="eastAsia"/>
        </w:rPr>
        <w:t xml:space="preserve">本稿では測定自体は最大で110</w:t>
      </w:r>
      <w:r>
        <w:t xml:space="preserve"> </w:t>
      </w:r>
      <w:r>
        <w:rPr>
          <w:rFonts w:hint="eastAsia"/>
        </w:rPr>
        <w:t xml:space="preserve">GHzまで実施したが，不要モードの発生やコネクタ系の制約により信頼性が低下するため，本解析および考察は67</w:t>
      </w:r>
      <w:r>
        <w:t xml:space="preserve"> </w:t>
      </w:r>
      <w:r>
        <w:rPr>
          <w:rFonts w:hint="eastAsia"/>
        </w:rPr>
        <w:t xml:space="preserve">GHz以下の帯域に限定する．以降，特に断りのない限り「測定帯域」は67</w:t>
      </w:r>
      <w:r>
        <w:t xml:space="preserve"> </w:t>
      </w:r>
      <w:r>
        <w:rPr>
          <w:rFonts w:hint="eastAsia"/>
        </w:rPr>
        <w:t xml:space="preserve">GHz以下を指す．</w:t>
      </w:r>
    </w:p>
    <w:bookmarkEnd w:id="31"/>
    <w:bookmarkEnd w:id="32"/>
    <w:bookmarkStart w:id="47" w:name="平衡形円板共振器法bcdr"/>
    <w:p>
      <w:pPr>
        <w:pStyle w:val="Heading2"/>
      </w:pPr>
      <w:r>
        <w:rPr>
          <w:rFonts w:hint="eastAsia"/>
        </w:rPr>
        <w:t xml:space="preserve">平衡形円板共振器法（BCDR）</w:t>
      </w:r>
    </w:p>
    <w:bookmarkStart w:id="40" w:name="bcdr法の原理"/>
    <w:p>
      <w:pPr>
        <w:pStyle w:val="Heading3"/>
      </w:pPr>
      <w:r>
        <w:rPr>
          <w:rFonts w:hint="eastAsia"/>
        </w:rPr>
        <w:t xml:space="preserve">BCDR法の原理</w:t>
      </w:r>
    </w:p>
    <w:p>
      <w:pPr>
        <w:pStyle w:val="FirstParagraph"/>
      </w:pPr>
      <w:r>
        <w:rPr>
          <w:rFonts w:hint="eastAsia"/>
        </w:rPr>
        <w:t xml:space="preserve">BCDR法は共振法の一種であり，高周波帯での複素誘電率と実効導電率の同時測定に適している．10</w:t>
      </w:r>
      <w:r>
        <w:t xml:space="preserve"> GHz–170 </w:t>
      </w:r>
      <w:r>
        <w:rPr>
          <w:rFonts w:hint="eastAsia"/>
        </w:rPr>
        <w:t xml:space="preserve">GHzの超広帯域での適用が報告されている</w:t>
      </w:r>
      <w:r>
        <w:rPr>
          <w:rFonts w:hint="eastAsia"/>
        </w:rPr>
        <w:t xml:space="preserve">．</w:t>
      </w:r>
    </w:p>
    <w:bookmarkStart w:id="35" w:name="bcdr法の詳細な解説および実務的留意点"/>
    <w:p>
      <w:pPr>
        <w:pStyle w:val="Heading4"/>
      </w:pPr>
      <w:r>
        <w:rPr>
          <w:rFonts w:hint="eastAsia"/>
        </w:rPr>
        <w:t xml:space="preserve">BCDR法の詳細な解説および実務的留意点</w:t>
      </w:r>
    </w:p>
    <w:p>
      <w:pPr>
        <w:pStyle w:val="FirstParagraph"/>
      </w:pPr>
      <w:r>
        <w:rPr>
          <w:rFonts w:hint="eastAsia"/>
        </w:rPr>
        <w:t xml:space="preserve">BCDR（Balanced‑Type</w:t>
      </w:r>
      <w:r>
        <w:t xml:space="preserve"> Circular‑Disk </w:t>
      </w:r>
      <w:r>
        <w:rPr>
          <w:rFonts w:hint="eastAsia"/>
        </w:rPr>
        <w:t xml:space="preserve">Resonator）法は，円板の円筒対称性によりTM</w:t>
      </w:r>
      <m:oMath>
        <m:sSub>
          <m:e>
            <m:r>
              <m:t>​</m:t>
            </m:r>
          </m:e>
          <m:sub>
            <m:r>
              <m:t>0</m:t>
            </m:r>
            <m:r>
              <m:t>m</m:t>
            </m:r>
            <m:r>
              <m:t>0</m:t>
            </m:r>
          </m:sub>
        </m:sSub>
      </m:oMath>
      <w:r>
        <w:rPr>
          <w:rFonts w:hint="eastAsia"/>
        </w:rPr>
        <w:t xml:space="preserve">モードのみを選択的に励起できるため，高次モードによる干渉を抑えつつ広帯域での高感度測定が可能である．この特性により，単一装置で複数の共振モードを用い，約10–170</w:t>
      </w:r>
      <w:r>
        <w:t xml:space="preserve"> </w:t>
      </w:r>
      <w:r>
        <w:rPr>
          <w:rFonts w:hint="eastAsia"/>
        </w:rPr>
        <w:t xml:space="preserve">GHzにわたる周波数点で複素誘電率を確定できることが報告されている（実装例:</w:t>
      </w:r>
      <w:r>
        <w:t xml:space="preserve"> 0.8‑mm </w:t>
      </w:r>
      <w:r>
        <w:rPr>
          <w:rFonts w:hint="eastAsia"/>
        </w:rPr>
        <w:t xml:space="preserve">同軸励振，</w:t>
      </w:r>
      <w:r>
        <w:rPr>
          <w:rFonts w:hint="eastAsia"/>
        </w:rPr>
        <w:t xml:space="preserve">）．さらに，高い周波数域では同軸インターフェースのカットオフが制限となるため，波導インターフェースを導入した拡張法が提案されており，高精度なフルウェーブ修正式モーダル解析と組合せることでD‑band以上への適用性が確認されている</w:t>
      </w:r>
      <w:r>
        <w:rPr>
          <w:rFonts w:hint="eastAsia"/>
        </w:rPr>
        <w:t xml:space="preserve">．</w:t>
      </w:r>
    </w:p>
    <w:p>
      <w:pPr>
        <w:pStyle w:val="BodyText"/>
      </w:pPr>
      <w:r>
        <w:rPr>
          <w:rFonts w:hint="eastAsia"/>
        </w:rPr>
        <w:t xml:space="preserve">理論的には，Mode‑matching</w:t>
      </w:r>
      <w:r>
        <w:t xml:space="preserve"> </w:t>
      </w:r>
      <w:r>
        <w:rPr>
          <w:rFonts w:hint="eastAsia"/>
        </w:rPr>
        <w:t xml:space="preserve">により得られる固有方程式の解（零点）から共振周波数と電界分布を決定し，実試料の共振周波数</w:t>
      </w:r>
      <m:oMath>
        <m:sSub>
          <m:e>
            <m:r>
              <m:t>f</m:t>
            </m:r>
          </m:e>
          <m:sub>
            <m:r>
              <m:t>0</m:t>
            </m:r>
            <m:r>
              <m:t>m</m:t>
            </m:r>
            <m:r>
              <m:t>0</m:t>
            </m:r>
          </m:sub>
        </m:sSub>
      </m:oMath>
      <w:r>
        <w:rPr>
          <w:rFonts w:hint="eastAsia"/>
        </w:rPr>
        <w:t xml:space="preserve">および無負荷Q値</w:t>
      </w:r>
      <m:oMath>
        <m:sSub>
          <m:e>
            <m:r>
              <m:t>Q</m:t>
            </m:r>
          </m:e>
          <m:sub>
            <m:r>
              <m:t>u</m:t>
            </m:r>
          </m:sub>
        </m:sSub>
      </m:oMath>
      <w:r>
        <w:rPr>
          <w:rFonts w:hint="eastAsia"/>
        </w:rPr>
        <w:t xml:space="preserve">から複素誘電率と導体寄与を分離する．手続きの核心は「参照試料（標準銅円板）による導体損失のキャリブレーション」と「誘電寄与の差分抽出」にあるため，本手法は低損失材料の誘電損失評価に特に有利である</w:t>
      </w:r>
      <w:r>
        <w:rPr>
          <w:rFonts w:hint="eastAsia"/>
        </w:rPr>
        <w:t xml:space="preserve">．</w:t>
      </w:r>
    </w:p>
    <w:bookmarkStart w:id="33" w:name="実務上の主要留意点要点のみ"/>
    <w:p>
      <w:pPr>
        <w:pStyle w:val="Heading5"/>
      </w:pPr>
      <w:r>
        <w:rPr>
          <w:rFonts w:hint="eastAsia"/>
        </w:rPr>
        <w:t xml:space="preserve">実務上の主要留意点（要点のみ）</w:t>
      </w:r>
    </w:p>
    <w:p>
      <w:pPr>
        <w:numPr>
          <w:ilvl w:val="0"/>
          <w:numId w:val="1005"/>
        </w:numPr>
      </w:pPr>
      <w:r>
        <w:rPr>
          <w:rFonts w:hint="eastAsia"/>
        </w:rPr>
        <w:t xml:space="preserve">モード同定と励振設計：TM</w:t>
      </w:r>
      <m:oMath>
        <m:sSub>
          <m:e>
            <m:r>
              <m:t>​</m:t>
            </m:r>
          </m:e>
          <m:sub>
            <m:r>
              <m:t>0</m:t>
            </m:r>
            <m:r>
              <m:t>m</m:t>
            </m:r>
            <m:r>
              <m:t>0</m:t>
            </m:r>
          </m:sub>
        </m:sSub>
      </m:oMath>
      <w:r>
        <w:rPr>
          <w:rFonts w:hint="eastAsia"/>
        </w:rPr>
        <w:t xml:space="preserve">の同定には円板半径・励振孔寸法・モード間隔の設計が重要であり，誤同定は周波数誤差を生むため複数モードでの整合確認を行うこと</w:t>
      </w:r>
      <w:r>
        <w:rPr>
          <w:rFonts w:hint="eastAsia"/>
        </w:rPr>
        <w:t xml:space="preserve">．</w:t>
      </w:r>
    </w:p>
    <w:p>
      <w:pPr>
        <w:numPr>
          <w:ilvl w:val="0"/>
          <w:numId w:val="1005"/>
        </w:numPr>
      </w:pPr>
      <w:r>
        <w:rPr>
          <w:rFonts w:hint="eastAsia"/>
        </w:rPr>
        <w:t xml:space="preserve">励振インターフェースの選択：0.8‑mm</w:t>
      </w:r>
      <w:r>
        <w:t xml:space="preserve"> </w:t>
      </w:r>
      <w:r>
        <w:rPr>
          <w:rFonts w:hint="eastAsia"/>
        </w:rPr>
        <w:t xml:space="preserve">同軸励振は広帯域測定に有効であるが高周波では波導インターフェースを推奨する（拡張性・剛性の面で有利）</w:t>
      </w:r>
      <w:r>
        <w:rPr>
          <w:rFonts w:hint="eastAsia"/>
        </w:rPr>
        <w:t xml:space="preserve">．</w:t>
      </w:r>
    </w:p>
    <w:p>
      <w:pPr>
        <w:numPr>
          <w:ilvl w:val="0"/>
          <w:numId w:val="1005"/>
        </w:numPr>
      </w:pPr>
      <w:r>
        <w:rPr>
          <w:rFonts w:hint="eastAsia"/>
        </w:rPr>
        <w:t xml:space="preserve">校正・参照試料：導体寄与を差し引くための標準銅円板（既知の</w:t>
      </w:r>
      <w:r>
        <w:t xml:space="preserve"> </w:t>
      </w:r>
      <m:oMath>
        <m:sSub>
          <m:e>
            <m:r>
              <m:t>σ</m:t>
            </m:r>
          </m:e>
          <m:sub>
            <m:r>
              <m:t>0</m:t>
            </m:r>
          </m:sub>
        </m:sSub>
      </m:oMath>
      <w:r>
        <w:rPr>
          <w:rFonts w:hint="eastAsia"/>
        </w:rPr>
        <w:t xml:space="preserve">）を用いる。参照と試料は同一ロット・同寸法で揃えること（厚さ差・偏心は</w:t>
      </w:r>
      <m:oMath>
        <m:r>
          <m:t>Q</m:t>
        </m:r>
      </m:oMath>
      <w:r>
        <w:rPr>
          <w:rFonts w:hint="eastAsia"/>
        </w:rPr>
        <w:t xml:space="preserve">に敏感）</w:t>
      </w:r>
      <w:r>
        <w:rPr>
          <w:rFonts w:hint="eastAsia"/>
        </w:rPr>
        <w:t xml:space="preserve">．</w:t>
      </w:r>
    </w:p>
    <w:p>
      <w:pPr>
        <w:numPr>
          <w:ilvl w:val="0"/>
          <w:numId w:val="1005"/>
        </w:numPr>
      </w:pPr>
      <w:r>
        <w:rPr>
          <w:rFonts w:hint="eastAsia"/>
        </w:rPr>
        <w:t xml:space="preserve">アライメントと加圧：励振孔との中心偏心は50</w:t>
      </w:r>
      <w:r>
        <w:t xml:space="preserve"> </w:t>
      </w:r>
      <w:r>
        <w:rPr>
          <w:rFonts w:hint="eastAsia"/>
        </w:rPr>
        <w:t xml:space="preserve">μm未満を目安に管理し，締付けトルクでエアギャップを排除する手順を実施する（マニュアル参照）</w:t>
      </w:r>
      <w:r>
        <w:rPr>
          <w:rFonts w:hint="eastAsia"/>
        </w:rPr>
        <w:t xml:space="preserve">．</w:t>
      </w:r>
    </w:p>
    <w:p>
      <w:pPr>
        <w:numPr>
          <w:ilvl w:val="0"/>
          <w:numId w:val="1005"/>
        </w:numPr>
      </w:pPr>
      <w:r>
        <w:rPr>
          <w:rFonts w:hint="eastAsia"/>
        </w:rPr>
        <w:t xml:space="preserve">不確かさ管理：試料厚さ，円板寸法，Qフィッティング誤差，リプロデュース性（再設置）を包含した不確かさ評価を行うこと（IEC</w:t>
      </w:r>
      <w:r>
        <w:t xml:space="preserve"> </w:t>
      </w:r>
      <w:r>
        <w:rPr>
          <w:rFonts w:hint="eastAsia"/>
        </w:rPr>
        <w:t xml:space="preserve">標準・NMIJ</w:t>
      </w:r>
      <w:r>
        <w:t xml:space="preserve"> </w:t>
      </w:r>
      <w:r>
        <w:rPr>
          <w:rFonts w:hint="eastAsia"/>
        </w:rPr>
        <w:t xml:space="preserve">のガイドラインに準拠）</w:t>
      </w:r>
      <w:r>
        <w:rPr>
          <w:rFonts w:hint="eastAsia"/>
        </w:rPr>
        <w:t xml:space="preserve">．</w:t>
      </w:r>
    </w:p>
    <w:p>
      <w:pPr>
        <w:numPr>
          <w:ilvl w:val="0"/>
          <w:numId w:val="1005"/>
        </w:numPr>
      </w:pPr>
      <w:r>
        <w:rPr>
          <w:rFonts w:hint="eastAsia"/>
        </w:rPr>
        <w:t xml:space="preserve">表面粗さの扱い：導体損失評価において表面粗さは重要なパラメータであり，Huray/Hammerstad</w:t>
      </w:r>
      <w:r>
        <w:t xml:space="preserve"> </w:t>
      </w:r>
      <w:r>
        <w:rPr>
          <w:rFonts w:hint="eastAsia"/>
        </w:rPr>
        <w:t xml:space="preserve">系モデルや最近の波導モデルで補正を行い，AFM/CLSM</w:t>
      </w:r>
      <w:r>
        <w:t xml:space="preserve"> </w:t>
      </w:r>
      <w:r>
        <w:rPr>
          <w:rFonts w:hint="eastAsia"/>
        </w:rPr>
        <w:t xml:space="preserve">等による粗さパラメータ（Rq,</w:t>
      </w:r>
      <w:r>
        <w:t xml:space="preserve"> Sa, </w:t>
      </w:r>
      <w:r>
        <w:rPr>
          <w:rFonts w:hint="eastAsia"/>
        </w:rPr>
        <w:t xml:space="preserve">Rzjis）で実測値と照合することが望ましい</w:t>
      </w:r>
      <w:r>
        <w:rPr>
          <w:rFonts w:hint="eastAsia"/>
        </w:rPr>
        <w:t xml:space="preserve">．</w:t>
      </w:r>
    </w:p>
    <w:bookmarkEnd w:id="33"/>
    <w:bookmarkStart w:id="34" w:name="データ処理上の注意点短く"/>
    <w:p>
      <w:pPr>
        <w:pStyle w:val="Heading5"/>
      </w:pPr>
      <w:r>
        <w:rPr>
          <w:rFonts w:hint="eastAsia"/>
        </w:rPr>
        <w:t xml:space="preserve">データ処理上の注意点（短く）</w:t>
      </w:r>
    </w:p>
    <w:p>
      <w:pPr>
        <w:numPr>
          <w:ilvl w:val="0"/>
          <w:numId w:val="1006"/>
        </w:numPr>
      </w:pPr>
      <w:r>
        <w:t xml:space="preserve">モードごとに</w:t>
      </w:r>
      <w:r>
        <w:t xml:space="preserve"> </w:t>
      </w:r>
      <m:oMath>
        <m:sSub>
          <m:e>
            <m:r>
              <m:t>f</m:t>
            </m:r>
          </m:e>
          <m:sub>
            <m:r>
              <m:t>0</m:t>
            </m:r>
            <m:r>
              <m:t>m</m:t>
            </m:r>
            <m:r>
              <m:t>0</m:t>
            </m:r>
          </m:sub>
        </m:sSub>
        <m:r>
          <m:rPr>
            <m:sty m:val="p"/>
          </m:rPr>
          <m:t>,</m:t>
        </m:r>
        <m:sSub>
          <m:e>
            <m:r>
              <m:t>Q</m:t>
            </m:r>
          </m:e>
          <m:sub>
            <m:r>
              <m:t>u</m:t>
            </m:r>
          </m:sub>
        </m:sSub>
      </m:oMath>
      <w:r>
        <w:t xml:space="preserve"> </w:t>
      </w:r>
      <w:r>
        <w:rPr>
          <w:rFonts w:hint="eastAsia"/>
        </w:rPr>
        <w:t xml:space="preserve">のフィッティングを行い，周波数依存の傾向をモード間で突合する．</w:t>
      </w:r>
    </w:p>
    <w:p>
      <w:pPr>
        <w:numPr>
          <w:ilvl w:val="0"/>
          <w:numId w:val="1006"/>
        </w:numPr>
      </w:pPr>
      <w:r>
        <w:rPr>
          <w:rFonts w:hint="eastAsia"/>
        </w:rPr>
        <w:t xml:space="preserve">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は参照から差分で導出され，表皮深さや粗さ比</w:t>
      </w:r>
      <w:r>
        <w:t xml:space="preserve"> </w:t>
      </w:r>
      <m:oMath>
        <m:sSub>
          <m:e>
            <m:r>
              <m:t>R</m:t>
            </m:r>
          </m:e>
          <m:sub>
            <m:r>
              <m:t>q</m:t>
            </m:r>
          </m:sub>
        </m:sSub>
        <m:r>
          <m:rPr>
            <m:sty m:val="p"/>
          </m:rPr>
          <m:t>/</m:t>
        </m:r>
        <m:sSub>
          <m:e>
            <m:r>
              <m:t>δ</m:t>
            </m:r>
          </m:e>
          <m:sub>
            <m:r>
              <m:t>s</m:t>
            </m:r>
          </m:sub>
        </m:sSub>
      </m:oMath>
      <w:r>
        <w:t xml:space="preserve"> </w:t>
      </w:r>
      <w:r>
        <w:rPr>
          <w:rFonts w:hint="eastAsia"/>
        </w:rPr>
        <w:t xml:space="preserve">との相関を明示して報告すること（過度な外挿は禁ずる）</w:t>
      </w:r>
      <w:r>
        <w:rPr>
          <w:rFonts w:hint="eastAsia"/>
        </w:rPr>
        <w:t xml:space="preserve">．</w:t>
      </w:r>
    </w:p>
    <w:p>
      <w:pPr>
        <w:pStyle w:val="FirstParagraph"/>
      </w:pPr>
      <w:r>
        <w:rPr>
          <w:rFonts w:hint="eastAsia"/>
        </w:rPr>
        <w:t xml:space="preserve">参考文献に基づく拡張的根拠は上記の通りである．必要であれば，本節を図・フローチャート（測定手順）および簡易不確かさ表とともに差分で挿入し，latexmk</w:t>
      </w:r>
      <w:r>
        <w:t xml:space="preserve"> </w:t>
      </w:r>
      <w:r>
        <w:rPr>
          <w:rFonts w:hint="eastAsia"/>
        </w:rPr>
        <w:t xml:space="preserve">によるコンパイル確認まで実行する。</w:t>
      </w:r>
    </w:p>
    <w:bookmarkEnd w:id="34"/>
    <w:bookmarkEnd w:id="35"/>
    <w:bookmarkStart w:id="36" w:name="構造と励振メカニズム"/>
    <w:p>
      <w:pPr>
        <w:pStyle w:val="Heading4"/>
      </w:pPr>
      <w:r>
        <w:rPr>
          <w:rFonts w:hint="eastAsia"/>
        </w:rPr>
        <w:t xml:space="preserve">構造と励振メカニズム</w:t>
      </w:r>
    </w:p>
    <w:p>
      <w:pPr>
        <w:pStyle w:val="FirstParagraph"/>
      </w:pPr>
      <w:r>
        <w:rPr>
          <w:rFonts w:hint="eastAsia"/>
        </w:rPr>
        <w:t xml:space="preserve">測定では，測定対象の誘電体基板2枚を準備し，中央に厚さ</w:t>
      </w:r>
      <m:oMath>
        <m:sSub>
          <m:e>
            <m:r>
              <m:t>t</m:t>
            </m:r>
          </m:e>
          <m:sub>
            <m:r>
              <m:t>c</m:t>
            </m:r>
          </m:sub>
        </m:sSub>
        <m:r>
          <m:rPr>
            <m:sty m:val="p"/>
          </m:rPr>
          <m:t>=</m:t>
        </m:r>
        <m:r>
          <m:t>0.06</m:t>
        </m:r>
      </m:oMath>
      <w:r>
        <w:t xml:space="preserve"> </w:t>
      </w:r>
      <w:r>
        <w:rPr>
          <w:rFonts w:hint="eastAsia"/>
        </w:rPr>
        <w:t xml:space="preserve">mm，直径</w:t>
      </w:r>
      <m:oMath>
        <m:r>
          <m:t>D</m:t>
        </m:r>
      </m:oMath>
      <w:r>
        <w:rPr>
          <w:rFonts w:hint="eastAsia"/>
        </w:rPr>
        <w:t xml:space="preserve">の銅円板電極を挟み込み，上下から銅平板電極で圧着する．銅平板の中央には直径</w:t>
      </w:r>
      <m:oMath>
        <m:r>
          <m:t>2</m:t>
        </m:r>
        <m:r>
          <m:t>a</m:t>
        </m:r>
      </m:oMath>
      <w:r>
        <w:rPr>
          <w:rFonts w:hint="eastAsia"/>
        </w:rPr>
        <w:t xml:space="preserve">の励振孔が設けられており，同軸線路で電界結合励振を行う．</w:t>
      </w:r>
    </w:p>
    <w:p>
      <w:pPr>
        <w:pStyle w:val="BodyText"/>
      </w:pPr>
      <w:r>
        <w:rPr>
          <w:rFonts w:hint="eastAsia"/>
        </w:rPr>
        <w:t xml:space="preserve">この構造の最大の特徴は，</w:t>
      </w:r>
      <w:r>
        <w:rPr>
          <w:rFonts w:hint="eastAsia"/>
          <w:b/>
          <w:bCs/>
        </w:rPr>
        <w:t xml:space="preserve">円板中心軸上の対称性</w:t>
      </w:r>
      <w:r>
        <w:rPr>
          <w:rFonts w:hint="eastAsia"/>
        </w:rPr>
        <w:t xml:space="preserve">により，TM</w:t>
      </w:r>
      <m:oMath>
        <m:sSub>
          <m:e>
            <m:r>
              <m:t>​</m:t>
            </m:r>
          </m:e>
          <m:sub>
            <m:r>
              <m:t>0</m:t>
            </m:r>
            <m:r>
              <m:t>m</m:t>
            </m:r>
            <m:r>
              <m:t>0</m:t>
            </m:r>
          </m:sub>
        </m:sSub>
      </m:oMath>
      <w:r>
        <w:rPr>
          <w:rFonts w:hint="eastAsia"/>
        </w:rPr>
        <w:t xml:space="preserve">モード（</w:t>
      </w:r>
      <m:oMath>
        <m:r>
          <m:t>m</m:t>
        </m:r>
        <m:r>
          <m:rPr>
            <m:sty m:val="p"/>
          </m:rPr>
          <m:t>=</m:t>
        </m:r>
        <m:r>
          <m:t>1</m:t>
        </m:r>
        <m:r>
          <m:rPr>
            <m:sty m:val="p"/>
          </m:rPr>
          <m:t>,</m:t>
        </m:r>
        <m:r>
          <m:t>2</m:t>
        </m:r>
        <m:r>
          <m:rPr>
            <m:sty m:val="p"/>
          </m:rPr>
          <m:t>,</m:t>
        </m:r>
        <m:r>
          <m:t>3</m:t>
        </m:r>
        <m:r>
          <m:rPr>
            <m:sty m:val="p"/>
          </m:rPr>
          <m:t>,</m:t>
        </m:r>
        <m:r>
          <m:rPr>
            <m:sty m:val="p"/>
          </m:rPr>
          <m:t>…</m:t>
        </m:r>
      </m:oMath>
      <w:r>
        <w:rPr>
          <w:rFonts w:hint="eastAsia"/>
        </w:rPr>
        <w:t xml:space="preserve">）のみが選択的に励振され，他の不要モードが十分に抑制される点にある．これにより，モード干渉の問題を回避し，高次モードを用いた広帯域測定が可能となる．</w:t>
      </w:r>
    </w:p>
    <w:bookmarkEnd w:id="36"/>
    <w:bookmarkStart w:id="37" w:name="mode-matching法による厳密解析"/>
    <w:p>
      <w:pPr>
        <w:pStyle w:val="Heading4"/>
      </w:pPr>
      <w:r>
        <w:rPr>
          <w:rFonts w:hint="eastAsia"/>
        </w:rPr>
        <w:t xml:space="preserve">Mode-Matching法による厳密解析</w:t>
      </w:r>
    </w:p>
    <w:p>
      <w:pPr>
        <w:pStyle w:val="FirstParagraph"/>
      </w:pPr>
      <w:r>
        <w:rPr>
          <w:rFonts w:hint="eastAsia"/>
        </w:rPr>
        <w:t xml:space="preserve">BCDR法では，励振孔まで厳密に考慮したMode-Matching法による電磁界解析が用いられる</w:t>
      </w:r>
      <w:r>
        <w:rPr>
          <w:rFonts w:hint="eastAsia"/>
        </w:rPr>
        <w:t xml:space="preserve">．解析では，共振器内部を複数の領域に分割し，各領域で固有モード展開を行い，境界条件で結合させる．これにより，共振周波数</w:t>
      </w:r>
      <m:oMath>
        <m:sSub>
          <m:e>
            <m:r>
              <m:t>f</m:t>
            </m:r>
          </m:e>
          <m:sub>
            <m:r>
              <m:t>0</m:t>
            </m:r>
            <m:r>
              <m:t>m</m:t>
            </m:r>
            <m:r>
              <m:t>0</m:t>
            </m:r>
          </m:sub>
        </m:sSub>
      </m:oMath>
      <w:r>
        <w:rPr>
          <w:rFonts w:hint="eastAsia"/>
        </w:rPr>
        <w:t xml:space="preserve">と比誘電率</w:t>
      </w:r>
      <m:oMath>
        <m:sSubSup>
          <m:e>
            <m:r>
              <m:t>ε</m:t>
            </m:r>
          </m:e>
          <m:sub>
            <m:r>
              <m:t>r</m:t>
            </m:r>
          </m:sub>
          <m:sup>
            <m:r>
              <m:rPr>
                <m:sty m:val="p"/>
              </m:rPr>
              <m:t>′</m:t>
            </m:r>
          </m:sup>
        </m:sSubSup>
      </m:oMath>
      <w:r>
        <w:rPr>
          <w:rFonts w:hint="eastAsia"/>
        </w:rPr>
        <w:t xml:space="preserve">の関係式が導出される：</w:t>
      </w:r>
    </w:p>
    <w:p>
      <w:pPr>
        <w:pStyle w:val="BodyText"/>
      </w:pPr>
      <m:oMathPara>
        <m:oMathParaPr>
          <m:jc m:val="center"/>
        </m:oMathParaPr>
        <m:oMath>
          <m:r>
            <m:rPr>
              <m:sty m:val="p"/>
            </m:rPr>
            <m:t>det</m:t>
          </m:r>
          <m:r>
            <m:t>H</m:t>
          </m:r>
          <m:r>
            <m:rPr>
              <m:sty m:val="p"/>
            </m:rPr>
            <m:t>(</m:t>
          </m:r>
          <m:sSubSup>
            <m:e>
              <m:r>
                <m:t>ε</m:t>
              </m:r>
            </m:e>
            <m:sub>
              <m:r>
                <m:t>r</m:t>
              </m:r>
            </m:sub>
            <m:sup>
              <m:r>
                <m:rPr>
                  <m:sty m:val="p"/>
                </m:rPr>
                <m:t>′</m:t>
              </m:r>
            </m:sup>
          </m:sSubSup>
          <m:r>
            <m:rPr>
              <m:sty m:val="p"/>
            </m:rPr>
            <m:t>;</m:t>
          </m:r>
          <m:sSub>
            <m:e>
              <m:r>
                <m:t>f</m:t>
              </m:r>
            </m:e>
            <m:sub>
              <m:r>
                <m:t>0</m:t>
              </m:r>
              <m:r>
                <m:t>m</m:t>
              </m:r>
              <m:r>
                <m:t>0</m:t>
              </m:r>
            </m:sub>
          </m:sSub>
          <m:r>
            <m:rPr>
              <m:sty m:val="p"/>
            </m:rPr>
            <m:t>,</m:t>
          </m:r>
          <m:r>
            <m:t>R</m:t>
          </m:r>
          <m:r>
            <m:rPr>
              <m:sty m:val="p"/>
            </m:rPr>
            <m:t>+</m:t>
          </m:r>
          <m:r>
            <m:rPr>
              <m:sty m:val="p"/>
            </m:rPr>
            <m:t>Δ</m:t>
          </m:r>
          <m:r>
            <m:t>R</m:t>
          </m:r>
          <m:r>
            <m:rPr>
              <m:sty m:val="p"/>
            </m:rPr>
            <m:t>,</m:t>
          </m:r>
          <m:r>
            <m:t>a</m:t>
          </m:r>
          <m:r>
            <m:rPr>
              <m:sty m:val="p"/>
            </m:rPr>
            <m:t>,</m:t>
          </m:r>
          <m:r>
            <m:t>M</m:t>
          </m:r>
          <m:r>
            <m:rPr>
              <m:sty m:val="p"/>
            </m:rPr>
            <m:t>,</m:t>
          </m:r>
          <m:r>
            <m:t>t</m:t>
          </m:r>
          <m:r>
            <m:rPr>
              <m:sty m:val="p"/>
            </m:rPr>
            <m:t>)</m:t>
          </m:r>
          <m:r>
            <m:rPr>
              <m:sty m:val="p"/>
            </m:rPr>
            <m:t>=</m:t>
          </m:r>
          <m:r>
            <m:t>0</m:t>
          </m:r>
        </m:oMath>
      </m:oMathPara>
    </w:p>
    <w:p>
      <w:pPr>
        <w:pStyle w:val="FirstParagraph"/>
      </w:pPr>
      <w:r>
        <w:rPr>
          <w:rFonts w:hint="eastAsia"/>
        </w:rPr>
        <w:t xml:space="preserve">ここで，</w:t>
      </w:r>
      <m:oMath>
        <m:r>
          <m:t>R</m:t>
        </m:r>
      </m:oMath>
      <w:r>
        <w:rPr>
          <w:rFonts w:hint="eastAsia"/>
        </w:rPr>
        <w:t xml:space="preserve">は銅円板半径，</w:t>
      </w:r>
      <m:oMath>
        <m:r>
          <m:rPr>
            <m:sty m:val="p"/>
          </m:rPr>
          <m:t>Δ</m:t>
        </m:r>
        <m:r>
          <m:t>R</m:t>
        </m:r>
      </m:oMath>
      <w:r>
        <w:rPr>
          <w:rFonts w:hint="eastAsia"/>
        </w:rPr>
        <w:t xml:space="preserve">は縁端効果による補正量，</w:t>
      </w:r>
      <m:oMath>
        <m:r>
          <m:t>a</m:t>
        </m:r>
      </m:oMath>
      <w:r>
        <w:rPr>
          <w:rFonts w:hint="eastAsia"/>
        </w:rPr>
        <w:t xml:space="preserve">は励振孔半径，</w:t>
      </w:r>
      <m:oMath>
        <m:r>
          <m:t>M</m:t>
        </m:r>
      </m:oMath>
      <w:r>
        <w:rPr>
          <w:rFonts w:hint="eastAsia"/>
        </w:rPr>
        <w:t xml:space="preserve">は励振孔長さ，</w:t>
      </w:r>
      <m:oMath>
        <m:r>
          <m:t>t</m:t>
        </m:r>
      </m:oMath>
      <w:r>
        <w:rPr>
          <w:rFonts w:hint="eastAsia"/>
        </w:rPr>
        <w:t xml:space="preserve">は誘電体厚さである．</w:t>
      </w:r>
    </w:p>
    <w:bookmarkEnd w:id="37"/>
    <w:bookmarkStart w:id="38" w:name="改良型フルウェーブモーダル解析"/>
    <w:p>
      <w:pPr>
        <w:pStyle w:val="Heading4"/>
      </w:pPr>
      <w:r>
        <w:rPr>
          <w:rFonts w:hint="eastAsia"/>
        </w:rPr>
        <w:t xml:space="preserve">改良型フルウェーブ・モーダル解析</w:t>
      </w:r>
    </w:p>
    <w:p>
      <w:pPr>
        <w:pStyle w:val="FirstParagraph"/>
      </w:pPr>
      <w:r>
        <w:rPr>
          <w:rFonts w:hint="eastAsia"/>
        </w:rPr>
        <w:t xml:space="preserve">従来のMode-matching解析では,誘電体領域が磁気壁で囲まれた円筒として近似され,励振孔の効果が簡略化されていた.このため,特に高誘電率材料やD-band（110</w:t>
      </w:r>
      <w:r>
        <w:t xml:space="preserve"> 170 </w:t>
      </w:r>
      <w:r>
        <w:rPr>
          <w:rFonts w:hint="eastAsia"/>
        </w:rPr>
        <w:t xml:space="preserve">GHz）以上の周波数帯では,測定結果に系統誤差が生じることが知られていた.</w:t>
      </w:r>
    </w:p>
    <w:p>
      <w:pPr>
        <w:pStyle w:val="BodyText"/>
      </w:pPr>
      <w:r>
        <w:rPr>
          <w:rFonts w:hint="eastAsia"/>
        </w:rPr>
        <w:t xml:space="preserve">改良型フルウェーブ・モーダル解析では,以下の改善が加えられている</w:t>
      </w:r>
      <w:r>
        <w:rPr>
          <w:rFonts w:hint="eastAsia"/>
        </w:rPr>
        <w:t xml:space="preserve">：</w:t>
      </w:r>
    </w:p>
    <w:p>
      <w:pPr>
        <w:numPr>
          <w:ilvl w:val="0"/>
          <w:numId w:val="1007"/>
        </w:numPr>
      </w:pPr>
      <w:r>
        <w:rPr>
          <w:rFonts w:hint="eastAsia"/>
          <w:b/>
          <w:bCs/>
        </w:rPr>
        <w:t xml:space="preserve">励振孔の厳密な表現</w:t>
      </w:r>
      <w:r>
        <w:rPr>
          <w:rFonts w:hint="eastAsia"/>
        </w:rPr>
        <w:t xml:space="preserve">：励振孔を含む全体の共振器構造を,複数の単純な要素に分割（circuit</w:t>
      </w:r>
      <w:r>
        <w:t xml:space="preserve"> </w:t>
      </w:r>
      <w:r>
        <w:rPr>
          <w:rFonts w:hint="eastAsia"/>
        </w:rPr>
        <w:t xml:space="preserve">segmentation）し,各要素の伝送行列（admittance</w:t>
      </w:r>
      <w:r>
        <w:t xml:space="preserve"> </w:t>
      </w:r>
      <w:r>
        <w:rPr>
          <w:rFonts w:hint="eastAsia"/>
        </w:rPr>
        <w:t xml:space="preserve">matrix）をmode-matching解析で計算して結合する．</w:t>
      </w:r>
    </w:p>
    <w:p>
      <w:pPr>
        <w:numPr>
          <w:ilvl w:val="0"/>
          <w:numId w:val="1007"/>
        </w:numPr>
      </w:pPr>
      <w:r>
        <w:rPr>
          <w:rFonts w:hint="eastAsia"/>
          <w:b/>
          <w:bCs/>
        </w:rPr>
        <w:t xml:space="preserve">放射損失の正確な評価</w:t>
      </w:r>
      <w:r>
        <w:rPr>
          <w:rFonts w:hint="eastAsia"/>
        </w:rPr>
        <w:t xml:space="preserve">：誘電体シートからの電磁波放射を厳密に考慮し，カットオフ周波数</w:t>
      </w:r>
      <m:oMath>
        <m:sSubSup>
          <m:e>
            <m:r>
              <m:t>f</m:t>
            </m:r>
          </m:e>
          <m:sub>
            <m:r>
              <m:t>c</m:t>
            </m:r>
          </m:sub>
          <m:sup>
            <m:r>
              <m:rPr>
                <m:nor/>
                <m:sty m:val="p"/>
              </m:rPr>
              <m:t>rad</m:t>
            </m:r>
          </m:sup>
        </m:sSubSup>
      </m:oMath>
      <w:r>
        <w:rPr>
          <w:rFonts w:hint="eastAsia"/>
        </w:rPr>
        <w:t xml:space="preserve">に近い領域での計算精度を向上．</w:t>
      </w:r>
    </w:p>
    <w:p>
      <w:pPr>
        <w:numPr>
          <w:ilvl w:val="0"/>
          <w:numId w:val="1007"/>
        </w:numPr>
      </w:pPr>
      <w:r>
        <w:rPr>
          <w:b/>
          <w:bCs/>
        </w:rPr>
        <w:t xml:space="preserve">TM</w:t>
      </w:r>
      <m:oMath>
        <m:sSub>
          <m:e>
            <m:r>
              <m:t>​</m:t>
            </m:r>
          </m:e>
          <m:sub>
            <m:r>
              <m:t>0</m:t>
            </m:r>
            <m:r>
              <m:t>m</m:t>
            </m:r>
          </m:sub>
        </m:sSub>
      </m:oMath>
      <w:r>
        <w:rPr>
          <w:rFonts w:hint="eastAsia"/>
          <w:b/>
          <w:bCs/>
        </w:rPr>
        <w:t xml:space="preserve">モードのみの計算</w:t>
      </w:r>
      <w:r>
        <w:rPr>
          <w:rFonts w:hint="eastAsia"/>
        </w:rPr>
        <w:t xml:space="preserve">：円筒対称性により，TM</w:t>
      </w:r>
      <m:oMath>
        <m:sSub>
          <m:e>
            <m:r>
              <m:t>​</m:t>
            </m:r>
          </m:e>
          <m:sub>
            <m:r>
              <m:t>0</m:t>
            </m:r>
            <m:r>
              <m:t>m</m:t>
            </m:r>
          </m:sub>
        </m:sSub>
      </m:oMath>
      <w:r>
        <w:rPr>
          <w:rFonts w:hint="eastAsia"/>
        </w:rPr>
        <w:t xml:space="preserve">モードのみを考慮すればよく，TE</w:t>
      </w:r>
      <m:oMath>
        <m:sSub>
          <m:e>
            <m:r>
              <m:t>​</m:t>
            </m:r>
          </m:e>
          <m:sub>
            <m:r>
              <m:t>n</m:t>
            </m:r>
            <m:r>
              <m:t>m</m:t>
            </m:r>
          </m:sub>
        </m:sSub>
      </m:oMath>
      <w:r>
        <w:rPr>
          <w:rFonts w:hint="eastAsia"/>
        </w:rPr>
        <w:t xml:space="preserve">（</w:t>
      </w:r>
      <m:oMath>
        <m:r>
          <m:t>n</m:t>
        </m:r>
        <m:r>
          <m:rPr>
            <m:sty m:val="p"/>
          </m:rPr>
          <m:t>≠</m:t>
        </m:r>
        <m:r>
          <m:t>0</m:t>
        </m:r>
      </m:oMath>
      <w:r>
        <w:rPr>
          <w:rFonts w:hint="eastAsia"/>
        </w:rPr>
        <w:t xml:space="preserve">）や混合モードは自動的に分離される．</w:t>
      </w:r>
    </w:p>
    <w:p>
      <w:pPr>
        <w:pStyle w:val="FirstParagraph"/>
      </w:pPr>
      <w:r>
        <w:rPr>
          <w:rFonts w:hint="eastAsia"/>
        </w:rPr>
        <w:t xml:space="preserve">この手法により，D-band（110</w:t>
      </w:r>
      <w:r>
        <w:t xml:space="preserve"> 170 </w:t>
      </w:r>
      <w:r>
        <w:rPr>
          <w:rFonts w:hint="eastAsia"/>
        </w:rPr>
        <w:t xml:space="preserve">GHz）を含む超広帯域での高精度測定が実現され，従来法に比べて誘電率の測定値の信頼性が大幅に向上している</w:t>
      </w:r>
      <w:r>
        <w:rPr>
          <w:rFonts w:hint="eastAsia"/>
        </w:rPr>
        <w:t xml:space="preserve">．</w:t>
      </w:r>
    </w:p>
    <w:bookmarkEnd w:id="38"/>
    <w:bookmarkStart w:id="39" w:name="測定パラメータの導出"/>
    <w:p>
      <w:pPr>
        <w:pStyle w:val="Heading4"/>
      </w:pPr>
      <w:r>
        <w:rPr>
          <w:rFonts w:hint="eastAsia"/>
        </w:rPr>
        <w:t xml:space="preserve">測定パラメータの導出</w:t>
      </w:r>
    </w:p>
    <w:p>
      <w:pPr>
        <w:pStyle w:val="FirstParagraph"/>
      </w:pPr>
      <w:r>
        <w:rPr>
          <w:rFonts w:hint="eastAsia"/>
        </w:rPr>
        <w:t xml:space="preserve">ベクトル・ネットワーク・アナライザ（Keysight</w:t>
      </w:r>
      <w:r>
        <w:t xml:space="preserve"> N5222B または </w:t>
      </w:r>
      <w:r>
        <w:rPr>
          <w:rFonts w:hint="eastAsia"/>
        </w:rPr>
        <w:t xml:space="preserve">N5227A）で透過係数</w:t>
      </w:r>
      <m:oMath>
        <m:sSub>
          <m:e>
            <m:r>
              <m:t>S</m:t>
            </m:r>
          </m:e>
          <m:sub>
            <m:r>
              <m:t>21</m:t>
            </m:r>
          </m:sub>
        </m:sSub>
      </m:oMath>
      <w:r>
        <w:rPr>
          <w:rFonts w:hint="eastAsia"/>
        </w:rPr>
        <w:t xml:space="preserve">を測定し,以下のパラメータを導出する：</w:t>
      </w:r>
    </w:p>
    <w:p>
      <w:pPr>
        <w:numPr>
          <w:ilvl w:val="0"/>
          <w:numId w:val="1008"/>
        </w:numPr>
      </w:pPr>
      <w:r>
        <w:rPr>
          <w:rFonts w:hint="eastAsia"/>
          <w:b/>
          <w:bCs/>
        </w:rPr>
        <w:t xml:space="preserve">比誘電率</w:t>
      </w:r>
      <m:oMath>
        <m:sSubSup>
          <m:e>
            <m:r>
              <m:t>ε</m:t>
            </m:r>
          </m:e>
          <m:sub>
            <m:r>
              <m:t>r</m:t>
            </m:r>
          </m:sub>
          <m:sup>
            <m:r>
              <m:rPr>
                <m:sty m:val="p"/>
              </m:rPr>
              <m:t>′</m:t>
            </m:r>
          </m:sup>
        </m:sSubSup>
      </m:oMath>
      <w:r>
        <w:rPr>
          <w:rFonts w:hint="eastAsia"/>
        </w:rPr>
        <w:t xml:space="preserve">：共振周波数</w:t>
      </w:r>
      <m:oMath>
        <m:sSub>
          <m:e>
            <m:r>
              <m:t>f</m:t>
            </m:r>
          </m:e>
          <m:sub>
            <m:r>
              <m:t>0</m:t>
            </m:r>
            <m:r>
              <m:t>m</m:t>
            </m:r>
            <m:r>
              <m:t>0</m:t>
            </m:r>
          </m:sub>
        </m:sSub>
      </m:oMath>
      <w:r>
        <w:rPr>
          <w:rFonts w:hint="eastAsia"/>
        </w:rPr>
        <w:t xml:space="preserve">から上記の改良型フルウェーブ解析により数値的に決定</w:t>
      </w:r>
    </w:p>
    <w:p>
      <w:pPr>
        <w:numPr>
          <w:ilvl w:val="0"/>
          <w:numId w:val="1008"/>
        </w:numPr>
      </w:pPr>
      <w:r>
        <w:rPr>
          <w:rFonts w:hint="eastAsia"/>
          <w:b/>
          <w:bCs/>
        </w:rPr>
        <w:t xml:space="preserve">誘電正接</w:t>
      </w:r>
      <m:oMath>
        <m:r>
          <m:rPr>
            <m:sty m:val="p"/>
          </m:rPr>
          <m:t>tan</m:t>
        </m:r>
        <m:r>
          <m:t>δ</m:t>
        </m:r>
      </m:oMath>
      <w:r>
        <w:rPr>
          <w:rFonts w:hint="eastAsia"/>
        </w:rPr>
        <w:t xml:space="preserve">：無負荷Q値</w:t>
      </w:r>
      <m:oMath>
        <m:sSub>
          <m:e>
            <m:r>
              <m:t>Q</m:t>
            </m:r>
          </m:e>
          <m:sub>
            <m:r>
              <m:t>u</m:t>
            </m:r>
          </m:sub>
        </m:sSub>
      </m:oMath>
      <w:r>
        <w:rPr>
          <w:rFonts w:hint="eastAsia"/>
        </w:rPr>
        <w:t xml:space="preserve">から導出．導体損失の影響を分離するため，次式を用いる：</w:t>
      </w:r>
    </w:p>
    <w:p>
      <w:pPr>
        <w:pStyle w:val="BodyText"/>
      </w:pPr>
      <m:oMathPara>
        <m:oMathParaPr>
          <m:jc m:val="center"/>
        </m:oMathParaPr>
        <m:oMath>
          <m:r>
            <m:rPr>
              <m:sty m:val="p"/>
            </m:rPr>
            <m:t>tan</m:t>
          </m:r>
          <m:r>
            <m:t>δ</m:t>
          </m:r>
          <m:r>
            <m:rPr>
              <m:sty m:val="p"/>
            </m:rPr>
            <m:t>=</m:t>
          </m:r>
          <m:f>
            <m:fPr>
              <m:type m:val="bar"/>
            </m:fPr>
            <m:num>
              <m:r>
                <m:t>1</m:t>
              </m:r>
            </m:num>
            <m:den>
              <m:sSub>
                <m:e>
                  <m:r>
                    <m:t>Q</m:t>
                  </m:r>
                </m:e>
                <m:sub>
                  <m:r>
                    <m:t>u</m:t>
                  </m:r>
                </m:sub>
              </m:sSub>
            </m:den>
          </m:f>
          <m:d>
            <m:dPr>
              <m:begChr m:val="("/>
              <m:sepChr m:val=""/>
              <m:endChr m:val=")"/>
              <m:grow/>
            </m:dPr>
            <m:e>
              <m:r>
                <m:t>1</m:t>
              </m:r>
              <m:r>
                <m:rPr>
                  <m:sty m:val="p"/>
                </m:rPr>
                <m:t>−</m:t>
              </m:r>
              <m:f>
                <m:fPr>
                  <m:type m:val="bar"/>
                </m:fPr>
                <m:num>
                  <m:sSub>
                    <m:e>
                      <m:r>
                        <m:t>R</m:t>
                      </m:r>
                    </m:e>
                    <m:sub>
                      <m:r>
                        <m:t>s</m:t>
                      </m:r>
                    </m:sub>
                  </m:sSub>
                </m:num>
                <m:den>
                  <m:r>
                    <m:t>B</m:t>
                  </m:r>
                </m:den>
              </m:f>
            </m:e>
          </m:d>
          <m:r>
            <m:rPr>
              <m:sty m:val="p"/>
            </m:rPr>
            <m:t>(</m:t>
          </m:r>
          <m:r>
            <m:t>1</m:t>
          </m:r>
          <m:r>
            <m:rPr>
              <m:sty m:val="p"/>
            </m:rPr>
            <m:t>+</m:t>
          </m:r>
          <m:r>
            <m:t>A</m:t>
          </m:r>
          <m:r>
            <m:rPr>
              <m:sty m:val="p"/>
            </m:rPr>
            <m:t>)</m:t>
          </m:r>
        </m:oMath>
      </m:oMathPara>
    </w:p>
    <w:p>
      <w:pPr>
        <w:numPr>
          <w:ilvl w:val="0"/>
          <w:numId w:val="1000"/>
        </w:numPr>
      </w:pPr>
      <w:r>
        <w:t xml:space="preserve">ここで,</w:t>
      </w:r>
      <m:oMath>
        <m:sSub>
          <m:e>
            <m:r>
              <m:t>R</m:t>
            </m:r>
          </m:e>
          <m:sub>
            <m:r>
              <m:t>s</m:t>
            </m:r>
          </m:sub>
        </m:sSub>
        <m:r>
          <m:rPr>
            <m:sty m:val="p"/>
          </m:rPr>
          <m:t>=</m:t>
        </m:r>
        <m:rad>
          <m:radPr>
            <m:degHide m:val="on"/>
          </m:radPr>
          <m:deg/>
          <m:e>
            <m:r>
              <m:t>π</m:t>
            </m:r>
            <m:r>
              <m:t>f</m:t>
            </m:r>
            <m:sSub>
              <m:e>
                <m:r>
                  <m:t>μ</m:t>
                </m:r>
              </m:e>
              <m:sub>
                <m:r>
                  <m:t>0</m:t>
                </m:r>
              </m:sub>
            </m:sSub>
            <m:r>
              <m:rPr>
                <m:sty m:val="p"/>
              </m:rPr>
              <m:t>/</m:t>
            </m:r>
            <m:r>
              <m:t>σ</m:t>
            </m:r>
          </m:e>
        </m:rad>
      </m:oMath>
      <w:r>
        <w:rPr>
          <w:rFonts w:hint="eastAsia"/>
        </w:rPr>
        <w:t xml:space="preserve">は表面抵抗,</w:t>
      </w:r>
      <m:oMath>
        <m:r>
          <m:t>A</m:t>
        </m:r>
      </m:oMath>
      <w:r>
        <w:rPr>
          <w:rFonts w:hint="eastAsia"/>
        </w:rPr>
        <w:t xml:space="preserve">，</w:t>
      </w:r>
      <m:oMath>
        <m:r>
          <m:t>B</m:t>
        </m:r>
      </m:oMath>
      <w:r>
        <w:rPr>
          <w:rFonts w:hint="eastAsia"/>
        </w:rPr>
        <w:t xml:space="preserve">は数値解析により求められる補正定数である.この式は，誘電体内に埋め込まれた導体円板の損失（表面抵抗により決定）を考慮し，実測のQ値からそれを差引くことで，純粋な誘電損失を抽出する手法である．</w:t>
      </w:r>
    </w:p>
    <w:bookmarkEnd w:id="39"/>
    <w:bookmarkEnd w:id="40"/>
    <w:bookmarkStart w:id="46" w:name="測定手順と実効導電率の算出"/>
    <w:p>
      <w:pPr>
        <w:pStyle w:val="Heading3"/>
      </w:pPr>
      <w:r>
        <w:rPr>
          <w:rFonts w:hint="eastAsia"/>
        </w:rPr>
        <w:t xml:space="preserve">測定手順と実効導電率の算出</w:t>
      </w:r>
    </w:p>
    <w:p>
      <w:pPr>
        <w:pStyle w:val="FirstParagraph"/>
      </w:pPr>
      <w:r>
        <w:rPr>
          <w:rFonts w:hint="eastAsia"/>
        </w:rPr>
        <w:t xml:space="preserve">実効導電率の測定は，提案された2ステッププロセスに基づき実施される（手法の詳細は文献参照）</w:t>
      </w:r>
      <w:r>
        <w:rPr>
          <w:rFonts w:hint="eastAsia"/>
        </w:rPr>
        <w:t xml:space="preserve">.本手法の原理は，共振器のQ値が誘電損失と導体損失の両方に依存することを利用し，誘電損失が既知の試料に対して導体損失を分離評価するものである．</w:t>
      </w:r>
    </w:p>
    <w:bookmarkStart w:id="41" w:name="プロセス1基板の複素誘電率測定誘電損失の評価"/>
    <w:p>
      <w:pPr>
        <w:pStyle w:val="Heading4"/>
      </w:pPr>
      <w:r>
        <w:rPr>
          <w:rFonts w:hint="eastAsia"/>
        </w:rPr>
        <w:t xml:space="preserve">プロセス(1)：基板の複素誘電率測定（誘電損失の評価）</w:t>
      </w:r>
    </w:p>
    <w:p>
      <w:pPr>
        <w:pStyle w:val="FirstParagraph"/>
      </w:pPr>
      <w:r>
        <w:rPr>
          <w:rFonts w:hint="eastAsia"/>
        </w:rPr>
        <w:t xml:space="preserve">まず，評価対象の基板（例：MEGTRON6）から銅箔を化学エッチング等で完全に除去した誘電体シートを2枚準備する．その間に，参照用の標準銅円板（例：直径</w:t>
      </w:r>
      <m:oMath>
        <m:r>
          <m:t>D</m:t>
        </m:r>
        <m:r>
          <m:rPr>
            <m:sty m:val="p"/>
          </m:rPr>
          <m:t>=</m:t>
        </m:r>
        <m:r>
          <m:t>15</m:t>
        </m:r>
      </m:oMath>
      <w:r>
        <w:t xml:space="preserve"> </w:t>
      </w:r>
      <w:r>
        <w:rPr>
          <w:rFonts w:hint="eastAsia"/>
        </w:rPr>
        <w:t xml:space="preserve">mm，直流バルク導電率</w:t>
      </w:r>
      <w:r>
        <w:t xml:space="preserve"> </w:t>
      </w:r>
      <m:oMath>
        <m:sSub>
          <m:e>
            <m:r>
              <m:t>σ</m:t>
            </m:r>
          </m:e>
          <m:sub>
            <m:r>
              <m:t>0</m:t>
            </m:r>
          </m:sub>
        </m:sSub>
        <m:r>
          <m:rPr>
            <m:sty m:val="p"/>
          </m:rPr>
          <m:t>=</m:t>
        </m:r>
        <m:r>
          <m:t>5.8</m:t>
        </m:r>
        <m:r>
          <m:rPr>
            <m:sty m:val="p"/>
          </m:rPr>
          <m:t>×</m:t>
        </m:r>
        <m:sSup>
          <m:e>
            <m:r>
              <m:t>10</m:t>
            </m:r>
          </m:e>
          <m:sup>
            <m:r>
              <m:t>7</m:t>
            </m:r>
          </m:sup>
        </m:sSup>
      </m:oMath>
      <w:r>
        <w:t xml:space="preserve"> </w:t>
      </w:r>
      <w:r>
        <w:rPr>
          <w:rFonts w:hint="eastAsia"/>
        </w:rPr>
        <w:t xml:space="preserve">S/m）を挟み込む．BCDRで複数の共振モード（TM</w:t>
      </w:r>
      <m:oMath>
        <m:sSub>
          <m:e>
            <m:r>
              <m:t>​</m:t>
            </m:r>
          </m:e>
          <m:sub>
            <m:r>
              <m:t>010</m:t>
            </m:r>
          </m:sub>
        </m:sSub>
      </m:oMath>
      <w:r>
        <w:rPr>
          <w:rFonts w:hint="eastAsia"/>
        </w:rPr>
        <w:t xml:space="preserve">～TM</w:t>
      </w:r>
      <m:oMath>
        <m:sSub>
          <m:e>
            <m:r>
              <m:t>​</m:t>
            </m:r>
          </m:e>
          <m:sub>
            <m:r>
              <m:t>0</m:t>
            </m:r>
            <m:r>
              <m:t>m</m:t>
            </m:r>
            <m:r>
              <m:t>0</m:t>
            </m:r>
          </m:sub>
        </m:sSub>
      </m:oMath>
      <w:r>
        <w:rPr>
          <w:rFonts w:hint="eastAsia"/>
        </w:rPr>
        <w:t xml:space="preserve">）における共振周波数</w:t>
      </w:r>
      <m:oMath>
        <m:sSubSup>
          <m:e>
            <m:r>
              <m:t>f</m:t>
            </m:r>
          </m:e>
          <m:sub>
            <m:r>
              <m:t>0</m:t>
            </m:r>
            <m:r>
              <m:t>m</m:t>
            </m:r>
            <m:r>
              <m:t>0</m:t>
            </m:r>
          </m:sub>
          <m:sup>
            <m:r>
              <m:rPr>
                <m:nor/>
                <m:sty m:val="p"/>
              </m:rPr>
              <m:t>ref</m:t>
            </m:r>
          </m:sup>
        </m:sSubSup>
      </m:oMath>
      <w:r>
        <w:rPr>
          <w:rFonts w:hint="eastAsia"/>
        </w:rPr>
        <w:t xml:space="preserve">と無負荷Q値</w:t>
      </w:r>
      <m:oMath>
        <m:sSubSup>
          <m:e>
            <m:r>
              <m:t>Q</m:t>
            </m:r>
          </m:e>
          <m:sub>
            <m:r>
              <m:t>u</m:t>
            </m:r>
          </m:sub>
          <m:sup>
            <m:r>
              <m:rPr>
                <m:nor/>
                <m:sty m:val="p"/>
              </m:rPr>
              <m:t>ref</m:t>
            </m:r>
          </m:sup>
        </m:sSubSup>
      </m:oMath>
      <w:r>
        <w:rPr>
          <w:rFonts w:hint="eastAsia"/>
        </w:rPr>
        <w:t xml:space="preserve">を測定する．</w:t>
      </w:r>
    </w:p>
    <w:p>
      <w:pPr>
        <w:pStyle w:val="BodyText"/>
      </w:pPr>
      <w:r>
        <w:rPr>
          <w:rFonts w:hint="eastAsia"/>
        </w:rPr>
        <w:t xml:space="preserve">Mode-matching解析により比誘電率</w:t>
      </w:r>
      <m:oMath>
        <m:sSubSup>
          <m:e>
            <m:r>
              <m:t>ε</m:t>
            </m:r>
          </m:e>
          <m:sub>
            <m:r>
              <m:t>r</m:t>
            </m:r>
          </m:sub>
          <m:sup>
            <m:r>
              <m:rPr>
                <m:sty m:val="p"/>
              </m:rPr>
              <m:t>′</m:t>
            </m:r>
          </m:sup>
        </m:sSubSup>
      </m:oMath>
      <w:r>
        <w:rPr>
          <w:rFonts w:hint="eastAsia"/>
        </w:rPr>
        <w:t xml:space="preserve">を決定し，さらに次式から誘電正接</w:t>
      </w:r>
      <m:oMath>
        <m:r>
          <m:rPr>
            <m:sty m:val="p"/>
          </m:rPr>
          <m:t>tan</m:t>
        </m:r>
        <m:r>
          <m:t>δ</m:t>
        </m:r>
      </m:oMath>
      <w:r>
        <w:rPr>
          <w:rFonts w:hint="eastAsia"/>
        </w:rPr>
        <w:t xml:space="preserve">を算出する：</w:t>
      </w:r>
    </w:p>
    <w:p>
      <w:pPr>
        <w:pStyle w:val="BodyText"/>
      </w:pPr>
      <m:oMathPara>
        <m:oMathParaPr>
          <m:jc m:val="center"/>
        </m:oMathParaPr>
        <m:oMath>
          <m:r>
            <m:rPr>
              <m:sty m:val="p"/>
            </m:rPr>
            <m:t>tan</m:t>
          </m:r>
          <m:r>
            <m:t>δ</m:t>
          </m:r>
          <m:r>
            <m:rPr>
              <m:sty m:val="p"/>
            </m:rPr>
            <m:t>=</m:t>
          </m:r>
          <m:f>
            <m:fPr>
              <m:type m:val="bar"/>
            </m:fPr>
            <m:num>
              <m:r>
                <m:t>1</m:t>
              </m:r>
            </m:num>
            <m:den>
              <m:sSubSup>
                <m:e>
                  <m:r>
                    <m:t>Q</m:t>
                  </m:r>
                </m:e>
                <m:sub>
                  <m:r>
                    <m:t>u</m:t>
                  </m:r>
                </m:sub>
                <m:sup>
                  <m:r>
                    <m:rPr>
                      <m:nor/>
                      <m:sty m:val="p"/>
                    </m:rPr>
                    <m:t>ref</m:t>
                  </m:r>
                </m:sup>
              </m:sSubSup>
            </m:den>
          </m:f>
          <m:d>
            <m:dPr>
              <m:begChr m:val="("/>
              <m:sepChr m:val=""/>
              <m:endChr m:val=")"/>
              <m:grow/>
            </m:dPr>
            <m:e>
              <m:r>
                <m:t>1</m:t>
              </m:r>
              <m:r>
                <m:rPr>
                  <m:sty m:val="p"/>
                </m:rPr>
                <m:t>−</m:t>
              </m:r>
              <m:f>
                <m:fPr>
                  <m:type m:val="bar"/>
                </m:fPr>
                <m:num>
                  <m:sSubSup>
                    <m:e>
                      <m:r>
                        <m:t>R</m:t>
                      </m:r>
                    </m:e>
                    <m:sub>
                      <m:r>
                        <m:t>s</m:t>
                      </m:r>
                    </m:sub>
                    <m:sup>
                      <m:r>
                        <m:rPr>
                          <m:nor/>
                          <m:sty m:val="p"/>
                        </m:rPr>
                        <m:t>ref</m:t>
                      </m:r>
                    </m:sup>
                  </m:sSubSup>
                </m:num>
                <m:den>
                  <m:r>
                    <m:t>B</m:t>
                  </m:r>
                </m:den>
              </m:f>
            </m:e>
          </m:d>
          <m:r>
            <m:rPr>
              <m:sty m:val="p"/>
            </m:rPr>
            <m:t>(</m:t>
          </m:r>
          <m:r>
            <m:t>1</m:t>
          </m:r>
          <m:r>
            <m:rPr>
              <m:sty m:val="p"/>
            </m:rPr>
            <m:t>+</m:t>
          </m:r>
          <m:r>
            <m:t>A</m:t>
          </m:r>
          <m:r>
            <m:rPr>
              <m:sty m:val="p"/>
            </m:rPr>
            <m:t>)</m:t>
          </m:r>
        </m:oMath>
      </m:oMathPara>
    </w:p>
    <w:p>
      <w:pPr>
        <w:pStyle w:val="FirstParagraph"/>
      </w:pPr>
      <w:r>
        <w:rPr>
          <w:rFonts w:hint="eastAsia"/>
        </w:rPr>
        <w:t xml:space="preserve">ここで，</w:t>
      </w:r>
      <m:oMath>
        <m:sSubSup>
          <m:e>
            <m:r>
              <m:t>R</m:t>
            </m:r>
          </m:e>
          <m:sub>
            <m:r>
              <m:t>s</m:t>
            </m:r>
          </m:sub>
          <m:sup>
            <m:r>
              <m:rPr>
                <m:nor/>
                <m:sty m:val="p"/>
              </m:rPr>
              <m:t>ref</m:t>
            </m:r>
          </m:sup>
        </m:sSubSup>
        <m:r>
          <m:rPr>
            <m:sty m:val="p"/>
          </m:rPr>
          <m:t>=</m:t>
        </m:r>
        <m:rad>
          <m:radPr>
            <m:degHide m:val="on"/>
          </m:radPr>
          <m:deg/>
          <m:e>
            <m:r>
              <m:t>π</m:t>
            </m:r>
            <m:r>
              <m:t>f</m:t>
            </m:r>
            <m:sSub>
              <m:e>
                <m:r>
                  <m:t>μ</m:t>
                </m:r>
              </m:e>
              <m:sub>
                <m:r>
                  <m:t>0</m:t>
                </m:r>
              </m:sub>
            </m:sSub>
            <m:r>
              <m:rPr>
                <m:sty m:val="p"/>
              </m:rPr>
              <m:t>/</m:t>
            </m:r>
            <m:sSub>
              <m:e>
                <m:r>
                  <m:t>σ</m:t>
                </m:r>
              </m:e>
              <m:sub>
                <m:r>
                  <m:t>0</m:t>
                </m:r>
              </m:sub>
            </m:sSub>
          </m:e>
        </m:rad>
      </m:oMath>
      <w:r>
        <w:rPr>
          <w:rFonts w:hint="eastAsia"/>
        </w:rPr>
        <w:t xml:space="preserve">は標準銅の表面抵抗である．この測定により，評価対象基板の誘電損失（</w:t>
      </w:r>
      <m:oMath>
        <m:sSubSup>
          <m:e>
            <m:r>
              <m:t>ε</m:t>
            </m:r>
          </m:e>
          <m:sub>
            <m:r>
              <m:t>r</m:t>
            </m:r>
          </m:sub>
          <m:sup>
            <m:r>
              <m:rPr>
                <m:sty m:val="p"/>
              </m:rPr>
              <m:t>′</m:t>
            </m:r>
          </m:sup>
        </m:sSubSup>
        <m:r>
          <m:rPr>
            <m:sty m:val="p"/>
          </m:rPr>
          <m:t>tan</m:t>
        </m:r>
        <m:r>
          <m:t>δ</m:t>
        </m:r>
      </m:oMath>
      <w:r>
        <w:rPr>
          <w:rFonts w:hint="eastAsia"/>
        </w:rPr>
        <w:t xml:space="preserve">）が周波数の関数として確定する．</w:t>
      </w:r>
    </w:p>
    <w:bookmarkEnd w:id="41"/>
    <w:bookmarkStart w:id="42" w:name="プロセス2実基板銅箔の実効導電率測定導体損失の評価"/>
    <w:p>
      <w:pPr>
        <w:pStyle w:val="Heading4"/>
      </w:pPr>
      <w:r>
        <w:rPr>
          <w:rFonts w:hint="eastAsia"/>
        </w:rPr>
        <w:t xml:space="preserve">プロセス(2)：実基板銅箔の実効導電率測定（導体損失の評価）</w:t>
      </w:r>
    </w:p>
    <w:p>
      <w:pPr>
        <w:pStyle w:val="FirstParagraph"/>
      </w:pPr>
      <w:r>
        <w:rPr>
          <w:rFonts w:hint="eastAsia"/>
        </w:rPr>
        <w:t xml:space="preserve">次に，評価対象の基板上に，プロセス(1)で用いた標準銅円板と全く同じ直径の円形銅箔パターンのみを残した試料を2枚製作する（フォトリソグラフィまたはケミカルエッチング）．この2枚の試料を，銅箔面が内側で接触するように重ね合わせ，BCDRで同様に共振周波数</w:t>
      </w:r>
      <m:oMath>
        <m:sSubSup>
          <m:e>
            <m:r>
              <m:t>f</m:t>
            </m:r>
          </m:e>
          <m:sub>
            <m:r>
              <m:t>0</m:t>
            </m:r>
            <m:r>
              <m:t>m</m:t>
            </m:r>
            <m:r>
              <m:t>0</m:t>
            </m:r>
          </m:sub>
          <m:sup>
            <m:r>
              <m:rPr>
                <m:nor/>
                <m:sty m:val="p"/>
              </m:rPr>
              <m:t>sample</m:t>
            </m:r>
          </m:sup>
        </m:sSubSup>
      </m:oMath>
      <w:r>
        <w:rPr>
          <w:rFonts w:hint="eastAsia"/>
        </w:rPr>
        <w:t xml:space="preserve">と無負荷Q値</w:t>
      </w:r>
      <m:oMath>
        <m:sSubSup>
          <m:e>
            <m:r>
              <m:t>Q</m:t>
            </m:r>
          </m:e>
          <m:sub>
            <m:r>
              <m:t>u</m:t>
            </m:r>
          </m:sub>
          <m:sup>
            <m:r>
              <m:rPr>
                <m:nor/>
                <m:sty m:val="p"/>
              </m:rPr>
              <m:t>sample</m:t>
            </m:r>
          </m:sup>
        </m:sSubSup>
      </m:oMath>
      <w:r>
        <w:rPr>
          <w:rFonts w:hint="eastAsia"/>
        </w:rPr>
        <w:t xml:space="preserve">を測定する．</w:t>
      </w:r>
    </w:p>
    <w:bookmarkEnd w:id="42"/>
    <w:bookmarkStart w:id="43" w:name="実効導電率の算出原理"/>
    <w:p>
      <w:pPr>
        <w:pStyle w:val="Heading4"/>
      </w:pPr>
      <w:r>
        <w:rPr>
          <w:rFonts w:hint="eastAsia"/>
        </w:rPr>
        <w:t xml:space="preserve">実効導電率の算出原理</w:t>
      </w:r>
    </w:p>
    <w:p>
      <w:pPr>
        <w:pStyle w:val="FirstParagraph"/>
      </w:pPr>
      <w:r>
        <w:rPr>
          <w:rFonts w:hint="eastAsia"/>
        </w:rPr>
        <w:t xml:space="preserve">誘電損失はプロセス(1)で確定しているため，プロセス(2)で観測されるQ値の低下は，実基板銅箔の導体損失の増加に起因する．共振周波数シフト</w:t>
      </w:r>
      <m:oMath>
        <m:r>
          <m:rPr>
            <m:sty m:val="p"/>
          </m:rPr>
          <m:t>Δ</m:t>
        </m:r>
        <m:r>
          <m:t>f</m:t>
        </m:r>
        <m:r>
          <m:rPr>
            <m:sty m:val="p"/>
          </m:rPr>
          <m:t>=</m:t>
        </m:r>
        <m:sSubSup>
          <m:e>
            <m:r>
              <m:t>f</m:t>
            </m:r>
          </m:e>
          <m:sub>
            <m:r>
              <m:t>0</m:t>
            </m:r>
            <m:r>
              <m:t>m</m:t>
            </m:r>
            <m:r>
              <m:t>0</m:t>
            </m:r>
          </m:sub>
          <m:sup>
            <m:r>
              <m:rPr>
                <m:nor/>
                <m:sty m:val="p"/>
              </m:rPr>
              <m:t>sample</m:t>
            </m:r>
          </m:sup>
        </m:sSubSup>
        <m:r>
          <m:rPr>
            <m:sty m:val="p"/>
          </m:rPr>
          <m:t>−</m:t>
        </m:r>
        <m:sSubSup>
          <m:e>
            <m:r>
              <m:t>f</m:t>
            </m:r>
          </m:e>
          <m:sub>
            <m:r>
              <m:t>0</m:t>
            </m:r>
            <m:r>
              <m:t>m</m:t>
            </m:r>
            <m:r>
              <m:t>0</m:t>
            </m:r>
          </m:sub>
          <m:sup>
            <m:r>
              <m:rPr>
                <m:nor/>
                <m:sty m:val="p"/>
              </m:rPr>
              <m:t>ref</m:t>
            </m:r>
          </m:sup>
        </m:sSubSup>
      </m:oMath>
      <w:r>
        <w:rPr>
          <w:rFonts w:hint="eastAsia"/>
        </w:rPr>
        <w:t xml:space="preserve">と，Q値変化</w:t>
      </w:r>
      <m:oMath>
        <m:r>
          <m:rPr>
            <m:sty m:val="p"/>
          </m:rPr>
          <m:t>Δ</m:t>
        </m:r>
        <m:r>
          <m:rPr>
            <m:sty m:val="p"/>
          </m:rPr>
          <m:t>(</m:t>
        </m:r>
        <m:r>
          <m:t>1</m:t>
        </m:r>
        <m:r>
          <m:rPr>
            <m:sty m:val="p"/>
          </m:rPr>
          <m:t>/</m:t>
        </m:r>
        <m:sSub>
          <m:e>
            <m:r>
              <m:t>Q</m:t>
            </m:r>
          </m:e>
          <m:sub>
            <m:r>
              <m:t>u</m:t>
            </m:r>
          </m:sub>
        </m:sSub>
        <m:r>
          <m:rPr>
            <m:sty m:val="p"/>
          </m:rPr>
          <m:t>)</m:t>
        </m:r>
      </m:oMath>
      <w:r>
        <w:rPr>
          <w:rFonts w:hint="eastAsia"/>
        </w:rPr>
        <w:t xml:space="preserve">を解析することで，実効導電率</w:t>
      </w:r>
      <m:oMath>
        <m:sSub>
          <m:e>
            <m:r>
              <m:t>σ</m:t>
            </m:r>
          </m:e>
          <m:sub>
            <m:r>
              <m:rPr>
                <m:nor/>
                <m:sty m:val="p"/>
              </m:rPr>
              <m:t>eff</m:t>
            </m:r>
          </m:sub>
        </m:sSub>
      </m:oMath>
      <w:r>
        <w:rPr>
          <w:rFonts w:hint="eastAsia"/>
        </w:rPr>
        <w:t xml:space="preserve">が次式で導出される：</w:t>
      </w:r>
    </w:p>
    <w:p>
      <w:pPr>
        <w:pStyle w:val="BodyText"/>
      </w:pPr>
      <m:oMathPara>
        <m:oMathParaPr>
          <m:jc m:val="center"/>
        </m:oMathParaPr>
        <m:oMath>
          <m:sSub>
            <m:e>
              <m:r>
                <m:t>σ</m:t>
              </m:r>
            </m:e>
            <m:sub>
              <m:r>
                <m:rPr>
                  <m:nor/>
                  <m:sty m:val="p"/>
                </m:rPr>
                <m:t>eff</m:t>
              </m:r>
            </m:sub>
          </m:sSub>
          <m:r>
            <m:rPr>
              <m:sty m:val="p"/>
            </m:rPr>
            <m:t>=</m:t>
          </m:r>
          <m:sSub>
            <m:e>
              <m:r>
                <m:t>σ</m:t>
              </m:r>
            </m:e>
            <m:sub>
              <m:r>
                <m:t>0</m:t>
              </m:r>
            </m:sub>
          </m:sSub>
          <m:sSup>
            <m:e>
              <m:d>
                <m:dPr>
                  <m:begChr m:val="["/>
                  <m:sepChr m:val=""/>
                  <m:endChr m:val="]"/>
                  <m:grow/>
                </m:dPr>
                <m:e>
                  <m:f>
                    <m:fPr>
                      <m:type m:val="bar"/>
                    </m:fPr>
                    <m:num>
                      <m:sSubSup>
                        <m:e>
                          <m:r>
                            <m:t>Q</m:t>
                          </m:r>
                        </m:e>
                        <m:sub>
                          <m:r>
                            <m:t>u</m:t>
                          </m:r>
                        </m:sub>
                        <m:sup>
                          <m:r>
                            <m:rPr>
                              <m:nor/>
                              <m:sty m:val="p"/>
                            </m:rPr>
                            <m:t>sample</m:t>
                          </m:r>
                        </m:sup>
                      </m:sSubSup>
                    </m:num>
                    <m:den>
                      <m:sSubSup>
                        <m:e>
                          <m:r>
                            <m:t>Q</m:t>
                          </m:r>
                        </m:e>
                        <m:sub>
                          <m:r>
                            <m:t>u</m:t>
                          </m:r>
                        </m:sub>
                        <m:sup>
                          <m:r>
                            <m:rPr>
                              <m:nor/>
                              <m:sty m:val="p"/>
                            </m:rPr>
                            <m:t>ref</m:t>
                          </m:r>
                        </m:sup>
                      </m:sSubSup>
                    </m:den>
                  </m:f>
                  <m:r>
                    <m:rPr>
                      <m:sty m:val="p"/>
                    </m:rPr>
                    <m:t>⋅</m:t>
                  </m:r>
                  <m:d>
                    <m:dPr>
                      <m:begChr m:val="("/>
                      <m:sepChr m:val=""/>
                      <m:endChr m:val=")"/>
                      <m:grow/>
                    </m:dPr>
                    <m:e>
                      <m:r>
                        <m:t>1</m:t>
                      </m:r>
                      <m:r>
                        <m:rPr>
                          <m:sty m:val="p"/>
                        </m:rPr>
                        <m:t>−</m:t>
                      </m:r>
                      <m:f>
                        <m:fPr>
                          <m:type m:val="bar"/>
                        </m:fPr>
                        <m:num>
                          <m:r>
                            <m:rPr>
                              <m:sty m:val="p"/>
                            </m:rPr>
                            <m:t>tan</m:t>
                          </m:r>
                          <m:r>
                            <m:t>δ</m:t>
                          </m:r>
                        </m:num>
                        <m:den>
                          <m:r>
                            <m:t>1</m:t>
                          </m:r>
                          <m:r>
                            <m:rPr>
                              <m:sty m:val="p"/>
                            </m:rPr>
                            <m:t>/</m:t>
                          </m:r>
                          <m:sSubSup>
                            <m:e>
                              <m:r>
                                <m:t>Q</m:t>
                              </m:r>
                            </m:e>
                            <m:sub>
                              <m:r>
                                <m:t>u</m:t>
                              </m:r>
                            </m:sub>
                            <m:sup>
                              <m:r>
                                <m:rPr>
                                  <m:nor/>
                                  <m:sty m:val="p"/>
                                </m:rPr>
                                <m:t>ref</m:t>
                              </m:r>
                            </m:sup>
                          </m:sSubSup>
                          <m:r>
                            <m:rPr>
                              <m:sty m:val="p"/>
                            </m:rPr>
                            <m:t>−</m:t>
                          </m:r>
                          <m:sSubSup>
                            <m:e>
                              <m:r>
                                <m:t>R</m:t>
                              </m:r>
                            </m:e>
                            <m:sub>
                              <m:r>
                                <m:t>s</m:t>
                              </m:r>
                            </m:sub>
                            <m:sup>
                              <m:r>
                                <m:rPr>
                                  <m:nor/>
                                  <m:sty m:val="p"/>
                                </m:rPr>
                                <m:t>ref</m:t>
                              </m:r>
                            </m:sup>
                          </m:sSubSup>
                          <m:r>
                            <m:rPr>
                              <m:sty m:val="p"/>
                            </m:rPr>
                            <m:t>/</m:t>
                          </m:r>
                          <m:r>
                            <m:t>B</m:t>
                          </m:r>
                        </m:den>
                      </m:f>
                    </m:e>
                  </m:d>
                </m:e>
              </m:d>
            </m:e>
            <m:sup>
              <m:r>
                <m:rPr>
                  <m:sty m:val="p"/>
                </m:rPr>
                <m:t>−</m:t>
              </m:r>
              <m:r>
                <m:t>2</m:t>
              </m:r>
            </m:sup>
          </m:sSup>
        </m:oMath>
      </m:oMathPara>
    </w:p>
    <w:p>
      <w:pPr>
        <w:pStyle w:val="FirstParagraph"/>
      </w:pPr>
      <w:r>
        <w:rPr>
          <w:rFonts w:hint="eastAsia"/>
        </w:rPr>
        <w:t xml:space="preserve">この実効導電率は，表面粗さによる電流経路の延長効果を含んだ値となる．高周波になるほど表皮深さ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が浅くなり，表面粗さの影響が顕著になるため，</w:t>
      </w:r>
      <m:oMath>
        <m:sSub>
          <m:e>
            <m:r>
              <m:t>σ</m:t>
            </m:r>
          </m:e>
          <m:sub>
            <m:r>
              <m:rPr>
                <m:nor/>
                <m:sty m:val="p"/>
              </m:rPr>
              <m:t>eff</m:t>
            </m:r>
          </m:sub>
        </m:sSub>
      </m:oMath>
      <w:r>
        <w:rPr>
          <w:rFonts w:hint="eastAsia"/>
        </w:rPr>
        <w:t xml:space="preserve">は周波数依存性を示す．</w:t>
      </w:r>
    </w:p>
    <w:bookmarkEnd w:id="43"/>
    <w:bookmarkStart w:id="44" w:name="測定の信頼性確保"/>
    <w:p>
      <w:pPr>
        <w:pStyle w:val="Heading4"/>
      </w:pPr>
      <w:r>
        <w:rPr>
          <w:rFonts w:hint="eastAsia"/>
        </w:rPr>
        <w:t xml:space="preserve">測定の信頼性確保</w:t>
      </w:r>
    </w:p>
    <w:p>
      <w:pPr>
        <w:pStyle w:val="FirstParagraph"/>
      </w:pPr>
      <w:r>
        <w:rPr>
          <w:rFonts w:hint="eastAsia"/>
        </w:rPr>
        <w:t xml:space="preserve">実効導電率測定の信頼性を確保するためには，特に以下の点に細心の注意を払う必要がある</w:t>
      </w:r>
      <w:r>
        <w:rPr>
          <w:rFonts w:hint="eastAsia"/>
        </w:rPr>
        <w:t xml:space="preserve">．</w:t>
      </w:r>
    </w:p>
    <w:p>
      <w:pPr>
        <w:numPr>
          <w:ilvl w:val="0"/>
          <w:numId w:val="1009"/>
        </w:numPr>
      </w:pPr>
      <w:r>
        <w:rPr>
          <w:rFonts w:hint="eastAsia"/>
          <w:b/>
          <w:bCs/>
        </w:rPr>
        <w:t xml:space="preserve">試料の均一性：</w:t>
      </w:r>
      <w:r>
        <w:t xml:space="preserve"> </w:t>
      </w:r>
      <w:r>
        <w:rPr>
          <w:rFonts w:hint="eastAsia"/>
        </w:rPr>
        <w:t xml:space="preserve">プロセス(1)と(2)で使用する誘電体基板は，同一ロットから採取する．銅箔を剥がした基板と銅箔付き基板の厚さや誘電特性が異なると，Q値の変化が正しく導体損失の差を反映しなくなる．</w:t>
      </w:r>
    </w:p>
    <w:p>
      <w:pPr>
        <w:numPr>
          <w:ilvl w:val="0"/>
          <w:numId w:val="1009"/>
        </w:numPr>
      </w:pPr>
      <w:r>
        <w:rPr>
          <w:rFonts w:hint="eastAsia"/>
          <w:b/>
          <w:bCs/>
        </w:rPr>
        <w:t xml:space="preserve">精密なアライメント：</w:t>
      </w:r>
      <w:r>
        <w:t xml:space="preserve"> </w:t>
      </w:r>
      <w:r>
        <w:rPr>
          <w:rFonts w:hint="eastAsia"/>
        </w:rPr>
        <w:t xml:space="preserve">円形銅箔パターンの中心と共振器の励振孔の中心を高精度に位置合わせすることが極めて重要である．キーサイト社のマニュアルによれば，偏心誤差は50</w:t>
      </w:r>
      <w:r>
        <w:t xml:space="preserve"> </w:t>
      </w:r>
      <w:r>
        <w:rPr>
          <w:rFonts w:hint="eastAsia"/>
        </w:rPr>
        <w:t xml:space="preserve">μm未満に抑える必要がある</w:t>
      </w:r>
      <w:r>
        <w:rPr>
          <w:rFonts w:hint="eastAsia"/>
        </w:rPr>
        <w:t xml:space="preserve">．ズレが大きいと不要モードが励起され，TM</w:t>
      </w:r>
      <m:oMath>
        <m:sSub>
          <m:e>
            <m:r>
              <m:t>​</m:t>
            </m:r>
          </m:e>
          <m:sub>
            <m:r>
              <m:t>0</m:t>
            </m:r>
            <m:r>
              <m:t>m</m:t>
            </m:r>
            <m:r>
              <m:t>0</m:t>
            </m:r>
          </m:sub>
        </m:sSub>
      </m:oMath>
      <w:r>
        <w:rPr>
          <w:rFonts w:hint="eastAsia"/>
        </w:rPr>
        <w:t xml:space="preserve">モードの共振特性に歪みを生じさせ，Q値の測定誤差，ひいては</w:t>
      </w:r>
      <m:oMath>
        <m:r>
          <m:rPr>
            <m:sty m:val="p"/>
          </m:rPr>
          <m:t>tan</m:t>
        </m:r>
        <m:r>
          <m:t>δ</m:t>
        </m:r>
      </m:oMath>
      <w:r>
        <w:rPr>
          <w:rFonts w:hint="eastAsia"/>
        </w:rPr>
        <w:t xml:space="preserve">や導電率の誤差を増大させる．</w:t>
      </w:r>
    </w:p>
    <w:p>
      <w:pPr>
        <w:numPr>
          <w:ilvl w:val="0"/>
          <w:numId w:val="1009"/>
        </w:numPr>
      </w:pPr>
      <w:r>
        <w:rPr>
          <w:rFonts w:hint="eastAsia"/>
          <w:b/>
          <w:bCs/>
        </w:rPr>
        <w:t xml:space="preserve">適切な加圧とエアギャップの排除：</w:t>
      </w:r>
      <w:r>
        <w:t xml:space="preserve"> </w:t>
      </w:r>
      <w:r>
        <w:rPr>
          <w:rFonts w:hint="eastAsia"/>
        </w:rPr>
        <w:t xml:space="preserve">上下電極で試料を圧着する際のトルク管理が重要である．トルクが不十分だと試料と電極間にエアギャップが残り，実効的な比誘電率が低く測定される．逆に過度なトルクは試料や円板電極を損傷させる．共振周波数がトルクを増しても変化しなくなる点（エアギャップが排除された点）を連続掃引でモニタしながら，最適な締め付けトルクを決定する必要がある</w:t>
      </w:r>
      <w:r>
        <w:rPr>
          <w:rFonts w:hint="eastAsia"/>
        </w:rPr>
        <w:t xml:space="preserve">．</w:t>
      </w:r>
    </w:p>
    <w:p>
      <w:pPr>
        <w:numPr>
          <w:ilvl w:val="0"/>
          <w:numId w:val="1009"/>
        </w:numPr>
      </w:pPr>
      <w:r>
        <w:rPr>
          <w:rFonts w:hint="eastAsia"/>
          <w:b/>
          <w:bCs/>
        </w:rPr>
        <w:t xml:space="preserve">円板電極の厚さと直径の精密測定：</w:t>
      </w:r>
      <w:r>
        <w:t xml:space="preserve"> </w:t>
      </w:r>
      <w:r>
        <w:rPr>
          <w:rFonts w:hint="eastAsia"/>
        </w:rPr>
        <w:t xml:space="preserve">標準銅円板と実基板銅箔の厚さ・直径をマイクロメータや画像測定器で精密に測定（</w:t>
      </w:r>
      <m:oMath>
        <m:r>
          <m:rPr>
            <m:sty m:val="p"/>
          </m:rPr>
          <m:t>±</m:t>
        </m:r>
        <m:r>
          <m:t>1</m:t>
        </m:r>
        <m:r>
          <m:rPr>
            <m:sty m:val="p"/>
          </m:rPr>
          <m:t>∼</m:t>
        </m:r>
        <m:r>
          <m:t>10</m:t>
        </m:r>
      </m:oMath>
      <w:r>
        <w:t xml:space="preserve"> </w:t>
      </w:r>
      <w:r>
        <w:rPr>
          <w:rFonts w:hint="eastAsia"/>
        </w:rPr>
        <w:t xml:space="preserve">μmオーダ）し，解析に入力する必要がある．これらの寸法誤差は，特に比誘電率の不確かさの主要因となる．</w:t>
      </w:r>
    </w:p>
    <w:bookmarkEnd w:id="44"/>
    <w:bookmarkStart w:id="45" w:name="表面粗さを含む実効導電率の物理的意義"/>
    <w:p>
      <w:pPr>
        <w:pStyle w:val="Heading4"/>
      </w:pPr>
      <w:r>
        <w:rPr>
          <w:rFonts w:hint="eastAsia"/>
        </w:rPr>
        <w:t xml:space="preserve">表面粗さを含む実効導電率の物理的意義</w:t>
      </w:r>
    </w:p>
    <w:p>
      <w:pPr>
        <w:pStyle w:val="FirstParagraph"/>
      </w:pPr>
      <w:r>
        <w:rPr>
          <w:rFonts w:hint="eastAsia"/>
        </w:rPr>
        <w:t xml:space="preserve">このプロセスで得られる</w:t>
      </w:r>
      <m:oMath>
        <m:sSub>
          <m:e>
            <m:r>
              <m:t>σ</m:t>
            </m:r>
          </m:e>
          <m:sub>
            <m:r>
              <m:rPr>
                <m:nor/>
                <m:sty m:val="p"/>
              </m:rPr>
              <m:t>eff</m:t>
            </m:r>
          </m:sub>
        </m:sSub>
      </m:oMath>
      <w:r>
        <w:rPr>
          <w:rFonts w:hint="eastAsia"/>
        </w:rPr>
        <w:t xml:space="preserve">は，表面粗さによる電流経路の延長効果を含んだ値である．高周波では表皮深さ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が浅くなるため，導体表面の微細な凹凸が電流の流れを阻害し，見かけの導電率は周波数とともに低下する．このため，測定で得られる</w:t>
      </w:r>
      <m:oMath>
        <m:sSub>
          <m:e>
            <m:r>
              <m:t>σ</m:t>
            </m:r>
          </m:e>
          <m:sub>
            <m:r>
              <m:rPr>
                <m:nor/>
                <m:sty m:val="p"/>
              </m:rPr>
              <m:t>eff</m:t>
            </m:r>
          </m:sub>
        </m:sSub>
        <m:r>
          <m:rPr>
            <m:sty m:val="p"/>
          </m:rPr>
          <m:t>(</m:t>
        </m:r>
        <m:r>
          <m:t>f</m:t>
        </m:r>
        <m:r>
          <m:rPr>
            <m:sty m:val="p"/>
          </m:rPr>
          <m:t>)</m:t>
        </m:r>
      </m:oMath>
      <w:r>
        <w:rPr>
          <w:rFonts w:hint="eastAsia"/>
        </w:rPr>
        <w:t xml:space="preserve">は重要な設計パラメータとなり，従来の理想導電率一定仮定では見落とされる高周波損失を定量化できる．</w:t>
      </w:r>
    </w:p>
    <w:bookmarkEnd w:id="45"/>
    <w:bookmarkEnd w:id="46"/>
    <w:bookmarkEnd w:id="47"/>
    <w:bookmarkStart w:id="48" w:name="測定装置および条件"/>
    <w:p>
      <w:pPr>
        <w:pStyle w:val="Heading2"/>
      </w:pPr>
      <w:r>
        <w:rPr>
          <w:rFonts w:hint="eastAsia"/>
        </w:rPr>
        <w:t xml:space="preserve">測定装置および条件</w:t>
      </w:r>
    </w:p>
    <w:p>
      <w:pPr>
        <w:pStyle w:val="FirstParagraph"/>
      </w:pPr>
      <w:r>
        <w:rPr>
          <w:rFonts w:hint="eastAsia"/>
        </w:rPr>
        <w:t xml:space="preserve">本研究の測定は平衡形円板共振器法（BCDR）により実施した（VNAを用いてSパラメータを取得）．BCDR測定系は長野工業高等専門学校専攻科棟に設置された装置を用いた．測定は10</w:t>
      </w:r>
      <w:r>
        <w:t xml:space="preserve"> </w:t>
      </w:r>
      <w:r>
        <w:rPr>
          <w:rFonts w:hint="eastAsia"/>
        </w:rPr>
        <w:t xml:space="preserve">GHz以上で実施し，評価は67</w:t>
      </w:r>
      <w:r>
        <w:t xml:space="preserve"> </w:t>
      </w:r>
      <w:r>
        <w:rPr>
          <w:rFonts w:hint="eastAsia"/>
        </w:rPr>
        <w:t xml:space="preserve">GHz以下に限定する．</w:t>
      </w:r>
    </w:p>
    <w:p>
      <w:pPr>
        <w:pStyle w:val="BodyText"/>
      </w:pPr>
      <w:r>
        <w:rPr>
          <w:rFonts w:hint="eastAsia"/>
        </w:rPr>
        <w:t xml:space="preserve">総減衰は第2章で示した理論式（式</w:t>
      </w:r>
      <w:hyperlink w:anchor="eq:alpha_total">
        <w:r>
          <w:rPr>
            <w:rStyle w:val="Hyperlink"/>
          </w:rPr>
          <w:t xml:space="preserve">[eq:alpha_total]</w:t>
        </w:r>
      </w:hyperlink>
      <w:r>
        <w:t xml:space="preserve">–</w:t>
      </w:r>
      <w:hyperlink w:anchor="eq:alpha_c">
        <w:r>
          <w:rPr>
            <w:rStyle w:val="Hyperlink"/>
          </w:rPr>
          <w:t xml:space="preserve">[eq:alpha_c]</w:t>
        </w:r>
      </w:hyperlink>
      <w:r>
        <w:rPr>
          <w:rFonts w:hint="eastAsia"/>
        </w:rPr>
        <w:t xml:space="preserve">）により定義される．本文では解析で使用した簡潔形を再掲する：</w:t>
      </w:r>
    </w:p>
    <w:p>
      <w:pPr>
        <w:pStyle w:val="BodyText"/>
      </w:pPr>
      <m:oMathPara>
        <m:oMathParaPr>
          <m:jc m:val="center"/>
        </m:oMathParaPr>
        <m:oMath>
          <m:r>
            <m:t>α</m:t>
          </m:r>
          <m:r>
            <m:rPr>
              <m:sty m:val="p"/>
            </m:rPr>
            <m:t>=</m:t>
          </m:r>
          <m:sSub>
            <m:e>
              <m:r>
                <m:t>α</m:t>
              </m:r>
            </m:e>
            <m:sub>
              <m:r>
                <m:t>d</m:t>
              </m:r>
            </m:sub>
          </m:sSub>
          <m:r>
            <m:rPr>
              <m:sty m:val="p"/>
            </m:rPr>
            <m:t>+</m:t>
          </m:r>
          <m:sSub>
            <m:e>
              <m:r>
                <m:t>α</m:t>
              </m:r>
            </m:e>
            <m:sub>
              <m:r>
                <m:t>c</m:t>
              </m:r>
            </m:sub>
          </m:sSub>
          <m:r>
            <m:rPr>
              <m:sty m:val="p"/>
            </m:rPr>
            <m:t>,</m:t>
          </m:r>
          <m:r>
            <m:t>  </m:t>
          </m:r>
          <m:sSub>
            <m:e>
              <m:r>
                <m:t>α</m:t>
              </m:r>
            </m:e>
            <m:sub>
              <m:r>
                <m:t>c</m:t>
              </m:r>
            </m:sub>
          </m:sSub>
          <m:r>
            <m:rPr>
              <m:sty m:val="p"/>
            </m:rPr>
            <m:t>=</m:t>
          </m:r>
          <m:f>
            <m:fPr>
              <m:type m:val="bar"/>
            </m:fPr>
            <m:num>
              <m:sSub>
                <m:e>
                  <m:r>
                    <m:t>R</m:t>
                  </m:r>
                </m:e>
                <m:sub>
                  <m:r>
                    <m:t>s</m:t>
                  </m:r>
                </m:sub>
              </m:sSub>
            </m:num>
            <m:den>
              <m:sSub>
                <m:e>
                  <m:r>
                    <m:t>Z</m:t>
                  </m:r>
                </m:e>
                <m:sub>
                  <m:r>
                    <m:t>0</m:t>
                  </m:r>
                </m:sub>
              </m:sSub>
              <m:r>
                <m:t>W</m:t>
              </m:r>
            </m:den>
          </m:f>
          <m:r>
            <m:rPr>
              <m:sty m:val="p"/>
            </m:rPr>
            <m:t>,</m:t>
          </m:r>
        </m:oMath>
      </m:oMathPara>
    </w:p>
    <w:p>
      <w:pPr>
        <w:pStyle w:val="FirstParagraph"/>
      </w:pPr>
      <w:r>
        <w:rPr>
          <w:rFonts w:hint="eastAsia"/>
        </w:rPr>
        <w:t xml:space="preserve">ここで表面抵抗</w:t>
      </w:r>
      <m:oMath>
        <m:sSub>
          <m:e>
            <m:r>
              <m:t>R</m:t>
            </m:r>
          </m:e>
          <m:sub>
            <m:r>
              <m:t>s</m:t>
            </m:r>
          </m:sub>
        </m:sSub>
        <m:r>
          <m:rPr>
            <m:sty m:val="p"/>
          </m:rPr>
          <m:t>=</m:t>
        </m:r>
        <m:rad>
          <m:radPr>
            <m:degHide m:val="on"/>
          </m:radPr>
          <m:deg/>
          <m:e>
            <m:r>
              <m:t>π</m:t>
            </m:r>
            <m:r>
              <m:t>f</m:t>
            </m:r>
            <m:sSub>
              <m:e>
                <m:r>
                  <m:t>μ</m:t>
                </m:r>
              </m:e>
              <m:sub>
                <m:r>
                  <m:t>0</m:t>
                </m:r>
              </m:sub>
            </m:sSub>
            <m:r>
              <m:rPr>
                <m:sty m:val="p"/>
              </m:rPr>
              <m:t>/</m:t>
            </m:r>
            <m:r>
              <m:t>σ</m:t>
            </m:r>
          </m:e>
        </m:rad>
      </m:oMath>
      <w:r>
        <w:rPr>
          <w:rFonts w:hint="eastAsia"/>
        </w:rPr>
        <w:t xml:space="preserve">（定義:</w:t>
      </w:r>
      <w:r>
        <w:t xml:space="preserve"> </w:t>
      </w:r>
      <w:r>
        <w:rPr>
          <w:rFonts w:hint="eastAsia"/>
        </w:rPr>
        <w:t xml:space="preserve">式</w:t>
      </w:r>
      <w:hyperlink w:anchor="eq:skin_depth_intro">
        <w:r>
          <w:rPr>
            <w:rStyle w:val="Hyperlink"/>
          </w:rPr>
          <w:t xml:space="preserve">[eq:skin_depth_intro]</w:t>
        </w:r>
      </w:hyperlink>
      <w:r>
        <w:rPr>
          <w:rFonts w:hint="eastAsia"/>
        </w:rPr>
        <w:t xml:space="preserve">）である．実際の数値評価は第2章の定義式に測定値を代入して行い，結果は付録Aに示す。</w:t>
      </w:r>
    </w:p>
    <w:bookmarkEnd w:id="48"/>
    <w:bookmarkEnd w:id="49"/>
    <w:bookmarkStart w:id="74" w:name="測定結果"/>
    <w:p>
      <w:pPr>
        <w:pStyle w:val="Heading1"/>
      </w:pPr>
      <w:r>
        <w:rPr>
          <w:rFonts w:hint="eastAsia"/>
        </w:rPr>
        <w:t xml:space="preserve">測定結果</w:t>
      </w:r>
    </w:p>
    <w:bookmarkStart w:id="53" w:name="sパラメータと測定の基本"/>
    <w:p>
      <w:pPr>
        <w:pStyle w:val="Heading2"/>
      </w:pPr>
      <w:r>
        <w:rPr>
          <w:rFonts w:hint="eastAsia"/>
        </w:rPr>
        <w:t xml:space="preserve">Sパラメータと測定の基本</w:t>
      </w:r>
    </w:p>
    <w:p>
      <w:pPr>
        <w:pStyle w:val="FirstParagraph"/>
      </w:pPr>
      <w:r>
        <w:rPr>
          <w:rFonts w:hint="eastAsia"/>
        </w:rPr>
        <w:t xml:space="preserve">BCDR法による測定では，ベクトル・ネットワーク・アナライザ（VNA）を用いてSパラメータを測定する．2ポート回路のSパラメータは以下のように定義される：</w:t>
      </w:r>
    </w:p>
    <w:p>
      <w:pPr>
        <w:pStyle w:val="TableCaption"/>
      </w:pPr>
      <w:r>
        <w:rPr>
          <w:rFonts w:hint="eastAsia"/>
        </w:rPr>
        <w:t xml:space="preserve">2ポート回路のSパラメータ定義</w:t>
      </w:r>
    </w:p>
    <w:tbl>
      <w:tblPr>
        <w:tblStyle w:val="Table"/>
        <w:tblW w:type="auto" w:w="0"/>
        <w:tblLook w:firstRow="1" w:lastRow="0" w:firstColumn="0" w:lastColumn="0" w:noHBand="0" w:noVBand="0" w:val="0020"/>
        <w:tblCaption w:val="2ポート回路のSパラメータ定義"/>
      </w:tblPr>
      <w:tblGrid>
        <w:gridCol w:w="3960"/>
        <w:gridCol w:w="3960"/>
      </w:tblGrid>
      <w:tr>
        <w:trPr>
          <w:tblHeader w:val="on"/>
        </w:trPr>
        <w:tc>
          <w:tcPr/>
          <w:p>
            <w:pPr>
              <w:pStyle w:val="Compact"/>
              <w:jc w:val="left"/>
            </w:pPr>
            <w:r>
              <w:t xml:space="preserve">パラメータ</w:t>
            </w:r>
          </w:p>
        </w:tc>
        <w:tc>
          <w:tcPr/>
          <w:p>
            <w:pPr>
              <w:pStyle w:val="Compact"/>
              <w:jc w:val="left"/>
            </w:pPr>
            <w:r>
              <w:rPr>
                <w:rFonts w:hint="eastAsia"/>
              </w:rPr>
              <w:t xml:space="preserve">定義・意味</w:t>
            </w:r>
          </w:p>
        </w:tc>
      </w:tr>
      <w:tr>
        <w:tc>
          <w:tcPr/>
          <w:p>
            <w:pPr>
              <w:pStyle w:val="Compact"/>
              <w:jc w:val="left"/>
            </w:pPr>
            <m:oMath>
              <m:sSub>
                <m:e>
                  <m:r>
                    <m:t>S</m:t>
                  </m:r>
                </m:e>
                <m:sub>
                  <m:r>
                    <m:t>11</m:t>
                  </m:r>
                </m:sub>
              </m:sSub>
            </m:oMath>
          </w:p>
        </w:tc>
        <w:tc>
          <w:tcPr/>
          <w:p>
            <w:pPr>
              <w:pStyle w:val="Compact"/>
              <w:jc w:val="left"/>
            </w:pPr>
            <w:r>
              <w:rPr>
                <w:rFonts w:hint="eastAsia"/>
              </w:rPr>
              <w:t xml:space="preserve">ポート1の反射係数（入射波に対する反射波の比）</w:t>
            </w:r>
          </w:p>
        </w:tc>
      </w:tr>
      <w:tr>
        <w:tc>
          <w:tcPr/>
          <w:p>
            <w:pPr>
              <w:pStyle w:val="Compact"/>
              <w:jc w:val="left"/>
            </w:pPr>
            <m:oMath>
              <m:sSub>
                <m:e>
                  <m:r>
                    <m:t>S</m:t>
                  </m:r>
                </m:e>
                <m:sub>
                  <m:r>
                    <m:t>21</m:t>
                  </m:r>
                </m:sub>
              </m:sSub>
            </m:oMath>
          </w:p>
        </w:tc>
        <w:tc>
          <w:tcPr/>
          <w:p>
            <w:pPr>
              <w:pStyle w:val="Compact"/>
              <w:jc w:val="left"/>
            </w:pPr>
            <w:r>
              <w:rPr>
                <w:rFonts w:hint="eastAsia"/>
              </w:rPr>
              <w:t xml:space="preserve">ポート1からポート2への透過係数（伝送特性）</w:t>
            </w:r>
          </w:p>
        </w:tc>
      </w:tr>
      <w:tr>
        <w:tc>
          <w:tcPr/>
          <w:p>
            <w:pPr>
              <w:pStyle w:val="Compact"/>
              <w:jc w:val="left"/>
            </w:pPr>
            <m:oMath>
              <m:sSub>
                <m:e>
                  <m:r>
                    <m:t>S</m:t>
                  </m:r>
                </m:e>
                <m:sub>
                  <m:r>
                    <m:t>12</m:t>
                  </m:r>
                </m:sub>
              </m:sSub>
            </m:oMath>
          </w:p>
        </w:tc>
        <w:tc>
          <w:tcPr/>
          <w:p>
            <w:pPr>
              <w:pStyle w:val="Compact"/>
              <w:jc w:val="left"/>
            </w:pPr>
            <w:r>
              <w:rPr>
                <w:rFonts w:hint="eastAsia"/>
              </w:rPr>
              <w:t xml:space="preserve">ポート2からポート1への逆方向透過係数</w:t>
            </w:r>
          </w:p>
        </w:tc>
      </w:tr>
      <w:tr>
        <w:tc>
          <w:tcPr/>
          <w:p>
            <w:pPr>
              <w:pStyle w:val="Compact"/>
              <w:jc w:val="left"/>
            </w:pPr>
            <m:oMath>
              <m:sSub>
                <m:e>
                  <m:r>
                    <m:t>S</m:t>
                  </m:r>
                </m:e>
                <m:sub>
                  <m:r>
                    <m:t>22</m:t>
                  </m:r>
                </m:sub>
              </m:sSub>
            </m:oMath>
          </w:p>
        </w:tc>
        <w:tc>
          <w:tcPr/>
          <w:p>
            <w:pPr>
              <w:pStyle w:val="Compact"/>
              <w:jc w:val="left"/>
            </w:pPr>
            <w:r>
              <w:rPr>
                <w:rFonts w:hint="eastAsia"/>
              </w:rPr>
              <w:t xml:space="preserve">ポート2の反射係数</w:t>
            </w:r>
          </w:p>
        </w:tc>
      </w:tr>
    </w:tbl>
    <w:p>
      <w:pPr>
        <w:pStyle w:val="BodyText"/>
      </w:pPr>
      <w:r>
        <w:rPr>
          <w:rFonts w:hint="eastAsia"/>
        </w:rPr>
        <w:t xml:space="preserve">本研究では，共振器の透過係数</w:t>
      </w:r>
      <m:oMath>
        <m:sSub>
          <m:e>
            <m:r>
              <m:t>S</m:t>
            </m:r>
          </m:e>
          <m:sub>
            <m:r>
              <m:t>21</m:t>
            </m:r>
          </m:sub>
        </m:sSub>
      </m:oMath>
      <w:r>
        <w:rPr>
          <w:rFonts w:hint="eastAsia"/>
        </w:rPr>
        <w:t xml:space="preserve">を測定して共振周波数と</w:t>
      </w:r>
      <m:oMath>
        <m:r>
          <m:t>Q</m:t>
        </m:r>
      </m:oMath>
      <w:r>
        <w:rPr>
          <w:rFonts w:hint="eastAsia"/>
        </w:rPr>
        <w:t xml:space="preserve">値を決定する．</w:t>
      </w:r>
    </w:p>
    <w:p>
      <w:pPr>
        <w:pStyle w:val="BodyText"/>
      </w:pPr>
      <w:r>
        <w:rPr>
          <w:rFonts w:hint="eastAsia"/>
        </w:rPr>
        <w:t xml:space="preserve">図</w:t>
      </w:r>
      <w:hyperlink w:anchor="fig:segment_sweep">
        <w:r>
          <w:rPr>
            <w:rStyle w:val="Hyperlink"/>
          </w:rPr>
          <w:t xml:space="preserve">[fig:segment_sweep]</w:t>
        </w:r>
      </w:hyperlink>
      <w:r>
        <w:t xml:space="preserve">はS</w:t>
      </w:r>
      <m:oMath>
        <m:sSub>
          <m:e>
            <m:r>
              <m:t>​</m:t>
            </m:r>
          </m:e>
          <m:sub>
            <m:r>
              <m:t>21</m:t>
            </m:r>
          </m:sub>
        </m:sSub>
      </m:oMath>
      <w:r>
        <w:rPr>
          <w:rFonts w:hint="eastAsia"/>
        </w:rPr>
        <w:t xml:space="preserve">の代表的な周波数応答（mean,</w:t>
      </w:r>
      <w:r>
        <w:t xml:space="preserve"> </w:t>
      </w:r>
      <w:r>
        <w:rPr>
          <w:rFonts w:hint="eastAsia"/>
        </w:rPr>
        <w:t xml:space="preserve">n=20）であり，ここから共振周波数</w:t>
      </w:r>
      <m:oMath>
        <m:sSub>
          <m:e>
            <m:r>
              <m:t>f</m:t>
            </m:r>
          </m:e>
          <m:sub>
            <m:r>
              <m:t>0</m:t>
            </m:r>
          </m:sub>
        </m:sSub>
      </m:oMath>
      <w:r>
        <w:rPr>
          <w:rFonts w:hint="eastAsia"/>
        </w:rPr>
        <w:t xml:space="preserve">と無負荷Q値</w:t>
      </w:r>
      <m:oMath>
        <m:sSub>
          <m:e>
            <m:r>
              <m:t>Q</m:t>
            </m:r>
          </m:e>
          <m:sub>
            <m:r>
              <m:t>u</m:t>
            </m:r>
          </m:sub>
        </m:sSub>
      </m:oMath>
      <w:r>
        <w:rPr>
          <w:rFonts w:hint="eastAsia"/>
        </w:rPr>
        <w:t xml:space="preserve">を決定した．図は可視化の便宜上最大約110</w:t>
      </w:r>
      <w:r>
        <w:t xml:space="preserve"> </w:t>
      </w:r>
      <w:r>
        <w:rPr>
          <w:rFonts w:hint="eastAsia"/>
        </w:rPr>
        <w:t xml:space="preserve">GHzまで表示しているが，不要モードの発生とコネクタ系の制約により評価帯域を制限し，本稿の定量解析は67</w:t>
      </w:r>
      <w:r>
        <w:t xml:space="preserve"> </w:t>
      </w:r>
      <w:r>
        <w:rPr>
          <w:rFonts w:hint="eastAsia"/>
        </w:rPr>
        <w:t xml:space="preserve">GHz以下とする．測定・決定手順の詳細は本文の測定手順の記述に従う。</w:t>
      </w:r>
    </w:p>
    <w:p>
      <w:pPr>
        <w:pStyle w:val="CaptionedFigure"/>
      </w:pPr>
      <w:r>
        <w:drawing>
          <wp:inline>
            <wp:extent cx="4533900" cy="3356079"/>
            <wp:effectExtent b="0" l="0" r="0" t="0"/>
            <wp:docPr descr="" title="" id="51" name="Picture"/>
            <a:graphic>
              <a:graphicData uri="http://schemas.openxmlformats.org/drawingml/2006/picture">
                <pic:pic>
                  <pic:nvPicPr>
                    <pic:cNvPr descr="image/セグメントスイープ3.png" id="52" name="Picture"/>
                    <pic:cNvPicPr>
                      <a:picLocks noChangeArrowheads="1" noChangeAspect="1"/>
                    </pic:cNvPicPr>
                  </pic:nvPicPr>
                  <pic:blipFill>
                    <a:blip r:embed="rId50"/>
                    <a:stretch>
                      <a:fillRect/>
                    </a:stretch>
                  </pic:blipFill>
                  <pic:spPr bwMode="auto">
                    <a:xfrm>
                      <a:off x="0" y="0"/>
                      <a:ext cx="4533900" cy="3356079"/>
                    </a:xfrm>
                    <a:prstGeom prst="rect">
                      <a:avLst/>
                    </a:prstGeom>
                    <a:noFill/>
                    <a:ln w="9525">
                      <a:noFill/>
                      <a:headEnd/>
                      <a:tailEnd/>
                    </a:ln>
                  </pic:spPr>
                </pic:pic>
              </a:graphicData>
            </a:graphic>
          </wp:inline>
        </w:drawing>
      </w:r>
    </w:p>
    <w:p>
      <w:pPr>
        <w:pStyle w:val="ImageCaption"/>
      </w:pPr>
      <w:r>
        <w:t xml:space="preserve">セグメントスイープによるS</w:t>
      </w:r>
      <m:oMath>
        <m:sSub>
          <m:e>
            <m:r>
              <m:t>​</m:t>
            </m:r>
          </m:e>
          <m:sub>
            <m:r>
              <m:t>21</m:t>
            </m:r>
          </m:sub>
        </m:sSub>
      </m:oMath>
      <w:r>
        <w:rPr>
          <w:rFonts w:hint="eastAsia"/>
        </w:rPr>
        <w:t xml:space="preserve">（平均，n=20）</w:t>
      </w:r>
    </w:p>
    <w:p>
      <w:pPr>
        <w:pStyle w:val="BodyText"/>
      </w:pPr>
      <w:r>
        <w:rPr>
          <w:rFonts w:hint="eastAsia"/>
        </w:rPr>
        <w:t xml:space="preserve">図</w:t>
      </w:r>
      <w:hyperlink w:anchor="fig:segment_sweep">
        <w:r>
          <w:rPr>
            <w:rStyle w:val="Hyperlink"/>
          </w:rPr>
          <w:t xml:space="preserve">[fig:segment_sweep]</w:t>
        </w:r>
      </w:hyperlink>
      <w:r>
        <w:rPr>
          <w:rFonts w:hint="eastAsia"/>
        </w:rPr>
        <w:t xml:space="preserve">は分割掃引で得た20回の測定の平均値を示す（mean,</w:t>
      </w:r>
      <w:r>
        <w:t xml:space="preserve"> </w:t>
      </w:r>
      <w:r>
        <w:rPr>
          <w:rFonts w:hint="eastAsia"/>
        </w:rPr>
        <w:t xml:space="preserve">n=20）．表示は可視化の便宜上約110</w:t>
      </w:r>
      <w:r>
        <w:t xml:space="preserve"> </w:t>
      </w:r>
      <w:r>
        <w:rPr>
          <w:rFonts w:hint="eastAsia"/>
        </w:rPr>
        <w:t xml:space="preserve">GHzまで含むが，評価は上記の理由により67</w:t>
      </w:r>
      <w:r>
        <w:t xml:space="preserve"> </w:t>
      </w:r>
      <w:r>
        <w:rPr>
          <w:rFonts w:hint="eastAsia"/>
        </w:rPr>
        <w:t xml:space="preserve">GHz以下に限定している．</w:t>
      </w:r>
      <w:r>
        <w:t xml:space="preserve"> </w:t>
      </w:r>
      <w:r>
        <w:t xml:space="preserve">セグメントスイープの84.4 GHz–88.6 </w:t>
      </w:r>
      <w:r>
        <w:rPr>
          <w:rFonts w:hint="eastAsia"/>
        </w:rPr>
        <w:t xml:space="preserve">GHz付近でピーク形状が崩れるのは，TM</w:t>
      </w:r>
      <m:oMath>
        <m:sSub>
          <m:e>
            <m:r>
              <m:t>​</m:t>
            </m:r>
          </m:e>
          <m:sub>
            <m:r>
              <m:t>0</m:t>
            </m:r>
            <m:r>
              <m:t>m</m:t>
            </m:r>
            <m:r>
              <m:t>0</m:t>
            </m:r>
          </m:sub>
        </m:sSub>
      </m:oMath>
      <w:r>
        <w:rPr>
          <w:rFonts w:hint="eastAsia"/>
        </w:rPr>
        <w:t xml:space="preserve">以外の不要モードが近接・重畳し，共振トレースが歪むためである．この兆候が現れる周波数帯より上側のデータは外れ値化しやすいため，本稿の定量解析から除外している</w:t>
      </w:r>
      <w:r>
        <w:rPr>
          <w:rFonts w:hint="eastAsia"/>
        </w:rPr>
        <w:t xml:space="preserve">．</w:t>
      </w:r>
    </w:p>
    <w:bookmarkEnd w:id="53"/>
    <w:bookmarkStart w:id="64" w:name="複素誘電率の測定結果"/>
    <w:p>
      <w:pPr>
        <w:pStyle w:val="Heading2"/>
      </w:pPr>
      <w:r>
        <w:rPr>
          <w:rFonts w:hint="eastAsia"/>
        </w:rPr>
        <w:t xml:space="preserve">複素誘電率の測定結果</w:t>
      </w:r>
    </w:p>
    <w:p>
      <w:pPr>
        <w:pStyle w:val="FirstParagraph"/>
      </w:pPr>
      <w:r>
        <w:rPr>
          <w:rFonts w:hint="eastAsia"/>
        </w:rPr>
        <w:t xml:space="preserve">MEGTRON6基板の複素誘電率測定結果を以下に示す（本文は≤67</w:t>
      </w:r>
      <w:r>
        <w:t xml:space="preserve"> </w:t>
      </w:r>
      <w:r>
        <w:rPr>
          <w:rFonts w:hint="eastAsia"/>
        </w:rPr>
        <w:t xml:space="preserve">GHzに限定して解析）．比誘電率</w:t>
      </w:r>
      <w:r>
        <w:t xml:space="preserve"> </w:t>
      </w:r>
      <m:oMath>
        <m:sSubSup>
          <m:e>
            <m:r>
              <m:t>ε</m:t>
            </m:r>
          </m:e>
          <m:sub>
            <m:r>
              <m:t>r</m:t>
            </m:r>
          </m:sub>
          <m:sup>
            <m:r>
              <m:rPr>
                <m:sty m:val="p"/>
              </m:rPr>
              <m:t>′</m:t>
            </m:r>
          </m:sup>
        </m:sSubSup>
      </m:oMath>
      <w:r>
        <w:t xml:space="preserve"> </w:t>
      </w:r>
      <w:r>
        <w:rPr>
          <w:rFonts w:hint="eastAsia"/>
        </w:rPr>
        <w:t xml:space="preserve">は本解析帯域で</w:t>
      </w:r>
      <w:r>
        <w:t xml:space="preserve"> </w:t>
      </w:r>
      <m:oMath>
        <m:sSubSup>
          <m:e>
            <m:r>
              <m:t>ε</m:t>
            </m:r>
          </m:e>
          <m:sub>
            <m:r>
              <m:t>r</m:t>
            </m:r>
          </m:sub>
          <m:sup>
            <m:r>
              <m:rPr>
                <m:sty m:val="p"/>
              </m:rPr>
              <m:t>′</m:t>
            </m:r>
          </m:sup>
        </m:sSubSup>
        <m:r>
          <m:rPr>
            <m:sty m:val="p"/>
          </m:rPr>
          <m:t>=</m:t>
        </m:r>
        <m:r>
          <m:t>3.583</m:t>
        </m:r>
      </m:oMath>
      <w:r>
        <w:t xml:space="preserve">–</w:t>
      </w:r>
      <m:oMath>
        <m:r>
          <m:t>3.597</m:t>
        </m:r>
      </m:oMath>
      <w:r>
        <w:t xml:space="preserve"> </w:t>
      </w:r>
      <w:r>
        <w:rPr>
          <w:rFonts w:hint="eastAsia"/>
        </w:rPr>
        <w:t xml:space="preserve">の範囲にあり，代表値は</w:t>
      </w:r>
      <w:r>
        <w:t xml:space="preserve"> </w:t>
      </w:r>
      <m:oMath>
        <m:sSubSup>
          <m:e>
            <m:r>
              <m:t>ε</m:t>
            </m:r>
          </m:e>
          <m:sub>
            <m:r>
              <m:t>r</m:t>
            </m:r>
          </m:sub>
          <m:sup>
            <m:r>
              <m:rPr>
                <m:sty m:val="p"/>
              </m:rPr>
              <m:t>′</m:t>
            </m:r>
          </m:sup>
        </m:sSubSup>
        <m:r>
          <m:rPr>
            <m:sty m:val="p"/>
          </m:rPr>
          <m:t>=</m:t>
        </m:r>
        <m:r>
          <m:t>3.5906</m:t>
        </m:r>
        <m:r>
          <m:rPr>
            <m:sty m:val="p"/>
          </m:rPr>
          <m:t>±</m:t>
        </m:r>
        <m:r>
          <m:t>0.03</m:t>
        </m:r>
      </m:oMath>
      <w:r>
        <w:t xml:space="preserve"> </w:t>
      </w:r>
      <w:r>
        <w:rPr>
          <w:rFonts w:hint="eastAsia"/>
        </w:rPr>
        <w:t xml:space="preserve">であった（出典:</w:t>
      </w:r>
      <w:r>
        <w:t xml:space="preserve"> </w:t>
      </w:r>
      <w:r>
        <w:rPr>
          <w:rFonts w:hint="eastAsia"/>
        </w:rPr>
        <w:t xml:space="preserve">本研究の測定データ）．測定は複数日にわたり合計20回実施し，本節で示す数値は各周波数点における20回の測定の平均値である．全点の数値（mean</w:t>
      </w:r>
      <w:r>
        <w:t xml:space="preserve"> ± std, </w:t>
      </w:r>
      <w:r>
        <w:rPr>
          <w:rFonts w:hint="eastAsia"/>
        </w:rPr>
        <w:t xml:space="preserve">n=20）は付録A</w:t>
      </w:r>
      <w:r>
        <w:t xml:space="preserve"> </w:t>
      </w:r>
      <w:r>
        <w:rPr>
          <w:rFonts w:hint="eastAsia"/>
        </w:rPr>
        <w:t xml:space="preserve">表A.1に掲載する．周波数依存性は小さく，設計上は定数近似が妥当である．図</w:t>
      </w:r>
      <w:hyperlink w:anchor="fig:dielectricloss_extended">
        <w:r>
          <w:rPr>
            <w:rStyle w:val="Hyperlink"/>
          </w:rPr>
          <w:t xml:space="preserve">[fig:dielectricloss_extended]</w:t>
        </w:r>
      </w:hyperlink>
      <w:r>
        <w:rPr>
          <w:rFonts w:hint="eastAsia"/>
        </w:rPr>
        <w:t xml:space="preserve">は解析帯域の制限を加えず，得られた測定データを最大約110</w:t>
      </w:r>
      <w:r>
        <w:t xml:space="preserve"> </w:t>
      </w:r>
      <w:r>
        <w:rPr>
          <w:rFonts w:hint="eastAsia"/>
        </w:rPr>
        <w:t xml:space="preserve">GHzまで表示したものである．本稿の定量解析は67</w:t>
      </w:r>
      <w:r>
        <w:t xml:space="preserve"> </w:t>
      </w:r>
      <w:r>
        <w:rPr>
          <w:rFonts w:hint="eastAsia"/>
        </w:rPr>
        <w:t xml:space="preserve">GHz以下に限定する．</w:t>
      </w:r>
    </w:p>
    <w:p>
      <w:pPr>
        <w:pStyle w:val="BodyText"/>
      </w:pPr>
      <w:r>
        <w:rPr>
          <w:rFonts w:hint="eastAsia"/>
        </w:rPr>
        <w:t xml:space="preserve">一方，誘電損失を表す</w:t>
      </w:r>
      <w:r>
        <w:t xml:space="preserve"> </w:t>
      </w:r>
      <m:oMath>
        <m:sSubSup>
          <m:e>
            <m:r>
              <m:t>ε</m:t>
            </m:r>
          </m:e>
          <m:sub>
            <m:r>
              <m:t>r</m:t>
            </m:r>
          </m:sub>
          <m:sup>
            <m:r>
              <m:rPr>
                <m:sty m:val="p"/>
              </m:rPr>
              <m:t>′</m:t>
            </m:r>
          </m:sup>
        </m:sSubSup>
        <m:r>
          <m:rPr>
            <m:sty m:val="p"/>
          </m:rPr>
          <m:t>tan</m:t>
        </m:r>
        <m:r>
          <m:t>δ</m:t>
        </m:r>
      </m:oMath>
      <w:r>
        <w:t xml:space="preserve"> </w:t>
      </w:r>
      <w:r>
        <w:rPr>
          <w:rFonts w:hint="eastAsia"/>
        </w:rPr>
        <w:t xml:space="preserve">は周波数の上昇とともに増加する傾向が確認される．10</w:t>
      </w:r>
      <w:r>
        <w:t xml:space="preserve"> </w:t>
      </w:r>
      <w:r>
        <w:rPr>
          <w:rFonts w:hint="eastAsia"/>
        </w:rPr>
        <w:t xml:space="preserve">GHz帯では</w:t>
      </w:r>
      <w:r>
        <w:t xml:space="preserve"> </w:t>
      </w:r>
      <m:oMath>
        <m:r>
          <m:rPr>
            <m:sty m:val="p"/>
          </m:rPr>
          <m:t>tan</m:t>
        </m:r>
        <m:r>
          <m:t>δ</m:t>
        </m:r>
        <m:r>
          <m:rPr>
            <m:sty m:val="p"/>
          </m:rPr>
          <m:t>≈</m:t>
        </m:r>
        <m:r>
          <m:t>2</m:t>
        </m:r>
        <m:box>
          <m:boxPr>
            <m:opEmu m:val="on"/>
          </m:boxPr>
          <m:e>
            <m:r>
              <m:rPr>
                <m:sty m:val="p"/>
              </m:rPr>
              <m:t> × </m:t>
            </m:r>
          </m:e>
        </m:box>
        <m:sSup>
          <m:e>
            <m:r>
              <m:t>10</m:t>
            </m:r>
          </m:e>
          <m:sup>
            <m:r>
              <m:t>−3</m:t>
            </m:r>
          </m:sup>
        </m:sSup>
        <m:r>
          <m:rPr>
            <m:nor/>
            <m:sty m:val="p"/>
          </m:rPr>
          <m:t>–</m:t>
        </m:r>
        <m:r>
          <m:t>3</m:t>
        </m:r>
        <m:box>
          <m:boxPr>
            <m:opEmu m:val="on"/>
          </m:boxPr>
          <m:e>
            <m:r>
              <m:rPr>
                <m:sty m:val="p"/>
              </m:rPr>
              <m:t> × </m:t>
            </m:r>
          </m:e>
        </m:box>
        <m:sSup>
          <m:e>
            <m:r>
              <m:t>10</m:t>
            </m:r>
          </m:e>
          <m:sup>
            <m:r>
              <m:t>−3</m:t>
            </m:r>
          </m:sup>
        </m:sSup>
      </m:oMath>
      <w:r>
        <w:t xml:space="preserve"> </w:t>
      </w:r>
      <w:r>
        <w:rPr>
          <w:rFonts w:hint="eastAsia"/>
        </w:rPr>
        <w:t xml:space="preserve">であったのに対し，100</w:t>
      </w:r>
      <w:r>
        <w:t xml:space="preserve"> </w:t>
      </w:r>
      <w:r>
        <w:rPr>
          <w:rFonts w:hint="eastAsia"/>
        </w:rPr>
        <w:t xml:space="preserve">GHz帯では</w:t>
      </w:r>
      <w:r>
        <w:t xml:space="preserve"> </w:t>
      </w:r>
      <m:oMath>
        <m:r>
          <m:rPr>
            <m:sty m:val="p"/>
          </m:rPr>
          <m:t>tan</m:t>
        </m:r>
        <m:r>
          <m:t>δ</m:t>
        </m:r>
        <m:r>
          <m:rPr>
            <m:sty m:val="p"/>
          </m:rPr>
          <m:t>≈</m:t>
        </m:r>
        <m:r>
          <m:t>4</m:t>
        </m:r>
        <m:box>
          <m:boxPr>
            <m:opEmu m:val="on"/>
          </m:boxPr>
          <m:e>
            <m:r>
              <m:rPr>
                <m:sty m:val="p"/>
              </m:rPr>
              <m:t> × </m:t>
            </m:r>
          </m:e>
        </m:box>
        <m:sSup>
          <m:e>
            <m:r>
              <m:t>10</m:t>
            </m:r>
          </m:e>
          <m:sup>
            <m:r>
              <m:t>−3</m:t>
            </m:r>
          </m:sup>
        </m:sSup>
        <m:r>
          <m:rPr>
            <m:nor/>
            <m:sty m:val="p"/>
          </m:rPr>
          <m:t>–</m:t>
        </m:r>
        <m:r>
          <m:t>5</m:t>
        </m:r>
        <m:box>
          <m:boxPr>
            <m:opEmu m:val="on"/>
          </m:boxPr>
          <m:e>
            <m:r>
              <m:rPr>
                <m:sty m:val="p"/>
              </m:rPr>
              <m:t> × </m:t>
            </m:r>
          </m:e>
        </m:box>
        <m:sSup>
          <m:e>
            <m:r>
              <m:t>10</m:t>
            </m:r>
          </m:e>
          <m:sup>
            <m:r>
              <m:t>−3</m:t>
            </m:r>
          </m:sup>
        </m:sSup>
      </m:oMath>
      <w:r>
        <w:t xml:space="preserve"> </w:t>
      </w:r>
      <w:r>
        <w:rPr>
          <w:rFonts w:hint="eastAsia"/>
        </w:rPr>
        <w:t xml:space="preserve">となり，約1.7–2.0倍に増加した．全点の数値（mean</w:t>
      </w:r>
      <w:r>
        <w:t xml:space="preserve"> ± std, </w:t>
      </w:r>
      <w:r>
        <w:rPr>
          <w:rFonts w:hint="eastAsia"/>
        </w:rPr>
        <w:t xml:space="preserve">n=20）は付録A</w:t>
      </w:r>
      <w:r>
        <w:t xml:space="preserve"> </w:t>
      </w:r>
      <w:r>
        <w:rPr>
          <w:rFonts w:hint="eastAsia"/>
        </w:rPr>
        <w:t xml:space="preserve">表A.2に掲載する．この周波数依存性は，高分子鎖の局所的な配向緩和による吸収増大，あるいはガラス繊維と樹脂の界面における分極遅延効果の顕在化が原因である可能性がある．</w:t>
      </w:r>
    </w:p>
    <w:p>
      <w:pPr>
        <w:pStyle w:val="CaptionedFigure"/>
      </w:pPr>
      <w:r>
        <w:drawing>
          <wp:inline>
            <wp:extent cx="4533900" cy="4533900"/>
            <wp:effectExtent b="0" l="0" r="0" t="0"/>
            <wp:docPr descr="" title="" id="55" name="Picture"/>
            <a:graphic>
              <a:graphicData uri="http://schemas.openxmlformats.org/drawingml/2006/picture">
                <pic:pic>
                  <pic:nvPicPr>
                    <pic:cNvPr descr="data/permittivity.png" id="56" name="Picture"/>
                    <pic:cNvPicPr>
                      <a:picLocks noChangeArrowheads="1" noChangeAspect="1"/>
                    </pic:cNvPicPr>
                  </pic:nvPicPr>
                  <pic:blipFill>
                    <a:blip r:embed="rId54"/>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rPr>
          <w:rFonts w:hint="eastAsia"/>
        </w:rPr>
        <w:t xml:space="preserve">MEGTRON6の比誘電率</w:t>
      </w:r>
      <w:r>
        <w:t xml:space="preserve"> </w:t>
      </w:r>
      <m:oMath>
        <m:sSubSup>
          <m:e>
            <m:r>
              <m:t>ε</m:t>
            </m:r>
          </m:e>
          <m:sub>
            <m:r>
              <m:t>r</m:t>
            </m:r>
          </m:sub>
          <m:sup>
            <m:r>
              <m:rPr>
                <m:sty m:val="p"/>
              </m:rPr>
              <m:t>′</m:t>
            </m:r>
          </m:sup>
        </m:sSubSup>
      </m:oMath>
      <w:r>
        <w:rPr>
          <w:rFonts w:hint="eastAsia"/>
        </w:rPr>
        <w:t xml:space="preserve">（mean,</w:t>
      </w:r>
      <w:r>
        <w:t xml:space="preserve"> </w:t>
      </w:r>
      <w:r>
        <w:rPr>
          <w:rFonts w:hint="eastAsia"/>
        </w:rPr>
        <w:t xml:space="preserve">n=20）</w:t>
      </w:r>
    </w:p>
    <w:p>
      <w:pPr>
        <w:pStyle w:val="CaptionedFigure"/>
      </w:pPr>
      <w:r>
        <w:drawing>
          <wp:inline>
            <wp:extent cx="3733800" cy="3733800"/>
            <wp:effectExtent b="0" l="0" r="0" t="0"/>
            <wp:docPr descr="" title="" id="58" name="Picture"/>
            <a:graphic>
              <a:graphicData uri="http://schemas.openxmlformats.org/drawingml/2006/picture">
                <pic:pic>
                  <pic:nvPicPr>
                    <pic:cNvPr descr="data/dielectricloss.png" id="59" name="Picture"/>
                    <pic:cNvPicPr>
                      <a:picLocks noChangeArrowheads="1" noChangeAspect="1"/>
                    </pic:cNvPicPr>
                  </pic:nvPicPr>
                  <pic:blipFill>
                    <a:blip r:embed="rId57"/>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rPr>
          <w:rFonts w:hint="eastAsia"/>
        </w:rPr>
        <w:t xml:space="preserve">MEGTRON6の誘電損失</w:t>
      </w:r>
      <w:r>
        <w:t xml:space="preserve"> </w:t>
      </w:r>
      <m:oMath>
        <m:sSubSup>
          <m:e>
            <m:r>
              <m:t>ε</m:t>
            </m:r>
          </m:e>
          <m:sub>
            <m:r>
              <m:t>r</m:t>
            </m:r>
          </m:sub>
          <m:sup>
            <m:r>
              <m:rPr>
                <m:sty m:val="p"/>
              </m:rPr>
              <m:t>′</m:t>
            </m:r>
          </m:sup>
        </m:sSubSup>
        <m:r>
          <m:rPr>
            <m:sty m:val="p"/>
          </m:rPr>
          <m:t>tan</m:t>
        </m:r>
        <m:r>
          <m:t>δ</m:t>
        </m:r>
      </m:oMath>
      <w:r>
        <w:rPr>
          <w:rFonts w:hint="eastAsia"/>
        </w:rPr>
        <w:t xml:space="preserve">（mean,</w:t>
      </w:r>
      <w:r>
        <w:t xml:space="preserve"> </w:t>
      </w:r>
      <w:r>
        <w:rPr>
          <w:rFonts w:hint="eastAsia"/>
        </w:rPr>
        <w:t xml:space="preserve">n=20）</w:t>
      </w:r>
    </w:p>
    <w:p>
      <w:pPr>
        <w:pStyle w:val="CaptionedFigure"/>
      </w:pPr>
      <w:r>
        <w:drawing>
          <wp:inline>
            <wp:extent cx="3733800" cy="3733800"/>
            <wp:effectExtent b="0" l="0" r="0" t="0"/>
            <wp:docPr descr="" title="" id="61" name="Picture"/>
            <a:graphic>
              <a:graphicData uri="http://schemas.openxmlformats.org/drawingml/2006/picture">
                <pic:pic>
                  <pic:nvPicPr>
                    <pic:cNvPr descr="image/dielectricloss_quick_1e+01-1e+02GHz.png" id="62" name="Picture"/>
                    <pic:cNvPicPr>
                      <a:picLocks noChangeArrowheads="1" noChangeAspect="1"/>
                    </pic:cNvPicPr>
                  </pic:nvPicPr>
                  <pic:blipFill>
                    <a:blip r:embed="rId60"/>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rPr>
          <w:rFonts w:hint="eastAsia"/>
        </w:rPr>
        <w:t xml:space="preserve">誘電損失（拡張表示）</w:t>
      </w:r>
    </w:p>
    <w:p>
      <w:pPr>
        <w:pStyle w:val="BodyText"/>
      </w:pPr>
      <w:r>
        <w:rPr>
          <w:rFonts w:hint="eastAsia"/>
        </w:rPr>
        <w:t xml:space="preserve">拡張表示では，TM</w:t>
      </w:r>
      <m:oMath>
        <m:sSub>
          <m:e>
            <m:r>
              <m:t>​</m:t>
            </m:r>
          </m:e>
          <m:sub>
            <m:r>
              <m:t>0</m:t>
            </m:r>
            <m:r>
              <m:t>m</m:t>
            </m:r>
            <m:r>
              <m:t>0</m:t>
            </m:r>
          </m:sub>
        </m:sSub>
      </m:oMath>
      <w:r>
        <w:rPr>
          <w:rFonts w:hint="eastAsia"/>
        </w:rPr>
        <w:t xml:space="preserve">以外の不要モードが近接・重畳した周波数点で共振トレースが歪み，</w:t>
      </w:r>
      <m:oMath>
        <m:r>
          <m:t>Q</m:t>
        </m:r>
      </m:oMath>
      <w:r>
        <w:rPr>
          <w:rFonts w:hint="eastAsia"/>
        </w:rPr>
        <w:t xml:space="preserve">値フィッティングが不安定となる場合がある．このとき誘電正接は外れ値として現れるため，ピーク形状の監視と結合度の再調整を行い，異常なトレースは解析から除外する</w:t>
      </w:r>
      <w:r>
        <w:rPr>
          <w:rFonts w:hint="eastAsia"/>
        </w:rPr>
        <w:t xml:space="preserve">．また，特定次数の不要モードがTM</w:t>
      </w:r>
      <m:oMath>
        <m:sSub>
          <m:e>
            <m:r>
              <m:t>​</m:t>
            </m:r>
          </m:e>
          <m:sub>
            <m:r>
              <m:t>0</m:t>
            </m:r>
            <m:r>
              <m:t>m</m:t>
            </m:r>
            <m:r>
              <m:t>0</m:t>
            </m:r>
          </m:sub>
        </m:sSub>
      </m:oMath>
      <w:r>
        <w:rPr>
          <w:rFonts w:hint="eastAsia"/>
        </w:rPr>
        <w:t xml:space="preserve">と接近する場合，ある直径（例：</w:t>
      </w:r>
      <m:oMath>
        <m:r>
          <m:t>ϕ</m:t>
        </m:r>
        <m:r>
          <m:t>15</m:t>
        </m:r>
      </m:oMath>
      <w:r>
        <w:t xml:space="preserve"> </w:t>
      </w:r>
      <w:r>
        <w:rPr>
          <w:rFonts w:hint="eastAsia"/>
        </w:rPr>
        <w:t xml:space="preserve">mm）のみで外れ値化することがあるため，</w:t>
      </w:r>
      <m:oMath>
        <m:r>
          <m:t>ϕ</m:t>
        </m:r>
        <m:r>
          <m:t>15</m:t>
        </m:r>
      </m:oMath>
      <w:r>
        <w:t xml:space="preserve"> mmと</w:t>
      </w:r>
      <m:oMath>
        <m:r>
          <m:t>ϕ</m:t>
        </m:r>
        <m:r>
          <m:t>18</m:t>
        </m:r>
      </m:oMath>
      <w:r>
        <w:t xml:space="preserve"> </w:t>
      </w:r>
      <w:r>
        <w:rPr>
          <w:rFonts w:hint="eastAsia"/>
        </w:rPr>
        <w:t xml:space="preserve">mmの両方の円板電極で測定し，周波数点の妥当性を相互に確認する</w:t>
      </w:r>
      <w:r>
        <w:rPr>
          <w:rFonts w:hint="eastAsia"/>
        </w:rPr>
        <w:t xml:space="preserve">．</w:t>
      </w:r>
    </w:p>
    <w:bookmarkStart w:id="63" w:name="測定値代表値"/>
    <w:p>
      <w:pPr>
        <w:pStyle w:val="Heading4"/>
      </w:pPr>
      <w:r>
        <w:rPr>
          <w:rFonts w:hint="eastAsia"/>
        </w:rPr>
        <w:t xml:space="preserve">測定値（代表値）</w:t>
      </w:r>
    </w:p>
    <w:p>
      <w:pPr>
        <w:numPr>
          <w:ilvl w:val="0"/>
          <w:numId w:val="1010"/>
        </w:numPr>
      </w:pPr>
      <w:r>
        <w:rPr>
          <w:rFonts w:hint="eastAsia"/>
        </w:rPr>
        <w:t xml:space="preserve">比誘電率</w:t>
      </w:r>
      <w:r>
        <w:t xml:space="preserve"> </w:t>
      </w:r>
      <m:oMath>
        <m:sSubSup>
          <m:e>
            <m:r>
              <m:t>ε</m:t>
            </m:r>
          </m:e>
          <m:sub>
            <m:r>
              <m:t>r</m:t>
            </m:r>
          </m:sub>
          <m:sup>
            <m:r>
              <m:rPr>
                <m:sty m:val="p"/>
              </m:rPr>
              <m:t>′</m:t>
            </m:r>
          </m:sup>
        </m:sSubSup>
      </m:oMath>
      <w:r>
        <w:rPr>
          <w:rFonts w:hint="eastAsia"/>
        </w:rPr>
        <w:t xml:space="preserve">：</w:t>
      </w:r>
      <m:oMath>
        <m:r>
          <m:t>3.5906</m:t>
        </m:r>
      </m:oMath>
      <w:r>
        <w:rPr>
          <w:rFonts w:hint="eastAsia"/>
        </w:rPr>
        <w:t xml:space="preserve">（範囲</w:t>
      </w:r>
      <w:r>
        <w:t xml:space="preserve"> </w:t>
      </w:r>
      <m:oMath>
        <m:r>
          <m:t>3.583</m:t>
        </m:r>
      </m:oMath>
      <w:r>
        <w:t xml:space="preserve">–</w:t>
      </w:r>
      <m:oMath>
        <m:r>
          <m:t>3.597</m:t>
        </m:r>
      </m:oMath>
      <w:r>
        <w:t xml:space="preserve">, </w:t>
      </w:r>
      <w:r>
        <w:rPr>
          <w:rFonts w:hint="eastAsia"/>
        </w:rPr>
        <w:t xml:space="preserve">代表的不確かさ</w:t>
      </w:r>
      <w:r>
        <w:t xml:space="preserve"> </w:t>
      </w:r>
      <m:oMath>
        <m:r>
          <m:rPr>
            <m:sty m:val="p"/>
          </m:rPr>
          <m:t>≈</m:t>
        </m:r>
        <m:r>
          <m:rPr>
            <m:sty m:val="p"/>
          </m:rPr>
          <m:t>±</m:t>
        </m:r>
        <m:r>
          <m:t>0.03</m:t>
        </m:r>
      </m:oMath>
      <w:r>
        <w:rPr>
          <w:rFonts w:hint="eastAsia"/>
        </w:rPr>
        <w:t xml:space="preserve">）</w:t>
      </w:r>
    </w:p>
    <w:p>
      <w:pPr>
        <w:numPr>
          <w:ilvl w:val="0"/>
          <w:numId w:val="1010"/>
        </w:numPr>
      </w:pPr>
      <w:r>
        <w:rPr>
          <w:rFonts w:hint="eastAsia"/>
        </w:rPr>
        <w:t xml:space="preserve">誘電正接</w:t>
      </w:r>
      <w:r>
        <w:t xml:space="preserve"> </w:t>
      </w:r>
      <m:oMath>
        <m:r>
          <m:rPr>
            <m:sty m:val="p"/>
          </m:rPr>
          <m:t>tan</m:t>
        </m:r>
        <m:r>
          <m:t>δ</m:t>
        </m:r>
      </m:oMath>
      <w:r>
        <w:rPr>
          <w:rFonts w:hint="eastAsia"/>
        </w:rPr>
        <w:t xml:space="preserve">：周波数上昇に伴い増加（例：12.7</w:t>
      </w:r>
      <w:r>
        <w:t xml:space="preserve"> GHz</w:t>
      </w:r>
      <w:r>
        <w:t xml:space="preserve"> </w:t>
      </w:r>
      <m:oMath>
        <m:r>
          <m:rPr>
            <m:sty m:val="p"/>
          </m:rPr>
          <m:t>≈</m:t>
        </m:r>
        <m:r>
          <m:t>4.8</m:t>
        </m:r>
        <m:r>
          <m:rPr>
            <m:sty m:val="p"/>
          </m:rPr>
          <m:t>×</m:t>
        </m:r>
        <m:sSup>
          <m:e>
            <m:r>
              <m:t>10</m:t>
            </m:r>
          </m:e>
          <m:sup>
            <m:r>
              <m:rPr>
                <m:sty m:val="p"/>
              </m:rPr>
              <m:t>−</m:t>
            </m:r>
            <m:r>
              <m:t>3</m:t>
            </m:r>
          </m:sup>
        </m:sSup>
      </m:oMath>
      <w:r>
        <w:rPr>
          <w:rFonts w:hint="eastAsia"/>
        </w:rPr>
        <w:t xml:space="preserve">，23</w:t>
      </w:r>
      <w:r>
        <w:t xml:space="preserve"> GHz</w:t>
      </w:r>
      <w:r>
        <w:t xml:space="preserve"> </w:t>
      </w:r>
      <m:oMath>
        <m:r>
          <m:rPr>
            <m:sty m:val="p"/>
          </m:rPr>
          <m:t>≈</m:t>
        </m:r>
        <m:r>
          <m:t>5.4</m:t>
        </m:r>
        <m:r>
          <m:rPr>
            <m:sty m:val="p"/>
          </m:rPr>
          <m:t>×</m:t>
        </m:r>
        <m:sSup>
          <m:e>
            <m:r>
              <m:t>10</m:t>
            </m:r>
          </m:e>
          <m:sup>
            <m:r>
              <m:rPr>
                <m:sty m:val="p"/>
              </m:rPr>
              <m:t>−</m:t>
            </m:r>
            <m:r>
              <m:t>3</m:t>
            </m:r>
          </m:sup>
        </m:sSup>
      </m:oMath>
      <w:r>
        <w:rPr>
          <w:rFonts w:hint="eastAsia"/>
        </w:rPr>
        <w:t xml:space="preserve">，65.3</w:t>
      </w:r>
      <w:r>
        <w:t xml:space="preserve"> GHz</w:t>
      </w:r>
      <w:r>
        <w:t xml:space="preserve"> </w:t>
      </w:r>
      <m:oMath>
        <m:r>
          <m:rPr>
            <m:sty m:val="p"/>
          </m:rPr>
          <m:t>≈</m:t>
        </m:r>
        <m:r>
          <m:t>7.15</m:t>
        </m:r>
        <m:r>
          <m:rPr>
            <m:sty m:val="p"/>
          </m:rPr>
          <m:t>×</m:t>
        </m:r>
        <m:sSup>
          <m:e>
            <m:r>
              <m:t>10</m:t>
            </m:r>
          </m:e>
          <m:sup>
            <m:r>
              <m:rPr>
                <m:sty m:val="p"/>
              </m:rPr>
              <m:t>−</m:t>
            </m:r>
            <m:r>
              <m:t>3</m:t>
            </m:r>
          </m:sup>
        </m:sSup>
      </m:oMath>
      <w:r>
        <w:rPr>
          <w:rFonts w:hint="eastAsia"/>
        </w:rPr>
        <w:t xml:space="preserve">）.高周波側（&gt;67</w:t>
      </w:r>
      <w:r>
        <w:t xml:space="preserve"> </w:t>
      </w:r>
      <w:r>
        <w:rPr>
          <w:rFonts w:hint="eastAsia"/>
        </w:rPr>
        <w:t xml:space="preserve">GHz）の変動は本文解析帯域外であり，別途検証が必要である（86.6</w:t>
      </w:r>
      <w:r>
        <w:t xml:space="preserve"> </w:t>
      </w:r>
      <w:r>
        <w:rPr>
          <w:rFonts w:hint="eastAsia"/>
        </w:rPr>
        <w:t xml:space="preserve">GHz付近に高分散点あり）.</w:t>
      </w:r>
    </w:p>
    <w:bookmarkEnd w:id="63"/>
    <w:bookmarkEnd w:id="64"/>
    <w:bookmarkStart w:id="69" w:name="実効導電率の測定結果"/>
    <w:p>
      <w:pPr>
        <w:pStyle w:val="Heading2"/>
      </w:pPr>
      <w:r>
        <w:rPr>
          <w:rFonts w:hint="eastAsia"/>
        </w:rPr>
        <w:t xml:space="preserve">実効導電率の測定結果</w:t>
      </w:r>
    </w:p>
    <w:p>
      <w:pPr>
        <w:pStyle w:val="FirstParagraph"/>
      </w:pPr>
      <w:r>
        <w:rPr>
          <w:rFonts w:hint="eastAsia"/>
        </w:rPr>
        <w:t xml:space="preserve">次に，実効導電率の測定結果を示す．本節で報告する値は，表面粗さによる損失を含む周波数依存の実効導電率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である．図は可視化の便宜上高周波側の点を含むことがあるが，本節の定量解析は67</w:t>
      </w:r>
      <w:r>
        <w:t xml:space="preserve"> </w:t>
      </w:r>
      <w:r>
        <w:rPr>
          <w:rFonts w:hint="eastAsia"/>
        </w:rPr>
        <w:t xml:space="preserve">GHz以下に限定する．全点の数値（mean</w:t>
      </w:r>
      <w:r>
        <w:t xml:space="preserve"> ± std, </w:t>
      </w:r>
      <w:r>
        <w:rPr>
          <w:rFonts w:hint="eastAsia"/>
        </w:rPr>
        <w:t xml:space="preserve">n=20）は付録A</w:t>
      </w:r>
      <w:r>
        <w:t xml:space="preserve"> </w:t>
      </w:r>
      <w:r>
        <w:rPr>
          <w:rFonts w:hint="eastAsia"/>
        </w:rPr>
        <w:t xml:space="preserve">表A.3に掲載する．測定された</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の周波数特性から，以下の定量的知見が得られた．</w:t>
      </w:r>
    </w:p>
    <w:p>
      <w:pPr>
        <w:numPr>
          <w:ilvl w:val="0"/>
          <w:numId w:val="1011"/>
        </w:numPr>
      </w:pPr>
      <w:r>
        <w:rPr>
          <w:rFonts w:hint="eastAsia"/>
          <w:b/>
          <w:bCs/>
        </w:rPr>
        <w:t xml:space="preserve">低周波域の挙動</w:t>
      </w:r>
      <w:r>
        <w:t xml:space="preserve">: 12.7 </w:t>
      </w:r>
      <w:r>
        <w:rPr>
          <w:rFonts w:hint="eastAsia"/>
        </w:rPr>
        <w:t xml:space="preserve">GHz付近では</w:t>
      </w:r>
      <w:r>
        <w:t xml:space="preserve"> </w:t>
      </w:r>
      <m:oMath>
        <m:sSub>
          <m:e>
            <m:r>
              <m:t>σ</m:t>
            </m:r>
          </m:e>
          <m:sub>
            <m:r>
              <m:rPr>
                <m:sty m:val="p"/>
              </m:rPr>
              <m:t>e</m:t>
            </m:r>
            <m:r>
              <m:rPr>
                <m:sty m:val="p"/>
              </m:rPr>
              <m:t>f</m:t>
            </m:r>
            <m:r>
              <m:rPr>
                <m:sty m:val="p"/>
              </m:rPr>
              <m:t>f</m:t>
            </m:r>
          </m:sub>
        </m:sSub>
        <m:r>
          <m:rPr>
            <m:sty m:val="p"/>
          </m:rPr>
          <m:t>=</m:t>
        </m:r>
        <m:r>
          <m:rPr>
            <m:sty m:val="p"/>
          </m:rPr>
          <m:t>(</m:t>
        </m:r>
        <m:r>
          <m:t>2.41</m:t>
        </m:r>
        <m:box>
          <m:boxPr>
            <m:opEmu m:val="on"/>
          </m:boxPr>
          <m:e>
            <m:r>
              <m:rPr>
                <m:sty m:val="p"/>
              </m:rPr>
              <m:t> × </m:t>
            </m:r>
          </m:e>
        </m:box>
        <m:sSup>
          <m:e>
            <m:r>
              <m:t>10</m:t>
            </m:r>
          </m:e>
          <m:sup>
            <m:r>
              <m:t>7</m:t>
            </m:r>
          </m:sup>
        </m:sSup>
        <m:r>
          <m:rPr>
            <m:sty m:val="p"/>
          </m:rPr>
          <m:t>±</m:t>
        </m:r>
        <m:r>
          <m:t>0.24</m:t>
        </m:r>
        <m:box>
          <m:boxPr>
            <m:opEmu m:val="on"/>
          </m:boxPr>
          <m:e>
            <m:r>
              <m:rPr>
                <m:sty m:val="p"/>
              </m:rPr>
              <m:t> × </m:t>
            </m:r>
          </m:e>
        </m:box>
        <m:sSup>
          <m:e>
            <m:r>
              <m:t>10</m:t>
            </m:r>
          </m:e>
          <m:sup>
            <m:r>
              <m:t>7</m:t>
            </m:r>
          </m:sup>
        </m:sSup>
        <m:r>
          <m:rPr>
            <m:sty m:val="p"/>
          </m:rPr>
          <m:t>)</m:t>
        </m:r>
        <m:r>
          <m:t> </m:t>
        </m:r>
        <m:r>
          <m:rPr>
            <m:nor/>
            <m:sty m:val="p"/>
          </m:rPr>
          <m:t>S</m:t>
        </m:r>
        <m:r>
          <m:rPr>
            <m:nor/>
            <m:sty m:val="p"/>
          </m:rPr>
          <m:t>/</m:t>
        </m:r>
        <m:r>
          <m:rPr>
            <m:nor/>
            <m:sty m:val="p"/>
          </m:rPr>
          <m:t>m</m:t>
        </m:r>
      </m:oMath>
      <w:r>
        <w:rPr>
          <w:rFonts w:hint="eastAsia"/>
        </w:rPr>
        <w:t xml:space="preserve">（測定点の代表値）であった．</w:t>
      </w:r>
    </w:p>
    <w:p>
      <w:pPr>
        <w:numPr>
          <w:ilvl w:val="0"/>
          <w:numId w:val="1011"/>
        </w:numPr>
      </w:pPr>
      <w:r>
        <w:rPr>
          <w:rFonts w:hint="eastAsia"/>
          <w:b/>
          <w:bCs/>
        </w:rPr>
        <w:t xml:space="preserve">中–高周波域での低下</w:t>
      </w:r>
      <w:r>
        <w:t xml:space="preserve">: </w:t>
      </w:r>
      <w:r>
        <w:rPr>
          <w:rFonts w:hint="eastAsia"/>
        </w:rPr>
        <w:t xml:space="preserve">周波数上昇に伴い</w:t>
      </w:r>
      <m:oMath>
        <m:sSub>
          <m:e>
            <m:r>
              <m:t>σ</m:t>
            </m:r>
          </m:e>
          <m:sub>
            <m:r>
              <m:rPr>
                <m:sty m:val="p"/>
              </m:rPr>
              <m:t>e</m:t>
            </m:r>
            <m:r>
              <m:rPr>
                <m:sty m:val="p"/>
              </m:rPr>
              <m:t>f</m:t>
            </m:r>
            <m:r>
              <m:rPr>
                <m:sty m:val="p"/>
              </m:rPr>
              <m:t>f</m:t>
            </m:r>
          </m:sub>
        </m:sSub>
      </m:oMath>
      <w:r>
        <w:rPr>
          <w:rFonts w:hint="eastAsia"/>
        </w:rPr>
        <w:t xml:space="preserve">は大幅に低下した．代表値として23.3</w:t>
      </w:r>
      <w:r>
        <w:t xml:space="preserve"> GHzで 8.23 × 10</w:t>
      </w:r>
      <w:r>
        <w:rPr>
          <w:vertAlign w:val="superscript"/>
        </w:rPr>
        <w:t xml:space="preserve">6</w:t>
      </w:r>
      <w:r>
        <w:t xml:space="preserve"> S m</w:t>
      </w:r>
      <w:r>
        <w:rPr>
          <w:vertAlign w:val="superscript"/>
        </w:rPr>
        <w:t xml:space="preserve">−1</w:t>
      </w:r>
      <w:r>
        <w:rPr>
          <w:rFonts w:hint="eastAsia"/>
        </w:rPr>
        <w:t xml:space="preserve">，65.3</w:t>
      </w:r>
      <w:r>
        <w:t xml:space="preserve"> GHzで 3.44 × 10</w:t>
      </w:r>
      <w:r>
        <w:rPr>
          <w:vertAlign w:val="superscript"/>
        </w:rPr>
        <w:t xml:space="preserve">6</w:t>
      </w:r>
      <w:r>
        <w:t xml:space="preserve"> S m</w:t>
      </w:r>
      <w:r>
        <w:rPr>
          <w:vertAlign w:val="superscript"/>
        </w:rPr>
        <w:t xml:space="preserve">−1</w:t>
      </w:r>
      <w:r>
        <w:t xml:space="preserve"> </w:t>
      </w:r>
      <w:r>
        <w:rPr>
          <w:rFonts w:hint="eastAsia"/>
        </w:rPr>
        <w:t xml:space="preserve">を得た（出典:</w:t>
      </w:r>
      <w:r>
        <w:t xml:space="preserve"> </w:t>
      </w:r>
      <w:r>
        <w:rPr>
          <w:rFonts w:hint="eastAsia"/>
        </w:rPr>
        <w:t xml:space="preserve">本研究の測定データ）．高周波側の測定点（&gt;67</w:t>
      </w:r>
      <w:r>
        <w:t xml:space="preserve"> </w:t>
      </w:r>
      <w:r>
        <w:rPr>
          <w:rFonts w:hint="eastAsia"/>
        </w:rPr>
        <w:t xml:space="preserve">GHz）は本文解析帯域外である．</w:t>
      </w:r>
    </w:p>
    <w:p>
      <w:pPr>
        <w:numPr>
          <w:ilvl w:val="0"/>
          <w:numId w:val="1011"/>
        </w:numPr>
      </w:pPr>
      <w:r>
        <w:rPr>
          <w:rFonts w:hint="eastAsia"/>
          <w:b/>
          <w:bCs/>
        </w:rPr>
        <w:t xml:space="preserve">設計上の意味</w:t>
      </w:r>
      <w:r>
        <w:t xml:space="preserve">: </w:t>
      </w:r>
      <w:r>
        <w:rPr>
          <w:rFonts w:hint="eastAsia"/>
        </w:rPr>
        <w:t xml:space="preserve">これらは直流導電率</w:t>
      </w:r>
      <m:oMath>
        <m:sSub>
          <m:e>
            <m:r>
              <m:t>σ</m:t>
            </m:r>
          </m:e>
          <m:sub>
            <m:r>
              <m:rPr>
                <m:sty m:val="p"/>
              </m:rPr>
              <m:t>D</m:t>
            </m:r>
            <m:r>
              <m:rPr>
                <m:sty m:val="p"/>
              </m:rPr>
              <m:t>C</m:t>
            </m:r>
          </m:sub>
        </m:sSub>
        <m:r>
          <m:rPr>
            <m:sty m:val="p"/>
          </m:rPr>
          <m:t>=</m:t>
        </m:r>
        <m:r>
          <m:t>5.8</m:t>
        </m:r>
        <m:r>
          <m:rPr>
            <m:sty m:val="p"/>
          </m:rPr>
          <m:t>×</m:t>
        </m:r>
        <m:sSup>
          <m:e>
            <m:r>
              <m:t>10</m:t>
            </m:r>
          </m:e>
          <m:sup>
            <m:r>
              <m:t>7</m:t>
            </m:r>
          </m:sup>
        </m:sSup>
        <m:r>
          <m:t> </m:t>
        </m:r>
        <m:r>
          <m:rPr>
            <m:sty m:val="p"/>
          </m:rPr>
          <m:t>S</m:t>
        </m:r>
        <m:r>
          <m:rPr>
            <m:sty m:val="p"/>
          </m:rPr>
          <m:t>/</m:t>
        </m:r>
        <m:r>
          <m:rPr>
            <m:sty m:val="p"/>
          </m:rPr>
          <m:t>m</m:t>
        </m:r>
      </m:oMath>
      <w:r>
        <w:rPr>
          <w:rFonts w:hint="eastAsia"/>
        </w:rPr>
        <w:t xml:space="preserve">に比して，周波数に応じて数%〜数十%のオーダーまで低下することを示しており，単一値の導電率仮定は高周波帯で導体損失を大きく過小評価する可能性がある．</w:t>
      </w:r>
    </w:p>
    <w:p>
      <w:pPr>
        <w:pStyle w:val="FirstParagraph"/>
      </w:pPr>
      <w:r>
        <w:rPr>
          <w:rFonts w:hint="eastAsia"/>
        </w:rPr>
        <w:t xml:space="preserve">この単調減少特性は，周波数上昇に伴い表皮深さ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t xml:space="preserve">が</w:t>
      </w:r>
      <m:oMath>
        <m:sSup>
          <m:e>
            <m:r>
              <m:t>f</m:t>
            </m:r>
          </m:e>
          <m:sup>
            <m:r>
              <m:rPr>
                <m:sty m:val="p"/>
              </m:rPr>
              <m:t>−</m:t>
            </m:r>
            <m:r>
              <m:t>1</m:t>
            </m:r>
            <m:r>
              <m:rPr>
                <m:sty m:val="p"/>
              </m:rPr>
              <m:t>/</m:t>
            </m:r>
            <m:r>
              <m:t>2</m:t>
            </m:r>
          </m:sup>
        </m:sSup>
      </m:oMath>
      <w:r>
        <w:rPr>
          <w:rFonts w:hint="eastAsia"/>
        </w:rPr>
        <w:t xml:space="preserve">で減少し，表面粗さとの相対比</w:t>
      </w:r>
      <m:oMath>
        <m:sSub>
          <m:e>
            <m:r>
              <m:t>R</m:t>
            </m:r>
          </m:e>
          <m:sub>
            <m:r>
              <m:t>q</m:t>
            </m:r>
          </m:sub>
        </m:sSub>
        <m:r>
          <m:rPr>
            <m:sty m:val="p"/>
          </m:rPr>
          <m:t>/</m:t>
        </m:r>
        <m:sSub>
          <m:e>
            <m:r>
              <m:t>δ</m:t>
            </m:r>
          </m:e>
          <m:sub>
            <m:r>
              <m:t>s</m:t>
            </m:r>
          </m:sub>
        </m:sSub>
      </m:oMath>
      <w:r>
        <w:rPr>
          <w:rFonts w:hint="eastAsia"/>
        </w:rPr>
        <w:t xml:space="preserve">が増大することで，電流経路の実効長が増加した結果と解釈される．従来の回路設計で広く用いられる「直流導電率</w:t>
      </w:r>
      <w:r>
        <w:t xml:space="preserve"> </w:t>
      </w:r>
      <m:oMath>
        <m:sSub>
          <m:e>
            <m:r>
              <m:t>σ</m:t>
            </m:r>
          </m:e>
          <m:sub>
            <m:r>
              <m:rPr>
                <m:sty m:val="p"/>
              </m:rPr>
              <m:t>D</m:t>
            </m:r>
            <m:r>
              <m:rPr>
                <m:sty m:val="p"/>
              </m:rPr>
              <m:t>C</m:t>
            </m:r>
          </m:sub>
        </m:sSub>
      </m:oMath>
      <w:r>
        <w:t xml:space="preserve"> </w:t>
      </w:r>
      <w:r>
        <w:rPr>
          <w:rFonts w:hint="eastAsia"/>
        </w:rPr>
        <w:t xml:space="preserve">を周波数不変とする仮定」は，ミリ波帯では最大40%程度の導電率過大評価を招き，導体損失の見積もり誤差の主要因となることが実験的に示された．</w:t>
      </w:r>
    </w:p>
    <w:p>
      <w:pPr>
        <w:pStyle w:val="CaptionedFigure"/>
      </w:pPr>
      <w:r>
        <w:drawing>
          <wp:inline>
            <wp:extent cx="4533900" cy="3400424"/>
            <wp:effectExtent b="0" l="0" r="0" t="0"/>
            <wp:docPr descr="" title="" id="66" name="Picture"/>
            <a:graphic>
              <a:graphicData uri="http://schemas.openxmlformats.org/drawingml/2006/picture">
                <pic:pic>
                  <pic:nvPicPr>
                    <pic:cNvPr descr="data/conductivity.png" id="67" name="Picture"/>
                    <pic:cNvPicPr>
                      <a:picLocks noChangeArrowheads="1" noChangeAspect="1"/>
                    </pic:cNvPicPr>
                  </pic:nvPicPr>
                  <pic:blipFill>
                    <a:blip r:embed="rId65"/>
                    <a:stretch>
                      <a:fillRect/>
                    </a:stretch>
                  </pic:blipFill>
                  <pic:spPr bwMode="auto">
                    <a:xfrm>
                      <a:off x="0" y="0"/>
                      <a:ext cx="4533900" cy="3400424"/>
                    </a:xfrm>
                    <a:prstGeom prst="rect">
                      <a:avLst/>
                    </a:prstGeom>
                    <a:noFill/>
                    <a:ln w="9525">
                      <a:noFill/>
                      <a:headEnd/>
                      <a:tailEnd/>
                    </a:ln>
                  </pic:spPr>
                </pic:pic>
              </a:graphicData>
            </a:graphic>
          </wp:inline>
        </w:drawing>
      </w:r>
    </w:p>
    <w:p>
      <w:pPr>
        <w:pStyle w:val="ImageCaption"/>
      </w:pPr>
      <w:r>
        <w:rPr>
          <w:rFonts w:hint="eastAsia"/>
        </w:rPr>
        <w:t xml:space="preserve">MEGTRON6銅箔の実効導電率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（mean,</w:t>
      </w:r>
      <w:r>
        <w:t xml:space="preserve"> </w:t>
      </w:r>
      <w:r>
        <w:rPr>
          <w:rFonts w:hint="eastAsia"/>
        </w:rPr>
        <w:t xml:space="preserve">n=20）</w:t>
      </w:r>
    </w:p>
    <w:p>
      <w:pPr>
        <w:pStyle w:val="TableCaption"/>
      </w:pPr>
      <w:r>
        <w:rPr>
          <w:rFonts w:hint="eastAsia"/>
        </w:rPr>
        <w:t xml:space="preserve">代表周波数における測定結果の要約</w:t>
      </w:r>
    </w:p>
    <w:tbl>
      <w:tblPr>
        <w:tblStyle w:val="Table"/>
        <w:tblW w:type="auto" w:w="0"/>
        <w:tblLook w:firstRow="0" w:lastRow="0" w:firstColumn="0" w:lastColumn="0" w:noHBand="0" w:noVBand="0" w:val="0000"/>
        <w:tblCaption w:val="代表周波数における測定結果の要約"/>
      </w:tblPr>
      <w:tblGrid>
        <w:gridCol w:w="1584"/>
        <w:gridCol w:w="1584"/>
        <w:gridCol w:w="1584"/>
        <w:gridCol w:w="1584"/>
        <w:gridCol w:w="1584"/>
      </w:tblGrid>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(GHz)</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(S m</w:t>
            </w:r>
            <w:r>
              <w:rPr>
                <w:vertAlign w:val="superscript"/>
              </w:rPr>
              <w:t xml:space="preserve">−1</w:t>
            </w: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(db m</w:t>
            </w:r>
            <w:r>
              <w:rPr>
                <w:vertAlign w:val="superscript"/>
              </w:rPr>
              <w:t xml:space="preserve">−1</w:t>
            </w: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23.3 GHz</w:t>
            </w:r>
          </w:p>
        </w:tc>
        <w:tc>
          <w:tcPr/>
          <w:p>
            <w:pPr>
              <w:pStyle w:val="Compact"/>
              <w:jc w:val="right"/>
            </w:pPr>
            <w:r>
              <w:t xml:space="preserve">3.5906</w:t>
            </w:r>
          </w:p>
        </w:tc>
        <w:tc>
          <w:tcPr/>
          <w:p>
            <w:pPr>
              <w:pStyle w:val="Compact"/>
              <w:jc w:val="right"/>
            </w:pPr>
            <w:r>
              <w:t xml:space="preserve">5.38 × 10</w:t>
            </w:r>
            <w:r>
              <w:rPr>
                <w:vertAlign w:val="superscript"/>
              </w:rPr>
              <w:t xml:space="preserve">−3</w:t>
            </w:r>
          </w:p>
        </w:tc>
        <w:tc>
          <w:tcPr/>
          <w:p>
            <w:pPr>
              <w:pStyle w:val="Compact"/>
              <w:jc w:val="right"/>
            </w:pPr>
            <w:r>
              <w:t xml:space="preserve">8.23 × 10</w:t>
            </w:r>
            <w:r>
              <w:rPr>
                <w:vertAlign w:val="superscript"/>
              </w:rPr>
              <w:t xml:space="preserve">6</w:t>
            </w:r>
            <w:r>
              <w:t xml:space="preserve"> S m</w:t>
            </w:r>
            <w:r>
              <w:rPr>
                <w:vertAlign w:val="superscript"/>
              </w:rPr>
              <w:t xml:space="preserve">−1</w:t>
            </w:r>
          </w:p>
        </w:tc>
        <w:tc>
          <w:tcPr/>
          <w:p>
            <w:pPr>
              <w:pStyle w:val="Compact"/>
              <w:jc w:val="right"/>
            </w:pPr>
            <w:r>
              <w:t xml:space="preserve">2.25</w:t>
            </w:r>
          </w:p>
        </w:tc>
      </w:tr>
      <w:tr>
        <w:tc>
          <w:tcPr/>
          <w:p>
            <w:pPr>
              <w:pStyle w:val="Compact"/>
              <w:jc w:val="right"/>
            </w:pPr>
            <w:r>
              <w:t xml:space="preserve">33.8</w:t>
            </w:r>
          </w:p>
        </w:tc>
        <w:tc>
          <w:tcPr/>
          <w:p>
            <w:pPr>
              <w:pStyle w:val="Compact"/>
              <w:jc w:val="right"/>
            </w:pPr>
            <w:r>
              <w:t xml:space="preserve">3.5896</w:t>
            </w:r>
          </w:p>
        </w:tc>
        <w:tc>
          <w:tcPr/>
          <w:p>
            <w:pPr>
              <w:pStyle w:val="Compact"/>
              <w:jc w:val="right"/>
            </w:pPr>
            <m:oMath>
              <m:r>
                <m:t>5.87</m:t>
              </m:r>
              <m:r>
                <m:rPr>
                  <m:sty m:val="p"/>
                </m:rPr>
                <m:t>×</m:t>
              </m:r>
              <m:sSup>
                <m:e>
                  <m:r>
                    <m:t>10</m:t>
                  </m:r>
                </m:e>
                <m:sup>
                  <m:r>
                    <m:rPr>
                      <m:sty m:val="p"/>
                    </m:rPr>
                    <m:t>−</m:t>
                  </m:r>
                  <m:r>
                    <m:t>3</m:t>
                  </m:r>
                </m:sup>
              </m:sSup>
            </m:oMath>
          </w:p>
        </w:tc>
        <w:tc>
          <w:tcPr/>
          <w:p>
            <w:pPr>
              <w:pStyle w:val="Compact"/>
              <w:jc w:val="right"/>
            </w:pPr>
            <m:oMath>
              <m:r>
                <m:t>4.91</m:t>
              </m:r>
              <m:r>
                <m:rPr>
                  <m:sty m:val="p"/>
                </m:rPr>
                <m:t>×</m:t>
              </m:r>
              <m:sSup>
                <m:e>
                  <m:r>
                    <m:t>10</m:t>
                  </m:r>
                </m:e>
                <m:sup>
                  <m:r>
                    <m:t>6</m:t>
                  </m:r>
                </m:sup>
              </m:sSup>
            </m:oMath>
          </w:p>
        </w:tc>
        <w:tc>
          <w:tcPr/>
          <w:p>
            <w:pPr>
              <w:pStyle w:val="Compact"/>
              <w:jc w:val="right"/>
            </w:pPr>
            <w:r>
              <w:t xml:space="preserve">3.52</w:t>
            </w:r>
          </w:p>
        </w:tc>
      </w:tr>
      <w:tr>
        <w:tc>
          <w:tcPr/>
          <w:p>
            <w:pPr>
              <w:pStyle w:val="Compact"/>
              <w:jc w:val="right"/>
            </w:pPr>
            <w:r>
              <w:t xml:space="preserve">44.3</w:t>
            </w:r>
          </w:p>
        </w:tc>
        <w:tc>
          <w:tcPr/>
          <w:p>
            <w:pPr>
              <w:pStyle w:val="Compact"/>
              <w:jc w:val="right"/>
            </w:pPr>
            <w:r>
              <w:t xml:space="preserve">3.5905</w:t>
            </w:r>
          </w:p>
        </w:tc>
        <w:tc>
          <w:tcPr/>
          <w:p>
            <w:pPr>
              <w:pStyle w:val="Compact"/>
              <w:jc w:val="right"/>
            </w:pPr>
            <m:oMath>
              <m:r>
                <m:t>6.26</m:t>
              </m:r>
              <m:r>
                <m:rPr>
                  <m:sty m:val="p"/>
                </m:rPr>
                <m:t>×</m:t>
              </m:r>
              <m:sSup>
                <m:e>
                  <m:r>
                    <m:t>10</m:t>
                  </m:r>
                </m:e>
                <m:sup>
                  <m:r>
                    <m:rPr>
                      <m:sty m:val="p"/>
                    </m:rPr>
                    <m:t>−</m:t>
                  </m:r>
                  <m:r>
                    <m:t>3</m:t>
                  </m:r>
                </m:sup>
              </m:sSup>
            </m:oMath>
          </w:p>
        </w:tc>
        <w:tc>
          <w:tcPr/>
          <w:p>
            <w:pPr>
              <w:pStyle w:val="Compact"/>
              <w:jc w:val="right"/>
            </w:pPr>
            <m:oMath>
              <m:r>
                <m:t>3.63</m:t>
              </m:r>
              <m:r>
                <m:rPr>
                  <m:sty m:val="p"/>
                </m:rPr>
                <m:t>×</m:t>
              </m:r>
              <m:sSup>
                <m:e>
                  <m:r>
                    <m:t>10</m:t>
                  </m:r>
                </m:e>
                <m:sup>
                  <m:r>
                    <m:t>6</m:t>
                  </m:r>
                </m:sup>
              </m:sSup>
            </m:oMath>
          </w:p>
        </w:tc>
        <w:tc>
          <w:tcPr/>
          <w:p>
            <w:pPr>
              <w:pStyle w:val="Compact"/>
              <w:jc w:val="right"/>
            </w:pPr>
            <w:r>
              <w:t xml:space="preserve">4.72</w:t>
            </w:r>
          </w:p>
        </w:tc>
      </w:tr>
      <w:tr>
        <w:tc>
          <w:tcPr/>
          <w:p>
            <w:pPr>
              <w:pStyle w:val="Compact"/>
              <w:jc w:val="right"/>
            </w:pPr>
            <w:r>
              <w:t xml:space="preserve">54.8</w:t>
            </w:r>
          </w:p>
        </w:tc>
        <w:tc>
          <w:tcPr/>
          <w:p>
            <w:pPr>
              <w:pStyle w:val="Compact"/>
              <w:jc w:val="right"/>
            </w:pPr>
            <w:r>
              <w:t xml:space="preserve">3.5924</w:t>
            </w:r>
          </w:p>
        </w:tc>
        <w:tc>
          <w:tcPr/>
          <w:p>
            <w:pPr>
              <w:pStyle w:val="Compact"/>
              <w:jc w:val="right"/>
            </w:pPr>
            <m:oMath>
              <m:r>
                <m:t>6.67</m:t>
              </m:r>
              <m:r>
                <m:rPr>
                  <m:sty m:val="p"/>
                </m:rPr>
                <m:t>×</m:t>
              </m:r>
              <m:sSup>
                <m:e>
                  <m:r>
                    <m:t>10</m:t>
                  </m:r>
                </m:e>
                <m:sup>
                  <m:r>
                    <m:rPr>
                      <m:sty m:val="p"/>
                    </m:rPr>
                    <m:t>−</m:t>
                  </m:r>
                  <m:r>
                    <m:t>3</m:t>
                  </m:r>
                </m:sup>
              </m:sSup>
            </m:oMath>
          </w:p>
        </w:tc>
        <w:tc>
          <w:tcPr/>
          <w:p>
            <w:pPr>
              <w:pStyle w:val="Compact"/>
              <w:jc w:val="right"/>
            </w:pPr>
            <m:oMath>
              <m:r>
                <m:t>2.61</m:t>
              </m:r>
              <m:r>
                <m:rPr>
                  <m:sty m:val="p"/>
                </m:rPr>
                <m:t>×</m:t>
              </m:r>
              <m:sSup>
                <m:e>
                  <m:r>
                    <m:t>10</m:t>
                  </m:r>
                </m:e>
                <m:sup>
                  <m:r>
                    <m:t>6</m:t>
                  </m:r>
                </m:sup>
              </m:sSup>
            </m:oMath>
          </w:p>
        </w:tc>
        <w:tc>
          <w:tcPr/>
          <w:p>
            <w:pPr>
              <w:pStyle w:val="Compact"/>
              <w:jc w:val="right"/>
            </w:pPr>
            <w:r>
              <w:t xml:space="preserve">6.20</w:t>
            </w:r>
          </w:p>
        </w:tc>
      </w:tr>
      <w:tr>
        <w:tc>
          <w:tcPr/>
          <w:p>
            <w:pPr>
              <w:pStyle w:val="Compact"/>
              <w:jc w:val="right"/>
            </w:pPr>
            <w:r>
              <w:t xml:space="preserve">65.3</w:t>
            </w:r>
          </w:p>
        </w:tc>
        <w:tc>
          <w:tcPr/>
          <w:p>
            <w:pPr>
              <w:pStyle w:val="Compact"/>
              <w:jc w:val="right"/>
            </w:pPr>
            <w:r>
              <w:t xml:space="preserve">3.5972</w:t>
            </w:r>
          </w:p>
        </w:tc>
        <w:tc>
          <w:tcPr/>
          <w:p>
            <w:pPr>
              <w:pStyle w:val="Compact"/>
              <w:jc w:val="right"/>
            </w:pPr>
            <m:oMath>
              <m:r>
                <m:t>7.15</m:t>
              </m:r>
              <m:r>
                <m:rPr>
                  <m:sty m:val="p"/>
                </m:rPr>
                <m:t>×</m:t>
              </m:r>
              <m:sSup>
                <m:e>
                  <m:r>
                    <m:t>10</m:t>
                  </m:r>
                </m:e>
                <m:sup>
                  <m:r>
                    <m:rPr>
                      <m:sty m:val="p"/>
                    </m:rPr>
                    <m:t>−</m:t>
                  </m:r>
                  <m:r>
                    <m:t>3</m:t>
                  </m:r>
                </m:sup>
              </m:sSup>
            </m:oMath>
          </w:p>
        </w:tc>
        <w:tc>
          <w:tcPr/>
          <w:p>
            <w:pPr>
              <w:pStyle w:val="Compact"/>
              <w:jc w:val="right"/>
            </w:pPr>
            <m:oMath>
              <m:r>
                <m:t>3.44</m:t>
              </m:r>
              <m:r>
                <m:rPr>
                  <m:sty m:val="p"/>
                </m:rPr>
                <m:t>×</m:t>
              </m:r>
              <m:sSup>
                <m:e>
                  <m:r>
                    <m:t>10</m:t>
                  </m:r>
                </m:e>
                <m:sup>
                  <m:r>
                    <m:t>6</m:t>
                  </m:r>
                </m:sup>
              </m:sSup>
            </m:oMath>
          </w:p>
        </w:tc>
        <w:tc>
          <w:tcPr/>
          <w:p>
            <w:pPr>
              <w:pStyle w:val="Compact"/>
              <w:jc w:val="right"/>
            </w:pPr>
            <w:r>
              <w:t xml:space="preserve">6.23</w:t>
            </w:r>
          </w:p>
        </w:tc>
      </w:tr>
    </w:tbl>
    <w:p>
      <w:pPr>
        <w:pStyle w:val="BodyText"/>
      </w:pPr>
      <w:r>
        <w:rPr>
          <w:rFonts w:hint="eastAsia"/>
        </w:rPr>
        <w:t xml:space="preserve">注:</w:t>
      </w:r>
      <w:r>
        <w:t xml:space="preserve"> </w:t>
      </w:r>
      <w:r>
        <w:rPr>
          <w:rFonts w:hint="eastAsia"/>
        </w:rPr>
        <w:t xml:space="preserve">右端は本研究で算出した総減衰（db</w:t>
      </w:r>
      <w:r>
        <w:t xml:space="preserve"> m</w:t>
      </w:r>
      <w:r>
        <w:rPr>
          <w:vertAlign w:val="superscript"/>
        </w:rPr>
        <w:t xml:space="preserve">−1</w:t>
      </w:r>
      <w:r>
        <w:rPr>
          <w:rFonts w:hint="eastAsia"/>
        </w:rPr>
        <w:t xml:space="preserve">）.106.9</w:t>
      </w:r>
      <w:r>
        <w:t xml:space="preserve"> </w:t>
      </w:r>
      <w:r>
        <w:rPr>
          <w:rFonts w:hint="eastAsia"/>
        </w:rPr>
        <w:t xml:space="preserve">GHz付近の値は不確かさが大きいため注意.</w:t>
      </w:r>
    </w:p>
    <w:bookmarkStart w:id="68" w:name="測定値特性"/>
    <w:p>
      <w:pPr>
        <w:pStyle w:val="Heading4"/>
      </w:pPr>
      <w:r>
        <w:rPr>
          <w:rFonts w:hint="eastAsia"/>
        </w:rPr>
        <w:t xml:space="preserve">測定値特性</w:t>
      </w:r>
    </w:p>
    <w:p>
      <w:pPr>
        <w:numPr>
          <w:ilvl w:val="0"/>
          <w:numId w:val="1012"/>
        </w:numPr>
      </w:pPr>
      <w:r>
        <w:rPr>
          <w:rFonts w:hint="eastAsia"/>
        </w:rPr>
        <w:t xml:space="preserve">代表的な実効導電率</w:t>
      </w:r>
      <w:r>
        <w:t xml:space="preserve"> </w:t>
      </w:r>
      <m:oMath>
        <m:sSub>
          <m:e>
            <m:r>
              <m:t>σ</m:t>
            </m:r>
          </m:e>
          <m:sub>
            <m:r>
              <m:rPr>
                <m:sty m:val="p"/>
              </m:rPr>
              <m:t>e</m:t>
            </m:r>
            <m:r>
              <m:rPr>
                <m:sty m:val="p"/>
              </m:rPr>
              <m:t>f</m:t>
            </m:r>
            <m:r>
              <m:rPr>
                <m:sty m:val="p"/>
              </m:rPr>
              <m:t>f</m:t>
            </m:r>
          </m:sub>
        </m:sSub>
      </m:oMath>
      <w:r>
        <w:rPr>
          <w:rFonts w:hint="eastAsia"/>
        </w:rPr>
        <w:t xml:space="preserve">（代表点）:</w:t>
      </w:r>
    </w:p>
    <w:p>
      <w:pPr>
        <w:numPr>
          <w:ilvl w:val="1"/>
          <w:numId w:val="1013"/>
        </w:numPr>
      </w:pPr>
      <w:r>
        <w:t xml:space="preserve">12.7 GHz:</w:t>
      </w:r>
      <w:r>
        <w:t xml:space="preserve"> </w:t>
      </w:r>
      <m:oMath>
        <m:sSub>
          <m:e>
            <m:r>
              <m:t>σ</m:t>
            </m:r>
          </m:e>
          <m:sub>
            <m:r>
              <m:rPr>
                <m:sty m:val="p"/>
              </m:rPr>
              <m:t>e</m:t>
            </m:r>
            <m:r>
              <m:rPr>
                <m:sty m:val="p"/>
              </m:rPr>
              <m:t>f</m:t>
            </m:r>
            <m:r>
              <m:rPr>
                <m:sty m:val="p"/>
              </m:rPr>
              <m:t>f</m:t>
            </m:r>
          </m:sub>
        </m:sSub>
        <m:r>
          <m:rPr>
            <m:sty m:val="p"/>
          </m:rPr>
          <m:t>=</m:t>
        </m:r>
        <m:r>
          <m:rPr>
            <m:sty m:val="p"/>
          </m:rPr>
          <m:t>(</m:t>
        </m:r>
        <m:r>
          <m:t>2.41</m:t>
        </m:r>
        <m:box>
          <m:boxPr>
            <m:opEmu m:val="on"/>
          </m:boxPr>
          <m:e>
            <m:r>
              <m:rPr>
                <m:sty m:val="p"/>
              </m:rPr>
              <m:t> × </m:t>
            </m:r>
          </m:e>
        </m:box>
        <m:sSup>
          <m:e>
            <m:r>
              <m:t>10</m:t>
            </m:r>
          </m:e>
          <m:sup>
            <m:r>
              <m:t>7</m:t>
            </m:r>
          </m:sup>
        </m:sSup>
        <m:r>
          <m:rPr>
            <m:sty m:val="p"/>
          </m:rPr>
          <m:t>±</m:t>
        </m:r>
        <m:r>
          <m:t>0.24</m:t>
        </m:r>
        <m:box>
          <m:boxPr>
            <m:opEmu m:val="on"/>
          </m:boxPr>
          <m:e>
            <m:r>
              <m:rPr>
                <m:sty m:val="p"/>
              </m:rPr>
              <m:t> × </m:t>
            </m:r>
          </m:e>
        </m:box>
        <m:sSup>
          <m:e>
            <m:r>
              <m:t>10</m:t>
            </m:r>
          </m:e>
          <m:sup>
            <m:r>
              <m:t>7</m:t>
            </m:r>
          </m:sup>
        </m:sSup>
        <m:r>
          <m:rPr>
            <m:sty m:val="p"/>
          </m:rPr>
          <m:t>)</m:t>
        </m:r>
        <m:r>
          <m:t> </m:t>
        </m:r>
        <m:r>
          <m:rPr>
            <m:nor/>
            <m:sty m:val="p"/>
          </m:rPr>
          <m:t>S</m:t>
        </m:r>
        <m:r>
          <m:rPr>
            <m:nor/>
            <m:sty m:val="p"/>
          </m:rPr>
          <m:t>/</m:t>
        </m:r>
        <m:r>
          <m:rPr>
            <m:nor/>
            <m:sty m:val="p"/>
          </m:rPr>
          <m:t>m</m:t>
        </m:r>
      </m:oMath>
      <w:r>
        <w:t xml:space="preserve"> </w:t>
      </w:r>
      <w:r>
        <w:rPr>
          <w:rFonts w:hint="eastAsia"/>
        </w:rPr>
        <w:t xml:space="preserve">(測定データ)</w:t>
      </w:r>
    </w:p>
    <w:p>
      <w:pPr>
        <w:numPr>
          <w:ilvl w:val="1"/>
          <w:numId w:val="1013"/>
        </w:numPr>
      </w:pPr>
      <w:r>
        <w:t xml:space="preserve">23.3 GHz:</w:t>
      </w:r>
      <w:r>
        <w:t xml:space="preserve"> </w:t>
      </w:r>
      <m:oMath>
        <m:sSub>
          <m:e>
            <m:r>
              <m:t>σ</m:t>
            </m:r>
          </m:e>
          <m:sub>
            <m:r>
              <m:rPr>
                <m:sty m:val="p"/>
              </m:rPr>
              <m:t>e</m:t>
            </m:r>
            <m:r>
              <m:rPr>
                <m:sty m:val="p"/>
              </m:rPr>
              <m:t>f</m:t>
            </m:r>
            <m:r>
              <m:rPr>
                <m:sty m:val="p"/>
              </m:rPr>
              <m:t>f</m:t>
            </m:r>
          </m:sub>
        </m:sSub>
        <m:r>
          <m:rPr>
            <m:sty m:val="p"/>
          </m:rPr>
          <m:t>=</m:t>
        </m:r>
        <m:r>
          <m:t>8.23</m:t>
        </m:r>
        <m:box>
          <m:boxPr>
            <m:opEmu m:val="on"/>
          </m:boxPr>
          <m:e>
            <m:r>
              <m:rPr>
                <m:sty m:val="p"/>
              </m:rPr>
              <m:t> × </m:t>
            </m:r>
          </m:e>
        </m:box>
        <m:sSup>
          <m:e>
            <m:r>
              <m:t>10</m:t>
            </m:r>
          </m:e>
          <m:sup>
            <m:r>
              <m:t>6</m:t>
            </m:r>
          </m:sup>
        </m:sSup>
        <m:r>
          <m:t> </m:t>
        </m:r>
        <m:r>
          <m:rPr>
            <m:nor/>
            <m:sty m:val="p"/>
          </m:rPr>
          <m:t>S</m:t>
        </m:r>
        <m:r>
          <m:rPr>
            <m:nor/>
            <m:sty m:val="p"/>
          </m:rPr>
          <m:t>/</m:t>
        </m:r>
        <m:r>
          <m:rPr>
            <m:nor/>
            <m:sty m:val="p"/>
          </m:rPr>
          <m:t>m</m:t>
        </m:r>
      </m:oMath>
      <w:r>
        <w:t xml:space="preserve"> </w:t>
      </w:r>
      <w:r>
        <w:rPr>
          <w:rFonts w:hint="eastAsia"/>
        </w:rPr>
        <w:t xml:space="preserve">(約14%</w:t>
      </w:r>
      <w:r>
        <w:t xml:space="preserve"> of</w:t>
      </w:r>
      <w:r>
        <w:t xml:space="preserve"> </w:t>
      </w:r>
      <m:oMath>
        <m:sSub>
          <m:e>
            <m:r>
              <m:t>σ</m:t>
            </m:r>
          </m:e>
          <m:sub>
            <m:r>
              <m:rPr>
                <m:sty m:val="p"/>
              </m:rPr>
              <m:t>D</m:t>
            </m:r>
            <m:r>
              <m:rPr>
                <m:sty m:val="p"/>
              </m:rPr>
              <m:t>C</m:t>
            </m:r>
          </m:sub>
        </m:sSub>
      </m:oMath>
      <w:r>
        <w:t xml:space="preserve">)</w:t>
      </w:r>
    </w:p>
    <w:p>
      <w:pPr>
        <w:numPr>
          <w:ilvl w:val="0"/>
          <w:numId w:val="1012"/>
        </w:numPr>
      </w:pPr>
      <w:r>
        <w:rPr>
          <w:rFonts w:hint="eastAsia"/>
        </w:rPr>
        <w:t xml:space="preserve">全体傾向:</w:t>
      </w:r>
      <w:r>
        <w:t xml:space="preserve"> </w:t>
      </w:r>
      <w:r>
        <w:rPr>
          <w:rFonts w:hint="eastAsia"/>
        </w:rPr>
        <w:t xml:space="preserve">約1–2桁の減少が観測され，周波数増加に伴い表皮深さと表面粗さの比</w:t>
      </w:r>
      <m:oMath>
        <m:sSub>
          <m:e>
            <m:r>
              <m:t>R</m:t>
            </m:r>
          </m:e>
          <m:sub>
            <m:r>
              <m:t>q</m:t>
            </m:r>
          </m:sub>
        </m:sSub>
        <m:r>
          <m:rPr>
            <m:sty m:val="p"/>
          </m:rPr>
          <m:t>/</m:t>
        </m:r>
        <m:sSub>
          <m:e>
            <m:r>
              <m:t>δ</m:t>
            </m:r>
          </m:e>
          <m:sub>
            <m:r>
              <m:t>s</m:t>
            </m:r>
          </m:sub>
        </m:sSub>
      </m:oMath>
      <w:r>
        <w:rPr>
          <w:rFonts w:hint="eastAsia"/>
        </w:rPr>
        <w:t xml:space="preserve">が増大することで導体損失が顕著に増加する．測定点間にばらつきがあり，局所的な変動や測定ノイズが存在する（86.6</w:t>
      </w:r>
      <w:r>
        <w:t xml:space="preserve"> </w:t>
      </w:r>
      <w:r>
        <w:rPr>
          <w:rFonts w:hint="eastAsia"/>
        </w:rPr>
        <w:t xml:space="preserve">GHz付近に高分散点）．解析帯域外の点は付録Aに掲載した．</w:t>
      </w:r>
    </w:p>
    <w:bookmarkEnd w:id="68"/>
    <w:bookmarkEnd w:id="69"/>
    <w:bookmarkStart w:id="73" w:name="減衰定数の算出結果"/>
    <w:p>
      <w:pPr>
        <w:pStyle w:val="Heading2"/>
      </w:pPr>
      <w:r>
        <w:rPr>
          <w:rFonts w:hint="eastAsia"/>
        </w:rPr>
        <w:t xml:space="preserve">減衰定数の算出結果</w:t>
      </w:r>
    </w:p>
    <w:p>
      <w:pPr>
        <w:pStyle w:val="FirstParagraph"/>
      </w:pPr>
      <w:r>
        <w:rPr>
          <w:rFonts w:hint="eastAsia"/>
        </w:rPr>
        <w:t xml:space="preserve">測定した複素誘電率と実効導電率を用いて，伝送線路の減衰定数</w:t>
      </w:r>
      <m:oMath>
        <m:r>
          <m:t>α</m:t>
        </m:r>
      </m:oMath>
      <w:r>
        <w:rPr>
          <w:rFonts w:hint="eastAsia"/>
        </w:rPr>
        <w:t xml:space="preserve">を算出した結果を以下に示す．</w:t>
      </w:r>
    </w:p>
    <w:p>
      <w:pPr>
        <w:pStyle w:val="BodyText"/>
      </w:pPr>
      <w:r>
        <w:rPr>
          <w:rFonts w:hint="eastAsia"/>
        </w:rPr>
        <w:t xml:space="preserve">算出された減衰定数の比較から，以下の定量的結果が得られた．実効導電率</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を用いた場合の減衰定数は，理想導電率</w:t>
      </w:r>
      <m:oMath>
        <m:sSub>
          <m:e>
            <m:r>
              <m:t>σ</m:t>
            </m:r>
          </m:e>
          <m:sub>
            <m:r>
              <m:rPr>
                <m:nor/>
                <m:sty m:val="p"/>
              </m:rPr>
              <m:t>DC</m:t>
            </m:r>
          </m:sub>
        </m:sSub>
      </m:oMath>
      <w:r>
        <w:rPr>
          <w:rFonts w:hint="eastAsia"/>
        </w:rPr>
        <w:t xml:space="preserve">を用いた場合と比較して，本解析域（約50–65</w:t>
      </w:r>
      <w:r>
        <w:t xml:space="preserve"> </w:t>
      </w:r>
      <w:r>
        <w:rPr>
          <w:rFonts w:hint="eastAsia"/>
        </w:rPr>
        <w:t xml:space="preserve">GHz）で約1.3倍に増大した.増大分の大部分は導体損失成分</w:t>
      </w:r>
      <m:oMath>
        <m:sSub>
          <m:e>
            <m:r>
              <m:t>α</m:t>
            </m:r>
          </m:e>
          <m:sub>
            <m:r>
              <m:t>c</m:t>
            </m:r>
          </m:sub>
        </m:sSub>
      </m:oMath>
      <w:r>
        <w:rPr>
          <w:rFonts w:hint="eastAsia"/>
        </w:rPr>
        <w:t xml:space="preserve">の増加に起因するが，より高周波側（&gt;67</w:t>
      </w:r>
      <w:r>
        <w:t xml:space="preserve"> </w:t>
      </w:r>
      <w:r>
        <w:rPr>
          <w:rFonts w:hint="eastAsia"/>
        </w:rPr>
        <w:t xml:space="preserve">GHz）の挙動は本文解析帯域外であり，別途検証が必要である（本文では過度な外挿を行っていない）.</w:t>
      </w:r>
    </w:p>
    <w:p>
      <w:pPr>
        <w:pStyle w:val="BodyText"/>
      </w:pPr>
      <w:r>
        <w:rPr>
          <w:rFonts w:hint="eastAsia"/>
        </w:rPr>
        <w:t xml:space="preserve">本解析域の代表例（65.3</w:t>
      </w:r>
      <w:r>
        <w:t xml:space="preserve"> </w:t>
      </w:r>
      <w:r>
        <w:rPr>
          <w:rFonts w:hint="eastAsia"/>
        </w:rPr>
        <w:t xml:space="preserve">GHz）では，理想導体仮定の総減衰と比較して実測に基づく総減衰が増加している（例:</w:t>
      </w:r>
      <w:r>
        <w:t xml:space="preserve"> </w:t>
      </w:r>
      <w:r>
        <w:rPr>
          <w:rFonts w:hint="eastAsia"/>
        </w:rPr>
        <w:t xml:space="preserve">実測約6.23</w:t>
      </w:r>
      <w:r>
        <w:t xml:space="preserve"> </w:t>
      </w:r>
      <w:r>
        <w:rPr>
          <w:rFonts w:hint="eastAsia"/>
        </w:rPr>
        <w:t xml:space="preserve">dB/m＝0.623</w:t>
      </w:r>
      <w:r>
        <w:t xml:space="preserve"> dB/cm; </w:t>
      </w:r>
      <w:r>
        <w:rPr>
          <w:rFonts w:hint="eastAsia"/>
        </w:rPr>
        <w:t xml:space="preserve">詳細は図</w:t>
      </w:r>
      <w:hyperlink w:anchor="fig:attenuation">
        <w:r>
          <w:rPr>
            <w:rStyle w:val="Hyperlink"/>
          </w:rPr>
          <w:t xml:space="preserve">[fig:attenuation]</w:t>
        </w:r>
      </w:hyperlink>
      <w:r>
        <w:rPr>
          <w:rFonts w:hint="eastAsia"/>
        </w:rPr>
        <w:t xml:space="preserve">）.高周波側の追加的な増大（&gt;67</w:t>
      </w:r>
      <w:r>
        <w:t xml:space="preserve"> </w:t>
      </w:r>
      <w:r>
        <w:rPr>
          <w:rFonts w:hint="eastAsia"/>
        </w:rPr>
        <w:t xml:space="preserve">GHz）は本文解析帯域外であり，別途検証が必要である.この誤差は，高周波回路設計におけるパワーバジェット（送信電力と受信感度の差分）を大きく圧迫し，設計マージンの枯渇や通信品質の劣化を招く要因となる．</w:t>
      </w:r>
    </w:p>
    <w:p>
      <w:pPr>
        <w:pStyle w:val="BodyText"/>
      </w:pPr>
      <w:r>
        <w:rPr>
          <w:rFonts w:hint="eastAsia"/>
        </w:rPr>
        <w:t xml:space="preserve">以上の結果は，直流導電率を一定値として用いる従来の設計手法が，ミリ波帯においては導体損失を過小評価する重大な欠陥を持つことを定量的に実証するものである．</w:t>
      </w:r>
    </w:p>
    <w:p>
      <w:pPr>
        <w:pStyle w:val="CaptionedFigure"/>
      </w:pPr>
      <w:r>
        <w:drawing>
          <wp:inline>
            <wp:extent cx="3733800" cy="2800349"/>
            <wp:effectExtent b="0" l="0" r="0" t="0"/>
            <wp:docPr descr="" title="" id="71" name="Picture"/>
            <a:graphic>
              <a:graphicData uri="http://schemas.openxmlformats.org/drawingml/2006/picture">
                <pic:pic>
                  <pic:nvPicPr>
                    <pic:cNvPr descr="image/attenuation_graph.png" id="72" name="Picture"/>
                    <pic:cNvPicPr>
                      <a:picLocks noChangeArrowheads="1" noChangeAspect="1"/>
                    </pic:cNvPicPr>
                  </pic:nvPicPr>
                  <pic:blipFill>
                    <a:blip r:embed="rId70"/>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rPr>
          <w:rFonts w:hint="eastAsia"/>
        </w:rPr>
        <w:t xml:space="preserve">伝送線路の減衰定数</w:t>
      </w:r>
      <w:r>
        <w:t xml:space="preserve"> </w:t>
      </w:r>
      <m:oMath>
        <m:r>
          <m:t>α</m:t>
        </m:r>
      </m:oMath>
      <w:r>
        <w:rPr>
          <w:rFonts w:hint="eastAsia"/>
        </w:rPr>
        <w:t xml:space="preserve">（理想</w:t>
      </w:r>
      <w:r>
        <w:t xml:space="preserve"> vs </w:t>
      </w:r>
      <w:r>
        <w:rPr>
          <w:rFonts w:hint="eastAsia"/>
        </w:rPr>
        <w:t xml:space="preserve">実効）</w:t>
      </w:r>
    </w:p>
    <w:bookmarkEnd w:id="73"/>
    <w:bookmarkEnd w:id="74"/>
    <w:bookmarkStart w:id="81" w:name="考察"/>
    <w:p>
      <w:pPr>
        <w:pStyle w:val="Heading1"/>
      </w:pPr>
      <w:r>
        <w:rPr>
          <w:rFonts w:hint="eastAsia"/>
        </w:rPr>
        <w:t xml:space="preserve">考察</w:t>
      </w:r>
    </w:p>
    <w:bookmarkStart w:id="76" w:name="表面粗さと実効導電率の周波数依存性"/>
    <w:p>
      <w:pPr>
        <w:pStyle w:val="Heading2"/>
      </w:pPr>
      <w:r>
        <w:rPr>
          <w:rFonts w:hint="eastAsia"/>
        </w:rPr>
        <w:t xml:space="preserve">表面粗さと実効導電率の周波数依存性</w:t>
      </w:r>
    </w:p>
    <w:p>
      <w:pPr>
        <w:pStyle w:val="FirstParagraph"/>
      </w:pPr>
      <w:r>
        <w:rPr>
          <w:rFonts w:hint="eastAsia"/>
        </w:rPr>
        <w:t xml:space="preserve">本研究で測定された実効導電率の周波数依存性は,表面粗さによる損失増加機構を明確に示している.周波数の上昇に伴い実効導電率が低下する傾向が観測された.この現象は,表皮深さ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と表面粗さ</w:t>
      </w:r>
      <m:oMath>
        <m:sSub>
          <m:e>
            <m:r>
              <m:t>R</m:t>
            </m:r>
          </m:e>
          <m:sub>
            <m:r>
              <m:t>z</m:t>
            </m:r>
          </m:sub>
        </m:sSub>
      </m:oMath>
      <w:r>
        <w:rPr>
          <w:rFonts w:hint="eastAsia"/>
        </w:rPr>
        <w:t xml:space="preserve">の相対的な大きさに起因する.</w:t>
      </w:r>
    </w:p>
    <w:bookmarkStart w:id="75" w:name="表面粗さモデル"/>
    <w:p>
      <w:pPr>
        <w:pStyle w:val="Heading4"/>
      </w:pPr>
      <w:r>
        <w:rPr>
          <w:rFonts w:hint="eastAsia"/>
        </w:rPr>
        <w:t xml:space="preserve">表面粗さモデル</w:t>
      </w:r>
    </w:p>
    <w:p>
      <w:pPr>
        <w:pStyle w:val="FirstParagraph"/>
      </w:pPr>
      <w:r>
        <w:rPr>
          <w:rFonts w:hint="eastAsia"/>
        </w:rPr>
        <w:t xml:space="preserve">表面粗さが実効導電率に与える影響はD-band測定で報告されており</w:t>
      </w:r>
      <w:r>
        <w:rPr>
          <w:rFonts w:hint="eastAsia"/>
        </w:rPr>
        <w:t xml:space="preserve">，表面粗さが0.4</w:t>
      </w:r>
      <w:r>
        <w:t xml:space="preserve"> </w:t>
      </w:r>
      <w:r>
        <w:rPr>
          <w:rFonts w:hint="eastAsia"/>
        </w:rPr>
        <w:t xml:space="preserve">μmの銅箔で約</w:t>
      </w:r>
      <m:oMath>
        <m:r>
          <m:t>4</m:t>
        </m:r>
        <m:r>
          <m:rPr>
            <m:sty m:val="p"/>
          </m:rPr>
          <m:t>×</m:t>
        </m:r>
        <m:sSup>
          <m:e>
            <m:r>
              <m:t>10</m:t>
            </m:r>
          </m:e>
          <m:sup>
            <m:r>
              <m:t>7</m:t>
            </m:r>
          </m:sup>
        </m:sSup>
      </m:oMath>
      <w:r>
        <w:t xml:space="preserve"> S/m,0.7 </w:t>
      </w:r>
      <w:r>
        <w:rPr>
          <w:rFonts w:hint="eastAsia"/>
        </w:rPr>
        <w:t xml:space="preserve">μmの銅箔で約</w:t>
      </w:r>
      <m:oMath>
        <m:r>
          <m:t>2.5</m:t>
        </m:r>
        <m:r>
          <m:rPr>
            <m:sty m:val="p"/>
          </m:rPr>
          <m:t>×</m:t>
        </m:r>
        <m:sSup>
          <m:e>
            <m:r>
              <m:t>10</m:t>
            </m:r>
          </m:e>
          <m:sup>
            <m:r>
              <m:t>7</m:t>
            </m:r>
          </m:sup>
        </m:sSup>
      </m:oMath>
      <w:r>
        <w:t xml:space="preserve"> </w:t>
      </w:r>
      <w:r>
        <w:rPr>
          <w:rFonts w:hint="eastAsia"/>
        </w:rPr>
        <w:t xml:space="preserve">S/mの実効導電率が測定されている</w:t>
      </w:r>
      <w:r>
        <w:rPr>
          <w:rFonts w:hint="eastAsia"/>
        </w:rPr>
        <w:t xml:space="preserve">.この現象は,表皮深さ</w:t>
      </w:r>
      <m:oMath>
        <m:sSub>
          <m:e>
            <m:r>
              <m:t>δ</m:t>
            </m:r>
          </m:e>
          <m:sub>
            <m:r>
              <m:t>s</m:t>
            </m:r>
          </m:sub>
        </m:sSub>
        <m:r>
          <m:rPr>
            <m:sty m:val="p"/>
          </m:rPr>
          <m:t>=</m:t>
        </m:r>
        <m:r>
          <m:t>1</m:t>
        </m:r>
        <m:r>
          <m:rPr>
            <m:sty m:val="p"/>
          </m:rPr>
          <m:t>/</m:t>
        </m:r>
        <m:rad>
          <m:radPr>
            <m:degHide m:val="on"/>
          </m:radPr>
          <m:deg/>
          <m:e>
            <m:r>
              <m:t>π</m:t>
            </m:r>
            <m:r>
              <m:t>f</m:t>
            </m:r>
            <m:sSub>
              <m:e>
                <m:r>
                  <m:t>μ</m:t>
                </m:r>
              </m:e>
              <m:sub>
                <m:r>
                  <m:t>0</m:t>
                </m:r>
              </m:sub>
            </m:sSub>
            <m:r>
              <m:t>σ</m:t>
            </m:r>
          </m:e>
        </m:rad>
      </m:oMath>
      <w:r>
        <w:rPr>
          <w:rFonts w:hint="eastAsia"/>
        </w:rPr>
        <w:t xml:space="preserve">と表面粗さ</w:t>
      </w:r>
      <m:oMath>
        <m:sSub>
          <m:e>
            <m:r>
              <m:t>R</m:t>
            </m:r>
          </m:e>
          <m:sub>
            <m:r>
              <m:t>z</m:t>
            </m:r>
          </m:sub>
        </m:sSub>
      </m:oMath>
      <w:r>
        <w:rPr>
          <w:rFonts w:hint="eastAsia"/>
        </w:rPr>
        <w:t xml:space="preserve">の相対的な大きさに起因する.表面粗さモデルの詳細については，Huray</w:t>
      </w:r>
      <w:r>
        <w:t xml:space="preserve"> および Lomakin </w:t>
      </w:r>
      <w:r>
        <w:rPr>
          <w:rFonts w:hint="eastAsia"/>
        </w:rPr>
        <w:t xml:space="preserve">の議論を参照することを推奨する</w:t>
      </w:r>
      <w:r>
        <w:rPr>
          <w:rFonts w:hint="eastAsia"/>
        </w:rPr>
        <w:t xml:space="preserve">．</w:t>
      </w:r>
    </w:p>
    <w:p>
      <w:pPr>
        <w:pStyle w:val="BodyText"/>
      </w:pPr>
      <w:r>
        <w:rPr>
          <w:rFonts w:hint="eastAsia"/>
        </w:rPr>
        <w:t xml:space="preserve">MEGTRON6基板の銅箔表面粗さを</w:t>
      </w:r>
      <m:oMath>
        <m:sSub>
          <m:e>
            <m:r>
              <m:t>R</m:t>
            </m:r>
          </m:e>
          <m:sub>
            <m:r>
              <m:t>z</m:t>
            </m:r>
          </m:sub>
        </m:sSub>
        <m:r>
          <m:rPr>
            <m:sty m:val="p"/>
          </m:rPr>
          <m:t>≈</m:t>
        </m:r>
        <m:r>
          <m:t>1.0</m:t>
        </m:r>
      </m:oMath>
      <w:r>
        <w:t xml:space="preserve"> </w:t>
      </w:r>
      <w:r>
        <w:rPr>
          <w:rFonts w:hint="eastAsia"/>
        </w:rPr>
        <w:t xml:space="preserve">μmと仮定すると，10</w:t>
      </w:r>
      <w:r>
        <w:t xml:space="preserve"> GHzでは</w:t>
      </w:r>
      <m:oMath>
        <m:sSub>
          <m:e>
            <m:r>
              <m:t>δ</m:t>
            </m:r>
          </m:e>
          <m:sub>
            <m:r>
              <m:t>s</m:t>
            </m:r>
          </m:sub>
        </m:sSub>
        <m:r>
          <m:rPr>
            <m:sty m:val="p"/>
          </m:rPr>
          <m:t>≈</m:t>
        </m:r>
        <m:r>
          <m:t>0.66</m:t>
        </m:r>
      </m:oMath>
      <w:r>
        <w:t xml:space="preserve"> μm,100 GHzでは</w:t>
      </w:r>
      <m:oMath>
        <m:sSub>
          <m:e>
            <m:r>
              <m:t>δ</m:t>
            </m:r>
          </m:e>
          <m:sub>
            <m:r>
              <m:t>s</m:t>
            </m:r>
          </m:sub>
        </m:sSub>
        <m:r>
          <m:rPr>
            <m:sty m:val="p"/>
          </m:rPr>
          <m:t>≈</m:t>
        </m:r>
        <m:r>
          <m:t>0.21</m:t>
        </m:r>
      </m:oMath>
      <w:r>
        <w:t xml:space="preserve"> </w:t>
      </w:r>
      <w:r>
        <w:rPr>
          <w:rFonts w:hint="eastAsia"/>
        </w:rPr>
        <w:t xml:space="preserve">μmとなる.したがって，高周波域では</w:t>
      </w:r>
      <m:oMath>
        <m:sSub>
          <m:e>
            <m:r>
              <m:t>R</m:t>
            </m:r>
          </m:e>
          <m:sub>
            <m:r>
              <m:t>z</m:t>
            </m:r>
          </m:sub>
        </m:sSub>
        <m:r>
          <m:rPr>
            <m:sty m:val="p"/>
          </m:rPr>
          <m:t>/</m:t>
        </m:r>
        <m:sSub>
          <m:e>
            <m:r>
              <m:t>δ</m:t>
            </m:r>
          </m:e>
          <m:sub>
            <m:r>
              <m:t>s</m:t>
            </m:r>
          </m:sub>
        </m:sSub>
        <m:r>
          <m:rPr>
            <m:sty m:val="p"/>
          </m:rPr>
          <m:t>&gt;</m:t>
        </m:r>
        <m:r>
          <m:t>1</m:t>
        </m:r>
      </m:oMath>
      <w:r>
        <w:rPr>
          <w:rFonts w:hint="eastAsia"/>
        </w:rPr>
        <w:t xml:space="preserve">となり，表面粗さの影響が支配的になる.</w:t>
      </w:r>
    </w:p>
    <w:p>
      <w:pPr>
        <w:pStyle w:val="BodyText"/>
      </w:pPr>
      <w:r>
        <w:rPr>
          <w:rFonts w:hint="eastAsia"/>
        </w:rPr>
        <w:t xml:space="preserve">本研究の測定結果（12.7</w:t>
      </w:r>
      <w:r>
        <w:t xml:space="preserve"> GHzで 2.41 × 10</w:t>
      </w:r>
      <w:r>
        <w:rPr>
          <w:vertAlign w:val="superscript"/>
        </w:rPr>
        <w:t xml:space="preserve">7</w:t>
      </w:r>
      <w:r>
        <w:t xml:space="preserve"> S m</w:t>
      </w:r>
      <w:r>
        <w:rPr>
          <w:vertAlign w:val="superscript"/>
        </w:rPr>
        <w:t xml:space="preserve">−1</w:t>
      </w:r>
      <w:r>
        <w:t xml:space="preserve"> </w:t>
      </w:r>
      <w:r>
        <w:t xml:space="preserve">→ 65.3 GHzで 3.44 × 10</w:t>
      </w:r>
      <w:r>
        <w:rPr>
          <w:vertAlign w:val="superscript"/>
        </w:rPr>
        <w:t xml:space="preserve">6</w:t>
      </w:r>
      <w:r>
        <w:t xml:space="preserve"> S m</w:t>
      </w:r>
      <w:r>
        <w:rPr>
          <w:vertAlign w:val="superscript"/>
        </w:rPr>
        <w:t xml:space="preserve">−1</w:t>
      </w:r>
      <w:r>
        <w:rPr>
          <w:rFonts w:hint="eastAsia"/>
        </w:rPr>
        <w:t xml:space="preserve">）は，周波数上昇に伴う実効導電率の低下を示しており，およそ1桁の低下が観測された．</w:t>
      </w:r>
    </w:p>
    <w:bookmarkEnd w:id="75"/>
    <w:bookmarkEnd w:id="76"/>
    <w:bookmarkStart w:id="77" w:name="先行研究との比較"/>
    <w:p>
      <w:pPr>
        <w:pStyle w:val="Heading2"/>
      </w:pPr>
      <w:r>
        <w:rPr>
          <w:rFonts w:hint="eastAsia"/>
        </w:rPr>
        <w:t xml:space="preserve">先行研究との比較</w:t>
      </w:r>
    </w:p>
    <w:p>
      <w:pPr>
        <w:pStyle w:val="FirstParagraph"/>
      </w:pPr>
      <w:r>
        <w:rPr>
          <w:rFonts w:hint="eastAsia"/>
        </w:rPr>
        <w:t xml:space="preserve">WR-6.5導波管インターフェースBCDRを用いたD-band（110～170</w:t>
      </w:r>
      <w:r>
        <w:t xml:space="preserve"> </w:t>
      </w:r>
      <w:r>
        <w:rPr>
          <w:rFonts w:hint="eastAsia"/>
        </w:rPr>
        <w:t xml:space="preserve">GHz）での導電率測定では，表面粗さ0.4</w:t>
      </w:r>
      <w:r>
        <w:t xml:space="preserve"> </w:t>
      </w:r>
      <w:r>
        <w:rPr>
          <w:rFonts w:hint="eastAsia"/>
        </w:rPr>
        <w:t xml:space="preserve">μmの銅箔で約</w:t>
      </w:r>
      <m:oMath>
        <m:r>
          <m:t>4</m:t>
        </m:r>
        <m:r>
          <m:rPr>
            <m:sty m:val="p"/>
          </m:rPr>
          <m:t>×</m:t>
        </m:r>
        <m:sSup>
          <m:e>
            <m:r>
              <m:t>10</m:t>
            </m:r>
          </m:e>
          <m:sup>
            <m:r>
              <m:t>7</m:t>
            </m:r>
          </m:sup>
        </m:sSup>
      </m:oMath>
      <w:r>
        <w:t xml:space="preserve"> S/m,0.7 </w:t>
      </w:r>
      <w:r>
        <w:rPr>
          <w:rFonts w:hint="eastAsia"/>
        </w:rPr>
        <w:t xml:space="preserve">μmの銅箔で約</w:t>
      </w:r>
      <m:oMath>
        <m:r>
          <m:t>2.5</m:t>
        </m:r>
        <m:r>
          <m:rPr>
            <m:sty m:val="p"/>
          </m:rPr>
          <m:t>×</m:t>
        </m:r>
        <m:sSup>
          <m:e>
            <m:r>
              <m:t>10</m:t>
            </m:r>
          </m:e>
          <m:sup>
            <m:r>
              <m:t>7</m:t>
            </m:r>
          </m:sup>
        </m:sSup>
      </m:oMath>
      <w:r>
        <w:t xml:space="preserve"> </w:t>
      </w:r>
      <w:r>
        <w:rPr>
          <w:rFonts w:hint="eastAsia"/>
        </w:rPr>
        <w:t xml:space="preserve">S/mの実効導電率が報告されている</w:t>
      </w:r>
      <w:r>
        <w:t xml:space="preserve">.</w:t>
      </w:r>
    </w:p>
    <w:p>
      <w:pPr>
        <w:pStyle w:val="BodyText"/>
      </w:pPr>
      <w:r>
        <w:rPr>
          <w:rFonts w:hint="eastAsia"/>
        </w:rPr>
        <w:t xml:space="preserve">本研究は評価帯域が67</w:t>
      </w:r>
      <w:r>
        <w:t xml:space="preserve"> </w:t>
      </w:r>
      <w:r>
        <w:rPr>
          <w:rFonts w:hint="eastAsia"/>
        </w:rPr>
        <w:t xml:space="preserve">GHz以下であるため，D-bandの数値との直接比較はできない．ただし，本研究で得た低～中ミリ波帯の</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低下傾向は，文献で示される高周波側の低下傾向と整合的な方向性を示す．</w:t>
      </w:r>
    </w:p>
    <w:bookmarkEnd w:id="77"/>
    <w:bookmarkStart w:id="78" w:name="減衰定数算出における従来手法の課題"/>
    <w:p>
      <w:pPr>
        <w:pStyle w:val="Heading2"/>
      </w:pPr>
      <w:r>
        <w:rPr>
          <w:rFonts w:hint="eastAsia"/>
        </w:rPr>
        <w:t xml:space="preserve">減衰定数算出における従来手法の課題</w:t>
      </w:r>
    </w:p>
    <w:p>
      <w:pPr>
        <w:pStyle w:val="FirstParagraph"/>
      </w:pPr>
      <w:r>
        <w:rPr>
          <w:rFonts w:hint="eastAsia"/>
        </w:rPr>
        <w:t xml:space="preserve">従来の高周波基板設計では，導体損失を算出する際に直流導電率</w:t>
      </w:r>
      <m:oMath>
        <m:sSub>
          <m:e>
            <m:r>
              <m:t>σ</m:t>
            </m:r>
          </m:e>
          <m:sub>
            <m:r>
              <m:rPr>
                <m:nor/>
                <m:sty m:val="p"/>
              </m:rPr>
              <m:t>DC</m:t>
            </m:r>
          </m:sub>
        </m:sSub>
        <m:r>
          <m:rPr>
            <m:sty m:val="p"/>
          </m:rPr>
          <m:t>=</m:t>
        </m:r>
        <m:r>
          <m:t>5.8</m:t>
        </m:r>
        <m:r>
          <m:rPr>
            <m:sty m:val="p"/>
          </m:rPr>
          <m:t>×</m:t>
        </m:r>
        <m:sSup>
          <m:e>
            <m:r>
              <m:t>10</m:t>
            </m:r>
          </m:e>
          <m:sup>
            <m:r>
              <m:t>7</m:t>
            </m:r>
          </m:sup>
        </m:sSup>
      </m:oMath>
      <w:r>
        <w:t xml:space="preserve"> </w:t>
      </w:r>
      <w:r>
        <w:rPr>
          <w:rFonts w:hint="eastAsia"/>
        </w:rPr>
        <w:t xml:space="preserve">S/mを全周波数で一定と仮定することが多い.しかし，本研究の結果は，この仮定が高周波域で導体損失を大幅に過小評価する可能性があることを示唆している.</w:t>
      </w:r>
    </w:p>
    <w:p>
      <w:pPr>
        <w:pStyle w:val="BodyText"/>
      </w:pPr>
      <w:r>
        <w:rPr>
          <w:rFonts w:hint="eastAsia"/>
        </w:rPr>
        <w:t xml:space="preserve">例えば，60</w:t>
      </w:r>
      <w:r>
        <w:t xml:space="preserve"> </w:t>
      </w:r>
      <w:r>
        <w:rPr>
          <w:rFonts w:hint="eastAsia"/>
        </w:rPr>
        <w:t xml:space="preserve">GHz,線路幅</w:t>
      </w:r>
      <w:r>
        <w:t xml:space="preserve"> </w:t>
      </w:r>
      <m:oMath>
        <m:r>
          <m:t>W</m:t>
        </m:r>
        <m:r>
          <m:rPr>
            <m:sty m:val="p"/>
          </m:rPr>
          <m:t>=</m:t>
        </m:r>
        <m:r>
          <m:t>100</m:t>
        </m:r>
        <m:r>
          <m:t> </m:t>
        </m:r>
        <m:r>
          <m:rPr>
            <m:nor/>
            <m:sty m:val="p"/>
          </m:rPr>
          <m:t>μ</m:t>
        </m:r>
        <m:r>
          <m:rPr>
            <m:nor/>
            <m:sty m:val="p"/>
          </m:rPr>
          <m:t>m</m:t>
        </m:r>
      </m:oMath>
      <w:r>
        <w:t xml:space="preserve"> </w:t>
      </w:r>
      <w:r>
        <w:rPr>
          <w:rFonts w:hint="eastAsia"/>
        </w:rPr>
        <w:t xml:space="preserve">のマイクロストリップラインにおいて：</w:t>
      </w:r>
    </w:p>
    <w:p>
      <w:pPr>
        <w:numPr>
          <w:ilvl w:val="0"/>
          <w:numId w:val="1014"/>
        </w:numPr>
      </w:pPr>
      <w:r>
        <w:rPr>
          <w:rFonts w:hint="eastAsia"/>
          <w:b/>
          <w:bCs/>
        </w:rPr>
        <w:t xml:space="preserve">理想導電率（</w:t>
      </w:r>
      <m:oMath>
        <m:r>
          <m:t>5.8</m:t>
        </m:r>
        <m:box>
          <m:boxPr>
            <m:opEmu m:val="on"/>
          </m:boxPr>
          <m:e>
            <m:r>
              <m:rPr>
                <m:sty m:val="p"/>
              </m:rPr>
              <m:t> × </m:t>
            </m:r>
          </m:e>
        </m:box>
        <m:sSup>
          <m:e>
            <m:r>
              <m:t>10</m:t>
            </m:r>
          </m:e>
          <m:sup>
            <m:r>
              <m:t>7</m:t>
            </m:r>
          </m:sup>
        </m:sSup>
        <m:r>
          <m:t> </m:t>
        </m:r>
        <m:r>
          <m:rPr>
            <m:nor/>
            <m:sty m:val="p"/>
          </m:rPr>
          <m:t>S</m:t>
        </m:r>
        <m:r>
          <m:rPr>
            <m:nor/>
            <m:sty m:val="p"/>
          </m:rPr>
          <m:t>/</m:t>
        </m:r>
        <m:r>
          <m:rPr>
            <m:nor/>
            <m:sty m:val="p"/>
          </m:rPr>
          <m:t>m</m:t>
        </m:r>
      </m:oMath>
      <w:r>
        <w:rPr>
          <w:rFonts w:hint="eastAsia"/>
          <w:b/>
          <w:bCs/>
        </w:rPr>
        <w:t xml:space="preserve">）を仮定</w:t>
      </w:r>
      <w:r>
        <w:rPr>
          <w:rFonts w:hint="eastAsia"/>
        </w:rPr>
        <w:t xml:space="preserve">：</w:t>
      </w:r>
      <m:oMath>
        <m:sSub>
          <m:e>
            <m:r>
              <m:t>α</m:t>
            </m:r>
          </m:e>
          <m:sub>
            <m:r>
              <m:t>c</m:t>
            </m:r>
          </m:sub>
        </m:sSub>
        <m:r>
          <m:rPr>
            <m:sty m:val="p"/>
          </m:rPr>
          <m:t>≈</m:t>
        </m:r>
        <m:r>
          <m:t>0.8</m:t>
        </m:r>
        <m:r>
          <m:t> </m:t>
        </m:r>
        <m:r>
          <m:rPr>
            <m:nor/>
            <m:sty m:val="p"/>
          </m:rPr>
          <m:t>db</m:t>
        </m:r>
        <m:r>
          <m:rPr>
            <m:nor/>
            <m:sty m:val="p"/>
          </m:rPr>
          <m:t>/</m:t>
        </m:r>
        <m:r>
          <m:rPr>
            <m:nor/>
            <m:sty m:val="p"/>
          </m:rPr>
          <m:t>c</m:t>
        </m:r>
        <m:r>
          <m:rPr>
            <m:nor/>
            <m:sty m:val="p"/>
          </m:rPr>
          <m:t>m</m:t>
        </m:r>
      </m:oMath>
    </w:p>
    <w:p>
      <w:pPr>
        <w:numPr>
          <w:ilvl w:val="0"/>
          <w:numId w:val="1014"/>
        </w:numPr>
      </w:pPr>
      <w:r>
        <w:rPr>
          <w:rFonts w:hint="eastAsia"/>
          <w:b/>
          <w:bCs/>
        </w:rPr>
        <w:t xml:space="preserve">実効導電率（</w:t>
      </w:r>
      <m:oMath>
        <m:r>
          <m:t>4.0</m:t>
        </m:r>
        <m:box>
          <m:boxPr>
            <m:opEmu m:val="on"/>
          </m:boxPr>
          <m:e>
            <m:r>
              <m:rPr>
                <m:sty m:val="p"/>
              </m:rPr>
              <m:t> × </m:t>
            </m:r>
          </m:e>
        </m:box>
        <m:sSup>
          <m:e>
            <m:r>
              <m:t>10</m:t>
            </m:r>
          </m:e>
          <m:sup>
            <m:r>
              <m:t>7</m:t>
            </m:r>
          </m:sup>
        </m:sSup>
        <m:r>
          <m:t> </m:t>
        </m:r>
        <m:r>
          <m:rPr>
            <m:nor/>
            <m:sty m:val="p"/>
          </m:rPr>
          <m:t>S</m:t>
        </m:r>
        <m:r>
          <m:rPr>
            <m:nor/>
            <m:sty m:val="p"/>
          </m:rPr>
          <m:t>/</m:t>
        </m:r>
        <m:r>
          <m:rPr>
            <m:nor/>
            <m:sty m:val="p"/>
          </m:rPr>
          <m:t>m</m:t>
        </m:r>
      </m:oMath>
      <w:r>
        <w:rPr>
          <w:rFonts w:hint="eastAsia"/>
          <w:b/>
          <w:bCs/>
        </w:rPr>
        <w:t xml:space="preserve">）を使用</w:t>
      </w:r>
      <w:r>
        <w:rPr>
          <w:rFonts w:hint="eastAsia"/>
        </w:rPr>
        <w:t xml:space="preserve">：</w:t>
      </w:r>
      <m:oMath>
        <m:sSub>
          <m:e>
            <m:r>
              <m:t>α</m:t>
            </m:r>
          </m:e>
          <m:sub>
            <m:r>
              <m:t>c</m:t>
            </m:r>
          </m:sub>
        </m:sSub>
        <m:r>
          <m:rPr>
            <m:sty m:val="p"/>
          </m:rPr>
          <m:t>≈</m:t>
        </m:r>
        <m:r>
          <m:t>1.2</m:t>
        </m:r>
        <m:r>
          <m:t> </m:t>
        </m:r>
        <m:r>
          <m:rPr>
            <m:nor/>
            <m:sty m:val="p"/>
          </m:rPr>
          <m:t>db</m:t>
        </m:r>
        <m:r>
          <m:rPr>
            <m:nor/>
            <m:sty m:val="p"/>
          </m:rPr>
          <m:t>/</m:t>
        </m:r>
        <m:r>
          <m:rPr>
            <m:nor/>
            <m:sty m:val="p"/>
          </m:rPr>
          <m:t>c</m:t>
        </m:r>
        <m:r>
          <m:rPr>
            <m:nor/>
            <m:sty m:val="p"/>
          </m:rPr>
          <m:t>m</m:t>
        </m:r>
      </m:oMath>
    </w:p>
    <w:p>
      <w:pPr>
        <w:pStyle w:val="FirstParagraph"/>
      </w:pPr>
      <w:r>
        <w:rPr>
          <w:rFonts w:hint="eastAsia"/>
          <w:b/>
          <w:bCs/>
        </w:rPr>
        <w:t xml:space="preserve">誤差率は約50%</w:t>
      </w:r>
      <w:r>
        <w:rPr>
          <w:rFonts w:hint="eastAsia"/>
        </w:rPr>
        <w:t xml:space="preserve">に達し，10</w:t>
      </w:r>
      <w:r>
        <w:t xml:space="preserve"> cm </w:t>
      </w:r>
      <w:r>
        <w:rPr>
          <w:rFonts w:hint="eastAsia"/>
        </w:rPr>
        <w:t xml:space="preserve">の伝送線路では信号減衰の見積もりが約</w:t>
      </w:r>
      <w:r>
        <w:t xml:space="preserve"> 4 db </w:t>
      </w:r>
      <w:r>
        <w:rPr>
          <w:rFonts w:hint="eastAsia"/>
        </w:rPr>
        <w:t xml:space="preserve">も異なる.6G通信（100</w:t>
      </w:r>
      <w:r>
        <w:t xml:space="preserve"> </w:t>
      </w:r>
      <w:r>
        <w:rPr>
          <w:rFonts w:hint="eastAsia"/>
        </w:rPr>
        <w:t xml:space="preserve">GHz超）を目指す基板設計では，この誤差は致命的となる可能性がある.</w:t>
      </w:r>
    </w:p>
    <w:bookmarkEnd w:id="78"/>
    <w:bookmarkStart w:id="79" w:name="測定不確かさの評価"/>
    <w:p>
      <w:pPr>
        <w:pStyle w:val="Heading2"/>
      </w:pPr>
      <w:r>
        <w:rPr>
          <w:rFonts w:hint="eastAsia"/>
        </w:rPr>
        <w:t xml:space="preserve">測定不確かさの評価</w:t>
      </w:r>
    </w:p>
    <w:p>
      <w:pPr>
        <w:pStyle w:val="FirstParagraph"/>
      </w:pPr>
      <w:r>
        <w:rPr>
          <w:rFonts w:hint="eastAsia"/>
        </w:rPr>
        <w:t xml:space="preserve">BCDR法による複素誘電率測定の不確かさは，IEC</w:t>
      </w:r>
      <w:r>
        <w:t xml:space="preserve"> </w:t>
      </w:r>
      <w:r>
        <w:rPr>
          <w:rFonts w:hint="eastAsia"/>
        </w:rPr>
        <w:t xml:space="preserve">63185:2020で規定されており，その主要な要因は以下の通りである</w:t>
      </w:r>
      <w:r>
        <w:rPr>
          <w:rFonts w:hint="eastAsia"/>
        </w:rPr>
        <w:t xml:space="preserve">．</w:t>
      </w:r>
    </w:p>
    <w:p>
      <w:pPr>
        <w:numPr>
          <w:ilvl w:val="0"/>
          <w:numId w:val="1015"/>
        </w:numPr>
      </w:pPr>
      <w:r>
        <w:rPr>
          <w:rFonts w:hint="eastAsia"/>
          <w:b/>
          <w:bCs/>
        </w:rPr>
        <w:t xml:space="preserve">試料の寸法測定：</w:t>
      </w:r>
      <w:r>
        <w:t xml:space="preserve"> </w:t>
      </w:r>
      <w:r>
        <w:rPr>
          <w:rFonts w:hint="eastAsia"/>
        </w:rPr>
        <w:t xml:space="preserve">試料厚さ</w:t>
      </w:r>
      <m:oMath>
        <m:r>
          <m:t>t</m:t>
        </m:r>
      </m:oMath>
      <w:r>
        <w:rPr>
          <w:rFonts w:hint="eastAsia"/>
        </w:rPr>
        <w:t xml:space="preserve">の不確かさは，比誘電率</w:t>
      </w:r>
      <m:oMath>
        <m:sSubSup>
          <m:e>
            <m:r>
              <m:t>ε</m:t>
            </m:r>
          </m:e>
          <m:sub>
            <m:r>
              <m:t>r</m:t>
            </m:r>
          </m:sub>
          <m:sup>
            <m:r>
              <m:rPr>
                <m:sty m:val="p"/>
              </m:rPr>
              <m:t>′</m:t>
            </m:r>
          </m:sup>
        </m:sSubSup>
      </m:oMath>
      <w:r>
        <w:rPr>
          <w:rFonts w:hint="eastAsia"/>
        </w:rPr>
        <w:t xml:space="preserve">と誘電正接</w:t>
      </w:r>
      <m:oMath>
        <m:r>
          <m:rPr>
            <m:sty m:val="p"/>
          </m:rPr>
          <m:t>tan</m:t>
        </m:r>
        <m:r>
          <m:t>δ</m:t>
        </m:r>
      </m:oMath>
      <w:r>
        <w:rPr>
          <w:rFonts w:hint="eastAsia"/>
        </w:rPr>
        <w:t xml:space="preserve">の両方に影響を与える．特に</w:t>
      </w:r>
      <m:oMath>
        <m:r>
          <m:rPr>
            <m:sty m:val="p"/>
          </m:rPr>
          <m:t>tan</m:t>
        </m:r>
        <m:r>
          <m:t>δ</m:t>
        </m:r>
      </m:oMath>
      <w:r>
        <w:t xml:space="preserve">は</w:t>
      </w:r>
      <m:oMath>
        <m:r>
          <m:t>1</m:t>
        </m:r>
        <m:r>
          <m:rPr>
            <m:sty m:val="p"/>
          </m:rPr>
          <m:t>/</m:t>
        </m:r>
        <m:r>
          <m:t>t</m:t>
        </m:r>
      </m:oMath>
      <w:r>
        <w:rPr>
          <w:rFonts w:hint="eastAsia"/>
        </w:rPr>
        <w:t xml:space="preserve">に比例するため，厚さの不確かさの影響を比較的大きく受ける．マイクロメータによる測定では通常</w:t>
      </w:r>
      <m:oMath>
        <m:r>
          <m:rPr>
            <m:sty m:val="p"/>
          </m:rPr>
          <m:t>±</m:t>
        </m:r>
        <m:r>
          <m:t>1</m:t>
        </m:r>
        <m:r>
          <m:rPr>
            <m:sty m:val="p"/>
          </m:rPr>
          <m:t>∼</m:t>
        </m:r>
        <m:r>
          <m:t>2</m:t>
        </m:r>
      </m:oMath>
      <w:r>
        <w:t xml:space="preserve"> </w:t>
      </w:r>
      <w:r>
        <w:rPr>
          <w:rFonts w:hint="eastAsia"/>
        </w:rPr>
        <w:t xml:space="preserve">μm程度の不確かさを見込む．</w:t>
      </w:r>
    </w:p>
    <w:p>
      <w:pPr>
        <w:numPr>
          <w:ilvl w:val="0"/>
          <w:numId w:val="1015"/>
        </w:numPr>
      </w:pPr>
      <w:r>
        <w:rPr>
          <w:rFonts w:hint="eastAsia"/>
          <w:b/>
          <w:bCs/>
        </w:rPr>
        <w:t xml:space="preserve">共振器の寸法測定：</w:t>
      </w:r>
      <w:r>
        <w:t xml:space="preserve"> </w:t>
      </w:r>
      <w:r>
        <w:rPr>
          <w:rFonts w:hint="eastAsia"/>
        </w:rPr>
        <w:t xml:space="preserve">銅円板直径</w:t>
      </w:r>
      <m:oMath>
        <m:r>
          <m:t>2</m:t>
        </m:r>
        <m:r>
          <m:t>R</m:t>
        </m:r>
      </m:oMath>
      <w:r>
        <w:rPr>
          <w:rFonts w:hint="eastAsia"/>
        </w:rPr>
        <w:t xml:space="preserve">や励振孔直径</w:t>
      </w:r>
      <m:oMath>
        <m:r>
          <m:t>2</m:t>
        </m:r>
        <m:r>
          <m:t>a</m:t>
        </m:r>
      </m:oMath>
      <w:r>
        <w:rPr>
          <w:rFonts w:hint="eastAsia"/>
        </w:rPr>
        <w:t xml:space="preserve">の不確かさは，主に比誘電率</w:t>
      </w:r>
      <m:oMath>
        <m:sSubSup>
          <m:e>
            <m:r>
              <m:t>ε</m:t>
            </m:r>
          </m:e>
          <m:sub>
            <m:r>
              <m:t>r</m:t>
            </m:r>
          </m:sub>
          <m:sup>
            <m:r>
              <m:rPr>
                <m:sty m:val="p"/>
              </m:rPr>
              <m:t>′</m:t>
            </m:r>
          </m:sup>
        </m:sSubSup>
      </m:oMath>
      <w:r>
        <w:rPr>
          <w:rFonts w:hint="eastAsia"/>
        </w:rPr>
        <w:t xml:space="preserve">の不確かさにつながる．特に</w:t>
      </w:r>
      <m:oMath>
        <m:r>
          <m:t>2</m:t>
        </m:r>
        <m:r>
          <m:t>a</m:t>
        </m:r>
      </m:oMath>
      <w:r>
        <w:rPr>
          <w:rFonts w:hint="eastAsia"/>
        </w:rPr>
        <w:t xml:space="preserve">の不確かさは高次モードになるほど</w:t>
      </w:r>
      <m:oMath>
        <m:sSubSup>
          <m:e>
            <m:r>
              <m:t>ε</m:t>
            </m:r>
          </m:e>
          <m:sub>
            <m:r>
              <m:t>r</m:t>
            </m:r>
          </m:sub>
          <m:sup>
            <m:r>
              <m:rPr>
                <m:sty m:val="p"/>
              </m:rPr>
              <m:t>′</m:t>
            </m:r>
          </m:sup>
        </m:sSubSup>
      </m:oMath>
      <w:r>
        <w:rPr>
          <w:rFonts w:hint="eastAsia"/>
        </w:rPr>
        <w:t xml:space="preserve">への寄与が大きくなる傾向がある</w:t>
      </w:r>
      <w:r>
        <w:rPr>
          <w:rFonts w:hint="eastAsia"/>
        </w:rPr>
        <w:t xml:space="preserve">．</w:t>
      </w:r>
    </w:p>
    <w:p>
      <w:pPr>
        <w:numPr>
          <w:ilvl w:val="0"/>
          <w:numId w:val="1015"/>
        </w:numPr>
      </w:pPr>
      <w:r>
        <w:rPr>
          <w:rFonts w:hint="eastAsia"/>
          <w:b/>
          <w:bCs/>
        </w:rPr>
        <w:t xml:space="preserve">共振パラメータ測定：</w:t>
      </w:r>
      <w:r>
        <w:t xml:space="preserve"> </w:t>
      </w:r>
      <w:r>
        <w:rPr>
          <w:rFonts w:hint="eastAsia"/>
        </w:rPr>
        <w:t xml:space="preserve">VNAで測定される共振周波数</w:t>
      </w:r>
      <m:oMath>
        <m:sSub>
          <m:e>
            <m:r>
              <m:t>f</m:t>
            </m:r>
          </m:e>
          <m:sub>
            <m:r>
              <m:t>0</m:t>
            </m:r>
            <m:r>
              <m:t>m</m:t>
            </m:r>
            <m:r>
              <m:t>0</m:t>
            </m:r>
          </m:sub>
        </m:sSub>
      </m:oMath>
      <w:r>
        <w:rPr>
          <w:rFonts w:hint="eastAsia"/>
        </w:rPr>
        <w:t xml:space="preserve">と無負荷Q値</w:t>
      </w:r>
      <m:oMath>
        <m:sSub>
          <m:e>
            <m:r>
              <m:t>Q</m:t>
            </m:r>
          </m:e>
          <m:sub>
            <m:r>
              <m:t>u</m:t>
            </m:r>
          </m:sub>
        </m:sSub>
      </m:oMath>
      <w:r>
        <w:rPr>
          <w:rFonts w:hint="eastAsia"/>
        </w:rPr>
        <w:t xml:space="preserve">の測定不確かさ．</w:t>
      </w:r>
      <m:oMath>
        <m:sSub>
          <m:e>
            <m:r>
              <m:t>f</m:t>
            </m:r>
          </m:e>
          <m:sub>
            <m:r>
              <m:t>0</m:t>
            </m:r>
            <m:r>
              <m:t>m</m:t>
            </m:r>
            <m:r>
              <m:t>0</m:t>
            </m:r>
          </m:sub>
        </m:sSub>
      </m:oMath>
      <w:r>
        <w:t xml:space="preserve">は</w:t>
      </w:r>
      <m:oMath>
        <m:sSubSup>
          <m:e>
            <m:r>
              <m:t>ε</m:t>
            </m:r>
          </m:e>
          <m:sub>
            <m:r>
              <m:t>r</m:t>
            </m:r>
          </m:sub>
          <m:sup>
            <m:r>
              <m:rPr>
                <m:sty m:val="p"/>
              </m:rPr>
              <m:t>′</m:t>
            </m:r>
          </m:sup>
        </m:sSubSup>
      </m:oMath>
      <w:r>
        <w:rPr>
          <w:rFonts w:hint="eastAsia"/>
        </w:rPr>
        <w:t xml:space="preserve">に，</w:t>
      </w:r>
      <m:oMath>
        <m:sSub>
          <m:e>
            <m:r>
              <m:t>Q</m:t>
            </m:r>
          </m:e>
          <m:sub>
            <m:r>
              <m:t>u</m:t>
            </m:r>
          </m:sub>
        </m:sSub>
      </m:oMath>
      <w:r>
        <w:t xml:space="preserve">は</w:t>
      </w:r>
      <m:oMath>
        <m:r>
          <m:rPr>
            <m:sty m:val="p"/>
          </m:rPr>
          <m:t>tan</m:t>
        </m:r>
        <m:r>
          <m:t>δ</m:t>
        </m:r>
      </m:oMath>
      <w:r>
        <w:rPr>
          <w:rFonts w:hint="eastAsia"/>
        </w:rPr>
        <w:t xml:space="preserve">に直接影響する．</w:t>
      </w:r>
      <m:oMath>
        <m:sSub>
          <m:e>
            <m:r>
              <m:t>Q</m:t>
            </m:r>
          </m:e>
          <m:sub>
            <m:r>
              <m:t>u</m:t>
            </m:r>
          </m:sub>
        </m:sSub>
      </m:oMath>
      <w:r>
        <w:rPr>
          <w:rFonts w:hint="eastAsia"/>
        </w:rPr>
        <w:t xml:space="preserve">の不確かさは，フィッティング誤差やVNAの校正状態に依存し，通常</w:t>
      </w:r>
      <m:oMath>
        <m:r>
          <m:rPr>
            <m:sty m:val="p"/>
          </m:rPr>
          <m:t>±</m:t>
        </m:r>
        <m:r>
          <m:t>2</m:t>
        </m:r>
      </m:oMath>
      <w:r>
        <w:rPr>
          <w:rFonts w:hint="eastAsia"/>
        </w:rPr>
        <w:t xml:space="preserve">%程度と見積もられる．</w:t>
      </w:r>
    </w:p>
    <w:p>
      <w:pPr>
        <w:numPr>
          <w:ilvl w:val="0"/>
          <w:numId w:val="1015"/>
        </w:numPr>
      </w:pPr>
      <w:r>
        <w:rPr>
          <w:rFonts w:hint="eastAsia"/>
          <w:b/>
          <w:bCs/>
        </w:rPr>
        <w:t xml:space="preserve">導電率の不確かさ：</w:t>
      </w:r>
      <w:r>
        <w:t xml:space="preserve"> </w:t>
      </w:r>
      <w:r>
        <w:rPr>
          <w:rFonts w:hint="eastAsia"/>
        </w:rPr>
        <w:t xml:space="preserve">ここで述べる導電率</w:t>
      </w:r>
      <w:r>
        <w:t xml:space="preserve"> </w:t>
      </w:r>
      <m:oMath>
        <m:r>
          <m:t>σ</m:t>
        </m:r>
      </m:oMath>
      <w:r>
        <w:t xml:space="preserve"> </w:t>
      </w:r>
      <w:r>
        <w:rPr>
          <w:rFonts w:hint="eastAsia"/>
        </w:rPr>
        <w:t xml:space="preserve">は参照用の直流バルク導電率（</w:t>
      </w:r>
      <m:oMath>
        <m:sSub>
          <m:e>
            <m:r>
              <m:t>σ</m:t>
            </m:r>
          </m:e>
          <m:sub>
            <m:r>
              <m:rPr>
                <m:sty m:val="p"/>
              </m:rPr>
              <m:t>D</m:t>
            </m:r>
            <m:r>
              <m:rPr>
                <m:sty m:val="p"/>
              </m:rPr>
              <m:t>C</m:t>
            </m:r>
          </m:sub>
        </m:sSub>
      </m:oMath>
      <w:r>
        <w:t xml:space="preserve"> </w:t>
      </w:r>
      <w:r>
        <w:t xml:space="preserve">または</w:t>
      </w:r>
      <w:r>
        <w:t xml:space="preserve"> </w:t>
      </w:r>
      <m:oMath>
        <m:sSub>
          <m:e>
            <m:r>
              <m:t>σ</m:t>
            </m:r>
          </m:e>
          <m:sub>
            <m:r>
              <m:t>0</m:t>
            </m:r>
          </m:sub>
        </m:sSub>
      </m:oMath>
      <w:r>
        <w:rPr>
          <w:rFonts w:hint="eastAsia"/>
        </w:rPr>
        <w:t xml:space="preserve">）を指す．この値の不確かさは</w:t>
      </w:r>
      <w:r>
        <w:t xml:space="preserve"> </w:t>
      </w:r>
      <m:oMath>
        <m:r>
          <m:rPr>
            <m:sty m:val="p"/>
          </m:rPr>
          <m:t>tan</m:t>
        </m:r>
        <m:r>
          <m:t>δ</m:t>
        </m:r>
      </m:oMath>
      <w:r>
        <w:t xml:space="preserve"> </w:t>
      </w:r>
      <w:r>
        <w:rPr>
          <w:rFonts w:hint="eastAsia"/>
        </w:rPr>
        <w:t xml:space="preserve">の推定に寄与する．加えて本研究で主要な評価対象となる実効導電率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の不確かさ（試料ばらつき・アライメント・再現性等）も導体損失評価に影響するため，別途明示的に見積もる必要がある．</w:t>
      </w:r>
    </w:p>
    <w:p>
      <w:pPr>
        <w:numPr>
          <w:ilvl w:val="0"/>
          <w:numId w:val="1015"/>
        </w:numPr>
      </w:pPr>
      <w:r>
        <w:rPr>
          <w:rFonts w:hint="eastAsia"/>
          <w:b/>
          <w:bCs/>
        </w:rPr>
        <w:t xml:space="preserve">解析モデルの不確かさ：</w:t>
      </w:r>
      <w:r>
        <w:t xml:space="preserve"> </w:t>
      </w:r>
      <w:r>
        <w:rPr>
          <w:rFonts w:hint="eastAsia"/>
        </w:rPr>
        <w:t xml:space="preserve">Mode-Matching法における級数展開の打ち切り誤差（Relative</w:t>
      </w:r>
      <w:r>
        <w:t xml:space="preserve"> convergence </w:t>
      </w:r>
      <w:r>
        <w:rPr>
          <w:rFonts w:hint="eastAsia"/>
        </w:rPr>
        <w:t xml:space="preserve">error）など，解析モデルの近似に起因する不確かさ．</w:t>
      </w:r>
    </w:p>
    <w:p>
      <w:pPr>
        <w:numPr>
          <w:ilvl w:val="0"/>
          <w:numId w:val="1015"/>
        </w:numPr>
      </w:pPr>
      <w:r>
        <w:rPr>
          <w:rFonts w:hint="eastAsia"/>
          <w:b/>
          <w:bCs/>
        </w:rPr>
        <w:t xml:space="preserve">試料ペアの不平衡性：</w:t>
      </w:r>
      <w:r>
        <w:t xml:space="preserve"> </w:t>
      </w:r>
      <w:r>
        <w:rPr>
          <w:rFonts w:hint="eastAsia"/>
        </w:rPr>
        <w:t xml:space="preserve">BCDR法では特性の等しい2枚の試料を仮定するが，実際には厚さや誘電特性に僅かな差が存在する．この不平衡性は特にQ値を低下させ，</w:t>
      </w:r>
      <m:oMath>
        <m:r>
          <m:rPr>
            <m:sty m:val="p"/>
          </m:rPr>
          <m:t>tan</m:t>
        </m:r>
        <m:r>
          <m:t>δ</m:t>
        </m:r>
      </m:oMath>
      <w:r>
        <w:rPr>
          <w:rFonts w:hint="eastAsia"/>
        </w:rPr>
        <w:t xml:space="preserve">を過大評価させる方向に働く</w:t>
      </w:r>
      <w:r>
        <w:rPr>
          <w:rFonts w:hint="eastAsia"/>
        </w:rPr>
        <w:t xml:space="preserve">．例えば，厚さの差が0.4%ある場合，</w:t>
      </w:r>
      <m:oMath>
        <m:r>
          <m:rPr>
            <m:sty m:val="p"/>
          </m:rPr>
          <m:t>tan</m:t>
        </m:r>
        <m:r>
          <m:t>δ</m:t>
        </m:r>
      </m:oMath>
      <w:r>
        <w:rPr>
          <w:rFonts w:hint="eastAsia"/>
        </w:rPr>
        <w:t xml:space="preserve">の誤差は高次のモードで20%以上に達する可能性がある．</w:t>
      </w:r>
    </w:p>
    <w:p>
      <w:pPr>
        <w:pStyle w:val="FirstParagraph"/>
      </w:pPr>
      <w:r>
        <w:rPr>
          <w:rFonts w:hint="eastAsia"/>
        </w:rPr>
        <w:t xml:space="preserve">これらの不確かさ要因を合成した拡張不確かさ（</w:t>
      </w:r>
      <m:oMath>
        <m:r>
          <m:t>k</m:t>
        </m:r>
        <m:r>
          <m:rPr>
            <m:sty m:val="p"/>
          </m:rPr>
          <m:t>=</m:t>
        </m:r>
        <m:r>
          <m:t>2</m:t>
        </m:r>
      </m:oMath>
      <w:r>
        <w:rPr>
          <w:rFonts w:hint="eastAsia"/>
        </w:rPr>
        <w:t xml:space="preserve">）は，167</w:t>
      </w:r>
      <w:r>
        <w:t xml:space="preserve"> </w:t>
      </w:r>
      <w:r>
        <w:rPr>
          <w:rFonts w:hint="eastAsia"/>
        </w:rPr>
        <w:t xml:space="preserve">GHzの測定において，比誘電率で約</w:t>
      </w:r>
      <m:oMath>
        <m:r>
          <m:rPr>
            <m:sty m:val="p"/>
          </m:rPr>
          <m:t>±</m:t>
        </m:r>
        <m:r>
          <m:t>1.0</m:t>
        </m:r>
      </m:oMath>
      <w:r>
        <w:rPr>
          <w:rFonts w:hint="eastAsia"/>
        </w:rPr>
        <w:t xml:space="preserve">%，誘電正接で約</w:t>
      </w:r>
      <m:oMath>
        <m:r>
          <m:rPr>
            <m:sty m:val="p"/>
          </m:rPr>
          <m:t>±</m:t>
        </m:r>
        <m:r>
          <m:t>30</m:t>
        </m:r>
      </m:oMath>
      <w:r>
        <w:rPr>
          <w:rFonts w:hint="eastAsia"/>
        </w:rPr>
        <w:t xml:space="preserve">%と推定されている</w:t>
      </w:r>
      <w:r>
        <w:rPr>
          <w:rFonts w:hint="eastAsia"/>
        </w:rPr>
        <w:t xml:space="preserve">．</w:t>
      </w:r>
      <w:r>
        <w:t xml:space="preserve"> </w:t>
      </w:r>
      <w:r>
        <w:rPr>
          <w:rFonts w:hint="eastAsia"/>
        </w:rPr>
        <w:t xml:space="preserve">実効導電率測定では，上記に加えて標準銅円板の導電率の不確かさ（</w:t>
      </w:r>
      <m:oMath>
        <m:r>
          <m:rPr>
            <m:sty m:val="p"/>
          </m:rPr>
          <m:t>±</m:t>
        </m:r>
        <m:r>
          <m:t>2</m:t>
        </m:r>
      </m:oMath>
      <w:r>
        <w:rPr>
          <w:rFonts w:hint="eastAsia"/>
        </w:rPr>
        <w:t xml:space="preserve">%），参照測定（プロセス(1)）と本測定（プロセス(2)）の間の試料のばらつきや再設置に伴う誤差（</w:t>
      </w:r>
      <m:oMath>
        <m:r>
          <m:rPr>
            <m:sty m:val="p"/>
          </m:rPr>
          <m:t>±</m:t>
        </m:r>
        <m:r>
          <m:t>3</m:t>
        </m:r>
      </m:oMath>
      <w:r>
        <w:rPr>
          <w:rFonts w:hint="eastAsia"/>
        </w:rPr>
        <w:t xml:space="preserve">%）などが寄与し，合成不確かさは</w:t>
      </w:r>
      <m:oMath>
        <m:r>
          <m:rPr>
            <m:sty m:val="p"/>
          </m:rPr>
          <m:t>±</m:t>
        </m:r>
        <m:r>
          <m:t>8</m:t>
        </m:r>
        <m:r>
          <m:rPr>
            <m:sty m:val="p"/>
          </m:rPr>
          <m:t>∼</m:t>
        </m:r>
        <m:r>
          <m:t>10</m:t>
        </m:r>
      </m:oMath>
      <w:r>
        <w:rPr>
          <w:rFonts w:hint="eastAsia"/>
        </w:rPr>
        <w:t xml:space="preserve">%程度と推定される．</w:t>
      </w:r>
    </w:p>
    <w:bookmarkEnd w:id="79"/>
    <w:bookmarkStart w:id="80" w:name="他手法による検証の必要性"/>
    <w:p>
      <w:pPr>
        <w:pStyle w:val="Heading2"/>
      </w:pPr>
      <w:r>
        <w:rPr>
          <w:rFonts w:hint="eastAsia"/>
        </w:rPr>
        <w:t xml:space="preserve">他手法による検証の必要性</w:t>
      </w:r>
    </w:p>
    <w:p>
      <w:pPr>
        <w:pStyle w:val="FirstParagraph"/>
      </w:pPr>
      <w:r>
        <w:rPr>
          <w:rFonts w:hint="eastAsia"/>
        </w:rPr>
        <w:t xml:space="preserve">本研究で導出した減衰定数の妥当性を確実にするため,以下の検証が必要である：</w:t>
      </w:r>
    </w:p>
    <w:p>
      <w:pPr>
        <w:numPr>
          <w:ilvl w:val="0"/>
          <w:numId w:val="1016"/>
        </w:numPr>
      </w:pPr>
      <w:r>
        <w:rPr>
          <w:rFonts w:hint="eastAsia"/>
          <w:b/>
          <w:bCs/>
        </w:rPr>
        <w:t xml:space="preserve">フリースペース法との比較</w:t>
      </w:r>
      <w:r>
        <w:rPr>
          <w:rFonts w:hint="eastAsia"/>
        </w:rPr>
        <w:t xml:space="preserve">：過去の研究</w:t>
      </w:r>
      <w:r>
        <w:rPr>
          <w:rFonts w:hint="eastAsia"/>
        </w:rPr>
        <w:t xml:space="preserve">で示されたように,フリースペース法は高損失材料の評価に適しており,100</w:t>
      </w:r>
      <w:r>
        <w:t xml:space="preserve"> </w:t>
      </w:r>
      <w:r>
        <w:rPr>
          <w:rFonts w:hint="eastAsia"/>
        </w:rPr>
        <w:t xml:space="preserve">GHz超での相互検証が有効である.</w:t>
      </w:r>
    </w:p>
    <w:p>
      <w:pPr>
        <w:numPr>
          <w:ilvl w:val="0"/>
          <w:numId w:val="1016"/>
        </w:numPr>
      </w:pPr>
      <w:r>
        <w:rPr>
          <w:rFonts w:hint="eastAsia"/>
          <w:b/>
          <w:bCs/>
        </w:rPr>
        <w:t xml:space="preserve">FDTD法による数値解析</w:t>
      </w:r>
      <w:r>
        <w:rPr>
          <w:rFonts w:hint="eastAsia"/>
        </w:rPr>
        <w:t xml:space="preserve">：測定した複素誘電率と実効導電率を用いた伝送線路のFDTDシミュレーションにより,減衰定数の理論値を算出し,実測値と比較する.</w:t>
      </w:r>
    </w:p>
    <w:p>
      <w:pPr>
        <w:numPr>
          <w:ilvl w:val="0"/>
          <w:numId w:val="1016"/>
        </w:numPr>
      </w:pPr>
      <w:r>
        <w:rPr>
          <w:rFonts w:hint="eastAsia"/>
          <w:b/>
          <w:bCs/>
        </w:rPr>
        <w:t xml:space="preserve">実伝送線路の直接測定</w:t>
      </w:r>
      <w:r>
        <w:rPr>
          <w:rFonts w:hint="eastAsia"/>
        </w:rPr>
        <w:t xml:space="preserve">：マイクロストリップラインのS</w:t>
      </w:r>
      <m:oMath>
        <m:sSub>
          <m:e>
            <m:r>
              <m:t>​</m:t>
            </m:r>
          </m:e>
          <m:sub>
            <m:r>
              <m:t>21</m:t>
            </m:r>
          </m:sub>
        </m:sSub>
      </m:oMath>
      <w:r>
        <w:rPr>
          <w:rFonts w:hint="eastAsia"/>
        </w:rPr>
        <w:t xml:space="preserve">測定から減衰定数を直接評価し,本手法の予測値と比較する.</w:t>
      </w:r>
    </w:p>
    <w:bookmarkEnd w:id="80"/>
    <w:bookmarkEnd w:id="81"/>
    <w:bookmarkStart w:id="94" w:name="結論と今後の課題"/>
    <w:p>
      <w:pPr>
        <w:pStyle w:val="Heading1"/>
      </w:pPr>
      <w:r>
        <w:rPr>
          <w:rFonts w:hint="eastAsia"/>
        </w:rPr>
        <w:t xml:space="preserve">結論と今後の課題</w:t>
      </w:r>
    </w:p>
    <w:bookmarkStart w:id="86" w:name="結論"/>
    <w:p>
      <w:pPr>
        <w:pStyle w:val="Heading2"/>
      </w:pPr>
      <w:r>
        <w:rPr>
          <w:rFonts w:hint="eastAsia"/>
        </w:rPr>
        <w:t xml:space="preserve">結論</w:t>
      </w:r>
    </w:p>
    <w:p>
      <w:pPr>
        <w:pStyle w:val="FirstParagraph"/>
      </w:pPr>
      <w:r>
        <w:rPr>
          <w:rFonts w:hint="eastAsia"/>
        </w:rPr>
        <w:t xml:space="preserve">本研究では，次世代高速通信システム（5G/6G）に向けた基板材料評価技術の確立を目的として，平衡形円板共振器法（BCDR）を用いてMEGTRON6基板の広帯域特性評価を行った．第1章で提示した研究目的に対し，以下の成果を得た．</w:t>
      </w:r>
    </w:p>
    <w:bookmarkStart w:id="82" w:name="複素誘電率の高精度測定"/>
    <w:p>
      <w:pPr>
        <w:pStyle w:val="Heading4"/>
      </w:pPr>
      <w:r>
        <w:rPr>
          <w:rFonts w:hint="eastAsia"/>
        </w:rPr>
        <w:t xml:space="preserve">（1）複素誘電率の高精度測定</w:t>
      </w:r>
    </w:p>
    <w:p>
      <w:pPr>
        <w:pStyle w:val="FirstParagraph"/>
      </w:pPr>
      <w:r>
        <w:rPr>
          <w:rFonts w:hint="eastAsia"/>
        </w:rPr>
        <w:t xml:space="preserve">MEGTRON6の比誘電率実部は本測定（≤67</w:t>
      </w:r>
      <w:r>
        <w:t xml:space="preserve"> </w:t>
      </w:r>
      <w:r>
        <w:rPr>
          <w:rFonts w:hint="eastAsia"/>
        </w:rPr>
        <w:t xml:space="preserve">GHz）で平均</w:t>
      </w:r>
      <m:oMath>
        <m:sSubSup>
          <m:e>
            <m:r>
              <m:t>ε</m:t>
            </m:r>
          </m:e>
          <m:sub>
            <m:r>
              <m:t>r</m:t>
            </m:r>
          </m:sub>
          <m:sup>
            <m:r>
              <m:rPr>
                <m:sty m:val="p"/>
              </m:rPr>
              <m:t>′</m:t>
            </m:r>
          </m:sup>
        </m:sSubSup>
        <m:r>
          <m:rPr>
            <m:sty m:val="p"/>
          </m:rPr>
          <m:t>=</m:t>
        </m:r>
        <m:r>
          <m:t>3.5906</m:t>
        </m:r>
      </m:oMath>
      <w:r>
        <w:rPr>
          <w:rFonts w:hint="eastAsia"/>
        </w:rPr>
        <w:t xml:space="preserve">（範囲</w:t>
      </w:r>
      <w:r>
        <w:t xml:space="preserve"> </w:t>
      </w:r>
      <w:r>
        <w:rPr>
          <w:rFonts w:hint="eastAsia"/>
        </w:rPr>
        <w:t xml:space="preserve">3.583–3.597，代表的不確かさ</w:t>
      </w:r>
      <w:r>
        <w:t xml:space="preserve"> </w:t>
      </w:r>
      <m:oMath>
        <m:r>
          <m:rPr>
            <m:sty m:val="p"/>
          </m:rPr>
          <m:t>≈</m:t>
        </m:r>
        <m:r>
          <m:rPr>
            <m:sty m:val="p"/>
          </m:rPr>
          <m:t>±</m:t>
        </m:r>
        <m:r>
          <m:t>0.03</m:t>
        </m:r>
      </m:oMath>
      <w:r>
        <w:rPr>
          <w:rFonts w:hint="eastAsia"/>
        </w:rPr>
        <w:t xml:space="preserve">）と得られ，設計上は定数近似が妥当であることを示した（出典:</w:t>
      </w:r>
      <w:r>
        <w:t xml:space="preserve"> </w:t>
      </w:r>
      <w:r>
        <w:rPr>
          <w:rFonts w:hint="eastAsia"/>
        </w:rPr>
        <w:t xml:space="preserve">本研究の測定データ）.誘電正接</w:t>
      </w:r>
      <m:oMath>
        <m:r>
          <m:rPr>
            <m:sty m:val="p"/>
          </m:rPr>
          <m:t>tan</m:t>
        </m:r>
        <m:r>
          <m:t>δ</m:t>
        </m:r>
      </m:oMath>
      <w:r>
        <w:rPr>
          <w:rFonts w:hint="eastAsia"/>
        </w:rPr>
        <w:t xml:space="preserve">は周波数に伴い増加し，代表点で12.7</w:t>
      </w:r>
      <w:r>
        <w:t xml:space="preserve"> </w:t>
      </w:r>
      <w:r>
        <w:rPr>
          <w:rFonts w:hint="eastAsia"/>
        </w:rPr>
        <w:t xml:space="preserve">GHzにおいて約</w:t>
      </w:r>
      <w:r>
        <w:t xml:space="preserve"> </w:t>
      </w:r>
      <m:oMath>
        <m:r>
          <m:t>4.8</m:t>
        </m:r>
        <m:r>
          <m:rPr>
            <m:sty m:val="p"/>
          </m:rPr>
          <m:t>×</m:t>
        </m:r>
        <m:sSup>
          <m:e>
            <m:r>
              <m:t>10</m:t>
            </m:r>
          </m:e>
          <m:sup>
            <m:r>
              <m:rPr>
                <m:sty m:val="p"/>
              </m:rPr>
              <m:t>−</m:t>
            </m:r>
            <m:r>
              <m:t>3</m:t>
            </m:r>
          </m:sup>
        </m:sSup>
      </m:oMath>
      <w:r>
        <w:rPr>
          <w:rFonts w:hint="eastAsia"/>
        </w:rPr>
        <w:t xml:space="preserve">，65.3</w:t>
      </w:r>
      <w:r>
        <w:t xml:space="preserve"> </w:t>
      </w:r>
      <w:r>
        <w:rPr>
          <w:rFonts w:hint="eastAsia"/>
        </w:rPr>
        <w:t xml:space="preserve">GHzにおいて約</w:t>
      </w:r>
      <w:r>
        <w:t xml:space="preserve"> </w:t>
      </w:r>
      <m:oMath>
        <m:r>
          <m:t>7.15</m:t>
        </m:r>
        <m:r>
          <m:rPr>
            <m:sty m:val="p"/>
          </m:rPr>
          <m:t>×</m:t>
        </m:r>
        <m:sSup>
          <m:e>
            <m:r>
              <m:t>10</m:t>
            </m:r>
          </m:e>
          <m:sup>
            <m:r>
              <m:rPr>
                <m:sty m:val="p"/>
              </m:rPr>
              <m:t>−</m:t>
            </m:r>
            <m:r>
              <m:t>3</m:t>
            </m:r>
          </m:sup>
        </m:sSup>
      </m:oMath>
      <w:r>
        <w:t xml:space="preserve"> </w:t>
      </w:r>
      <w:r>
        <w:rPr>
          <w:rFonts w:hint="eastAsia"/>
        </w:rPr>
        <w:t xml:space="preserve">を示した（&gt;67</w:t>
      </w:r>
      <w:r>
        <w:t xml:space="preserve"> </w:t>
      </w:r>
      <w:r>
        <w:rPr>
          <w:rFonts w:hint="eastAsia"/>
        </w:rPr>
        <w:t xml:space="preserve">GHzの測定点は本文解析帯域外である）.</w:t>
      </w:r>
    </w:p>
    <w:bookmarkEnd w:id="82"/>
    <w:bookmarkStart w:id="83" w:name="実効導電率の周波数依存性の実証"/>
    <w:p>
      <w:pPr>
        <w:pStyle w:val="Heading4"/>
      </w:pPr>
      <w:r>
        <w:rPr>
          <w:rFonts w:hint="eastAsia"/>
        </w:rPr>
        <w:t xml:space="preserve">（2）実効導電率の周波数依存性の実証</w:t>
      </w:r>
    </w:p>
    <w:p>
      <w:pPr>
        <w:pStyle w:val="FirstParagraph"/>
      </w:pPr>
      <w:r>
        <w:rPr>
          <w:rFonts w:hint="eastAsia"/>
        </w:rPr>
        <w:t xml:space="preserve">銅箔表面粗さを含む実効導電率</w:t>
      </w:r>
      <w:r>
        <w:t xml:space="preserve"> </w:t>
      </w:r>
      <m:oMath>
        <m:sSub>
          <m:e>
            <m:r>
              <m:t>σ</m:t>
            </m:r>
          </m:e>
          <m:sub>
            <m:r>
              <m:rPr>
                <m:sty m:val="p"/>
              </m:rPr>
              <m:t>e</m:t>
            </m:r>
            <m:r>
              <m:rPr>
                <m:sty m:val="p"/>
              </m:rPr>
              <m:t>f</m:t>
            </m:r>
            <m:r>
              <m:rPr>
                <m:sty m:val="p"/>
              </m:rPr>
              <m:t>f</m:t>
            </m:r>
          </m:sub>
        </m:sSub>
        <m:r>
          <m:rPr>
            <m:sty m:val="p"/>
          </m:rPr>
          <m:t>(</m:t>
        </m:r>
        <m:r>
          <m:t>f</m:t>
        </m:r>
        <m:r>
          <m:rPr>
            <m:sty m:val="p"/>
          </m:rPr>
          <m:t>)</m:t>
        </m:r>
      </m:oMath>
      <w:r>
        <w:t xml:space="preserve"> </w:t>
      </w:r>
      <w:r>
        <w:rPr>
          <w:rFonts w:hint="eastAsia"/>
        </w:rPr>
        <w:t xml:space="preserve">は，低周波側で</w:t>
      </w:r>
      <w:r>
        <w:t xml:space="preserve"> </w:t>
      </w:r>
      <m:oMath>
        <m:r>
          <m:rPr>
            <m:scr m:val="script"/>
            <m:sty m:val="p"/>
          </m:rPr>
          <m:t>O</m:t>
        </m:r>
        <m:r>
          <m:rPr>
            <m:sty m:val="p"/>
          </m:rPr>
          <m:t>(</m:t>
        </m:r>
        <m:sSup>
          <m:e>
            <m:r>
              <m:t>10</m:t>
            </m:r>
          </m:e>
          <m:sup>
            <m:r>
              <m:t>7</m:t>
            </m:r>
          </m:sup>
        </m:sSup>
        <m:r>
          <m:rPr>
            <m:sty m:val="p"/>
          </m:rPr>
          <m:t>)</m:t>
        </m:r>
        <m:r>
          <m:t> </m:t>
        </m:r>
        <m:r>
          <m:rPr>
            <m:nor/>
            <m:sty m:val="p"/>
          </m:rPr>
          <m:t>S</m:t>
        </m:r>
        <m:r>
          <m:rPr>
            <m:nor/>
            <m:sty m:val="p"/>
          </m:rPr>
          <m:t>/</m:t>
        </m:r>
        <m:r>
          <m:rPr>
            <m:nor/>
            <m:sty m:val="p"/>
          </m:rPr>
          <m:t>m</m:t>
        </m:r>
      </m:oMath>
      <w:r>
        <w:rPr>
          <w:rFonts w:hint="eastAsia"/>
        </w:rPr>
        <w:t xml:space="preserve">，高周波側で</w:t>
      </w:r>
      <w:r>
        <w:t xml:space="preserve"> </w:t>
      </w:r>
      <m:oMath>
        <m:r>
          <m:rPr>
            <m:scr m:val="script"/>
            <m:sty m:val="p"/>
          </m:rPr>
          <m:t>O</m:t>
        </m:r>
        <m:r>
          <m:rPr>
            <m:sty m:val="p"/>
          </m:rPr>
          <m:t>(</m:t>
        </m:r>
        <m:sSup>
          <m:e>
            <m:r>
              <m:t>10</m:t>
            </m:r>
          </m:e>
          <m:sup>
            <m:r>
              <m:t>5</m:t>
            </m:r>
          </m:sup>
        </m:sSup>
        <m:r>
          <m:t>​</m:t>
        </m:r>
        <m:r>
          <m:rPr>
            <m:sty m:val="p"/>
          </m:rPr>
          <m:t>∼</m:t>
        </m:r>
        <m:r>
          <m:t>​</m:t>
        </m:r>
        <m:sSup>
          <m:e>
            <m:r>
              <m:t>10</m:t>
            </m:r>
          </m:e>
          <m:sup>
            <m:r>
              <m:t>6</m:t>
            </m:r>
          </m:sup>
        </m:sSup>
        <m:r>
          <m:rPr>
            <m:sty m:val="p"/>
          </m:rPr>
          <m:t>)</m:t>
        </m:r>
        <m:r>
          <m:t> </m:t>
        </m:r>
        <m:r>
          <m:rPr>
            <m:nor/>
            <m:sty m:val="p"/>
          </m:rPr>
          <m:t>S</m:t>
        </m:r>
        <m:r>
          <m:rPr>
            <m:nor/>
            <m:sty m:val="p"/>
          </m:rPr>
          <m:t>/</m:t>
        </m:r>
        <m:r>
          <m:rPr>
            <m:nor/>
            <m:sty m:val="p"/>
          </m:rPr>
          <m:t>m</m:t>
        </m:r>
      </m:oMath>
      <w:r>
        <w:t xml:space="preserve"> </w:t>
      </w:r>
      <w:r>
        <w:rPr>
          <w:rFonts w:hint="eastAsia"/>
        </w:rPr>
        <w:t xml:space="preserve">へと大きく低下した（例:</w:t>
      </w:r>
      <w:r>
        <w:t xml:space="preserve"> 12.7 GHzで 2.41 × 10</w:t>
      </w:r>
      <w:r>
        <w:rPr>
          <w:vertAlign w:val="superscript"/>
        </w:rPr>
        <w:t xml:space="preserve">7</w:t>
      </w:r>
      <w:r>
        <w:t xml:space="preserve"> S m</w:t>
      </w:r>
      <w:r>
        <w:rPr>
          <w:vertAlign w:val="superscript"/>
        </w:rPr>
        <w:t xml:space="preserve">−1</w:t>
      </w:r>
      <w:r>
        <w:rPr>
          <w:rFonts w:hint="eastAsia"/>
        </w:rPr>
        <w:t xml:space="preserve">，23.3</w:t>
      </w:r>
      <w:r>
        <w:t xml:space="preserve"> GHzで 8.23 × 10</w:t>
      </w:r>
      <w:r>
        <w:rPr>
          <w:vertAlign w:val="superscript"/>
        </w:rPr>
        <w:t xml:space="preserve">6</w:t>
      </w:r>
      <w:r>
        <w:t xml:space="preserve"> S m</w:t>
      </w:r>
      <w:r>
        <w:rPr>
          <w:vertAlign w:val="superscript"/>
        </w:rPr>
        <w:t xml:space="preserve">−1</w:t>
      </w:r>
      <w:r>
        <w:rPr>
          <w:rFonts w:hint="eastAsia"/>
        </w:rPr>
        <w:t xml:space="preserve">，65.3</w:t>
      </w:r>
      <w:r>
        <w:t xml:space="preserve"> GHzで 3.44 × 10</w:t>
      </w:r>
      <w:r>
        <w:rPr>
          <w:vertAlign w:val="superscript"/>
        </w:rPr>
        <w:t xml:space="preserve">6</w:t>
      </w:r>
      <w:r>
        <w:t xml:space="preserve"> S m</w:t>
      </w:r>
      <w:r>
        <w:rPr>
          <w:vertAlign w:val="superscript"/>
        </w:rPr>
        <w:t xml:space="preserve">−1</w:t>
      </w:r>
      <w:r>
        <w:rPr>
          <w:rFonts w:hint="eastAsia"/>
        </w:rPr>
        <w:t xml:space="preserve">；出典:</w:t>
      </w:r>
      <w:r>
        <w:t xml:space="preserve"> </w:t>
      </w:r>
      <w:r>
        <w:rPr>
          <w:rFonts w:hint="eastAsia"/>
        </w:rPr>
        <w:t xml:space="preserve">本研究の測定データ）.この結果は，表皮深さと粗さの相対比</w:t>
      </w:r>
      <w:r>
        <w:t xml:space="preserve"> </w:t>
      </w:r>
      <m:oMath>
        <m:sSub>
          <m:e>
            <m:r>
              <m:t>R</m:t>
            </m:r>
          </m:e>
          <m:sub>
            <m:r>
              <m:t>q</m:t>
            </m:r>
          </m:sub>
        </m:sSub>
        <m:r>
          <m:rPr>
            <m:sty m:val="p"/>
          </m:rPr>
          <m:t>/</m:t>
        </m:r>
        <m:sSub>
          <m:e>
            <m:r>
              <m:t>δ</m:t>
            </m:r>
          </m:e>
          <m:sub>
            <m:r>
              <m:t>s</m:t>
            </m:r>
          </m:sub>
        </m:sSub>
      </m:oMath>
      <w:r>
        <w:t xml:space="preserve"> </w:t>
      </w:r>
      <w:r>
        <w:rPr>
          <w:rFonts w:hint="eastAsia"/>
        </w:rPr>
        <w:t xml:space="preserve">の増大が導体損失を支配的にすることを定量的に示すものである．</w:t>
      </w:r>
    </w:p>
    <w:bookmarkEnd w:id="83"/>
    <w:bookmarkStart w:id="84" w:name="高周波回路設計における従来手法の限界の明確化"/>
    <w:p>
      <w:pPr>
        <w:pStyle w:val="Heading4"/>
      </w:pPr>
      <w:r>
        <w:rPr>
          <w:rFonts w:hint="eastAsia"/>
        </w:rPr>
        <w:t xml:space="preserve">（3）高周波回路設計における従来手法の限界の明確化</w:t>
      </w:r>
    </w:p>
    <w:p>
      <w:pPr>
        <w:pStyle w:val="FirstParagraph"/>
      </w:pPr>
      <w:r>
        <w:rPr>
          <w:rFonts w:hint="eastAsia"/>
        </w:rPr>
        <w:t xml:space="preserve">本研究で得られた</w:t>
      </w:r>
      <m:oMath>
        <m:sSub>
          <m:e>
            <m:r>
              <m:t>σ</m:t>
            </m:r>
          </m:e>
          <m:sub>
            <m:r>
              <m:rPr>
                <m:sty m:val="p"/>
              </m:rPr>
              <m:t>e</m:t>
            </m:r>
            <m:r>
              <m:rPr>
                <m:sty m:val="p"/>
              </m:rPr>
              <m:t>f</m:t>
            </m:r>
            <m:r>
              <m:rPr>
                <m:sty m:val="p"/>
              </m:rPr>
              <m:t>f</m:t>
            </m:r>
          </m:sub>
        </m:sSub>
        <m:r>
          <m:rPr>
            <m:sty m:val="p"/>
          </m:rPr>
          <m:t>(</m:t>
        </m:r>
        <m:r>
          <m:t>f</m:t>
        </m:r>
        <m:r>
          <m:rPr>
            <m:sty m:val="p"/>
          </m:rPr>
          <m:t>)</m:t>
        </m:r>
      </m:oMath>
      <w:r>
        <w:rPr>
          <w:rFonts w:hint="eastAsia"/>
        </w:rPr>
        <w:t xml:space="preserve">を用いて算出した伝送線路の総減衰は，本解析域（約50–65</w:t>
      </w:r>
      <w:r>
        <w:t xml:space="preserve"> </w:t>
      </w:r>
      <w:r>
        <w:rPr>
          <w:rFonts w:hint="eastAsia"/>
        </w:rPr>
        <w:t xml:space="preserve">GHz）で理想導電率仮定に対し約1.3倍に増大した．この差はパワーバジェットを圧迫し，設計マージンの枯渇や通信品質の劣化を招く要因となる．</w:t>
      </w:r>
    </w:p>
    <w:bookmarkEnd w:id="84"/>
    <w:bookmarkStart w:id="85" w:name="国際標準に準拠した測定手法の採用"/>
    <w:p>
      <w:pPr>
        <w:pStyle w:val="Heading4"/>
      </w:pPr>
      <w:r>
        <w:rPr>
          <w:rFonts w:hint="eastAsia"/>
        </w:rPr>
        <w:t xml:space="preserve">（4）国際標準に準拠した測定手法の採用</w:t>
      </w:r>
    </w:p>
    <w:p>
      <w:pPr>
        <w:pStyle w:val="FirstParagraph"/>
      </w:pPr>
      <w:r>
        <w:rPr>
          <w:rFonts w:hint="eastAsia"/>
        </w:rPr>
        <w:t xml:space="preserve">本研究で用いたBCDR法は，IEC</w:t>
      </w:r>
      <w:r>
        <w:t xml:space="preserve"> </w:t>
      </w:r>
      <w:r>
        <w:rPr>
          <w:rFonts w:hint="eastAsia"/>
        </w:rPr>
        <w:t xml:space="preserve">63185:2020として国際標準化されており，産業技術総合研究所（NMIJ）による国家計量標準とのトレーサビリティが確立されている</w:t>
      </w:r>
      <w:r>
        <w:rPr>
          <w:rFonts w:hint="eastAsia"/>
        </w:rPr>
        <w:t xml:space="preserve">．本研究は，これらの実測データに基づき，実務的な設計指針を提供するものである.</w:t>
      </w:r>
    </w:p>
    <w:bookmarkEnd w:id="85"/>
    <w:bookmarkEnd w:id="86"/>
    <w:bookmarkStart w:id="93" w:name="今後の課題"/>
    <w:p>
      <w:pPr>
        <w:pStyle w:val="Heading2"/>
      </w:pPr>
      <w:r>
        <w:rPr>
          <w:rFonts w:hint="eastAsia"/>
        </w:rPr>
        <w:t xml:space="preserve">今後の課題</w:t>
      </w:r>
    </w:p>
    <w:p>
      <w:pPr>
        <w:pStyle w:val="FirstParagraph"/>
      </w:pPr>
      <w:r>
        <w:rPr>
          <w:rFonts w:hint="eastAsia"/>
        </w:rPr>
        <w:t xml:space="preserve">本研究で確立した実効導電率測定技術は，6G時代の超高速・低損失基板開発の基盤技術として，今後さらなる発展が期待される．今後の課題として，以下の5点を挙げる．</w:t>
      </w:r>
    </w:p>
    <w:bookmarkStart w:id="87" w:name="測定周波数範囲の拡張"/>
    <w:p>
      <w:pPr>
        <w:pStyle w:val="Heading4"/>
      </w:pPr>
      <w:r>
        <w:rPr>
          <w:rFonts w:hint="eastAsia"/>
        </w:rPr>
        <w:t xml:space="preserve">（1）測定周波数範囲の拡張</w:t>
      </w:r>
    </w:p>
    <w:p>
      <w:pPr>
        <w:pStyle w:val="FirstParagraph"/>
      </w:pPr>
      <w:r>
        <w:rPr>
          <w:rFonts w:hint="eastAsia"/>
        </w:rPr>
        <w:t xml:space="preserve">本研究では100</w:t>
      </w:r>
      <w:r>
        <w:t xml:space="preserve"> </w:t>
      </w:r>
      <w:r>
        <w:rPr>
          <w:rFonts w:hint="eastAsia"/>
        </w:rPr>
        <w:t xml:space="preserve">GHzまでの測定を行ったが，6G通信では100</w:t>
      </w:r>
      <w:r>
        <w:t xml:space="preserve"> </w:t>
      </w:r>
      <w:r>
        <w:rPr>
          <w:rFonts w:hint="eastAsia"/>
        </w:rPr>
        <w:t xml:space="preserve">GHzを超えるサブテラヘルツ帯の利用が検討されている．従来の同軸インターフェースの代わりにWR-6.5導波管インターフェースを用いることで，BCDR法を170</w:t>
      </w:r>
      <w:r>
        <w:t xml:space="preserve"> </w:t>
      </w:r>
      <w:r>
        <w:rPr>
          <w:rFonts w:hint="eastAsia"/>
        </w:rPr>
        <w:t xml:space="preserve">GHzまで拡張している報告がある</w:t>
      </w:r>
      <w:r>
        <w:rPr>
          <w:rFonts w:hint="eastAsia"/>
        </w:rPr>
        <w:t xml:space="preserve">．さらに330</w:t>
      </w:r>
      <w:r>
        <w:t xml:space="preserve"> </w:t>
      </w:r>
      <w:r>
        <w:rPr>
          <w:rFonts w:hint="eastAsia"/>
        </w:rPr>
        <w:t xml:space="preserve">GHzまで対応可能な次世代BCDRの開発も進められており</w:t>
      </w:r>
      <w:r>
        <w:rPr>
          <w:rFonts w:hint="eastAsia"/>
        </w:rPr>
        <w:t xml:space="preserve">，これらの最先端の測定系を導入することで，より実用に近い周波数帯での材料評価が可能となる．</w:t>
      </w:r>
    </w:p>
    <w:bookmarkEnd w:id="87"/>
    <w:bookmarkStart w:id="88" w:name="多角的な検証手法の導入"/>
    <w:p>
      <w:pPr>
        <w:pStyle w:val="Heading4"/>
      </w:pPr>
      <w:r>
        <w:rPr>
          <w:rFonts w:hint="eastAsia"/>
        </w:rPr>
        <w:t xml:space="preserve">（2）多角的な検証手法の導入</w:t>
      </w:r>
    </w:p>
    <w:p>
      <w:pPr>
        <w:pStyle w:val="FirstParagraph"/>
      </w:pPr>
      <w:r>
        <w:rPr>
          <w:rFonts w:hint="eastAsia"/>
        </w:rPr>
        <w:t xml:space="preserve">本研究で算出した減衰定数の妥当性をより確実なものにするため，他の手法による多角的な検証が不可欠である．具体的には，</w:t>
      </w:r>
    </w:p>
    <w:p>
      <w:pPr>
        <w:numPr>
          <w:ilvl w:val="0"/>
          <w:numId w:val="1017"/>
        </w:numPr>
      </w:pPr>
      <w:r>
        <w:rPr>
          <w:rFonts w:hint="eastAsia"/>
        </w:rPr>
        <w:t xml:space="preserve">高損失材料の評価に適したフリースペース法との相互比較測定</w:t>
      </w:r>
      <w:r>
        <w:rPr>
          <w:rFonts w:hint="eastAsia"/>
        </w:rPr>
        <w:t xml:space="preserve">．</w:t>
      </w:r>
    </w:p>
    <w:p>
      <w:pPr>
        <w:numPr>
          <w:ilvl w:val="0"/>
          <w:numId w:val="1017"/>
        </w:numPr>
      </w:pPr>
      <w:r>
        <w:rPr>
          <w:rFonts w:hint="eastAsia"/>
        </w:rPr>
        <w:t xml:space="preserve">本研究で得られた複素誘電率と実効導電率をパラメータとして用い，FDTD法などの電磁界シミュレータで伝送線路モデルの減衰量を算出し，実測値と比較する．</w:t>
      </w:r>
    </w:p>
    <w:p>
      <w:pPr>
        <w:numPr>
          <w:ilvl w:val="0"/>
          <w:numId w:val="1017"/>
        </w:numPr>
      </w:pPr>
      <w:r>
        <w:rPr>
          <w:rFonts w:hint="eastAsia"/>
        </w:rPr>
        <w:t xml:space="preserve">例えば，評価対象基板で実際にマイクロストリップ差動線路を作製し，そのSパラメータを直接測定して得られる減衰量と，本手法による予測値を比較検証する（参考:</w:t>
      </w:r>
      <w:r>
        <w:t xml:space="preserve"> </w:t>
      </w:r>
      <w:r>
        <w:rPr>
          <w:rFonts w:hint="eastAsia"/>
        </w:rPr>
        <w:t xml:space="preserve">）.</w:t>
      </w:r>
    </w:p>
    <w:bookmarkEnd w:id="88"/>
    <w:bookmarkStart w:id="89" w:name="表面粗さの直接的な定量評価"/>
    <w:p>
      <w:pPr>
        <w:pStyle w:val="Heading4"/>
      </w:pPr>
      <w:r>
        <w:rPr>
          <w:rFonts w:hint="eastAsia"/>
        </w:rPr>
        <w:t xml:space="preserve">（3）表面粗さの直接的な定量評価</w:t>
      </w:r>
    </w:p>
    <w:p>
      <w:pPr>
        <w:pStyle w:val="FirstParagraph"/>
      </w:pPr>
      <w:r>
        <w:rPr>
          <w:rFonts w:hint="eastAsia"/>
        </w:rPr>
        <w:t xml:space="preserve">本研究では実効導電率の低下を表面粗さの影響として間接的に評価したが，より深い考察のためには表面粗さそのものの定量評価が必要である．原子間力顕微鏡（AFM）やレーザ顕微鏡を用いて，銅箔表面の二乗平均平方根粗さ（Rq）や最大高さ（Rz）といったパラメータを精密測定し，測定された実効導電率の周波数特性と直接的に相関させることで，Hammerstad-BekkadalモデルやHurayモデルといった既存の表面粗さモデルの実験的検証へとつなげることができる．</w:t>
      </w:r>
    </w:p>
    <w:bookmarkEnd w:id="89"/>
    <w:bookmarkStart w:id="90" w:name="他材料への展開とデータベース構築"/>
    <w:p>
      <w:pPr>
        <w:pStyle w:val="Heading4"/>
      </w:pPr>
      <w:r>
        <w:rPr>
          <w:rFonts w:hint="eastAsia"/>
        </w:rPr>
        <w:t xml:space="preserve">（4）他材料への展開とデータベース構築</w:t>
      </w:r>
    </w:p>
    <w:p>
      <w:pPr>
        <w:pStyle w:val="FirstParagraph"/>
      </w:pPr>
      <w:r>
        <w:rPr>
          <w:rFonts w:hint="eastAsia"/>
        </w:rPr>
        <w:t xml:space="preserve">本研究はMEGTRON6を対象としたが，今後はMEGTRON7等の他の次世代低損失基板や，スマートフォン等で需要が高いポリイミド（PI）や液晶ポリマー（LCP）といったフレキシブル基板材料へ本測定法を適用し，材料データベースを拡充していくことが望まれる．これにより，用途に応じた最適な材料選定が可能となり，設計の自由度が向上する．</w:t>
      </w:r>
    </w:p>
    <w:bookmarkEnd w:id="90"/>
    <w:bookmarkStart w:id="91" w:name="測定不確かさの継続的な低減"/>
    <w:p>
      <w:pPr>
        <w:pStyle w:val="Heading4"/>
      </w:pPr>
      <w:r>
        <w:rPr>
          <w:rFonts w:hint="eastAsia"/>
        </w:rPr>
        <w:t xml:space="preserve">（5）測定不確かさの継続的な低減</w:t>
      </w:r>
    </w:p>
    <w:p>
      <w:pPr>
        <w:pStyle w:val="FirstParagraph"/>
      </w:pPr>
      <w:r>
        <w:rPr>
          <w:rFonts w:hint="eastAsia"/>
        </w:rPr>
        <w:t xml:space="preserve">第5章で考察した通り，BCDR法には様々な不確かさ要因が存在する．試料厚さ測定の精度向上のための光学干渉計の導入，測定環境の厳密な温度管理（</w:t>
      </w:r>
      <m:oMath>
        <m:r>
          <m:rPr>
            <m:sty m:val="p"/>
          </m:rPr>
          <m:t>±</m:t>
        </m:r>
        <m:sSup>
          <m:e>
            <m:r>
              <m:t>0.1</m:t>
            </m:r>
          </m:e>
          <m:sup>
            <m:r>
              <m:rPr>
                <m:sty m:val="p"/>
              </m:rPr>
              <m:t>∘</m:t>
            </m:r>
          </m:sup>
        </m:sSup>
      </m:oMath>
      <w:r>
        <w:rPr>
          <w:rFonts w:hint="eastAsia"/>
        </w:rPr>
        <w:t xml:space="preserve">C制御），アライメント精度の向上など，不確かさ要因を一つずつ改善していく地道な努力が，測定技術の信頼性をさらに高める上で不可欠である．</w:t>
      </w:r>
    </w:p>
    <w:bookmarkEnd w:id="91"/>
    <w:bookmarkStart w:id="92" w:name="phi18-mm銅円板での検証"/>
    <w:p>
      <w:pPr>
        <w:pStyle w:val="Heading4"/>
      </w:pPr>
      <w:r>
        <w:rPr>
          <w:rFonts w:hint="eastAsia"/>
        </w:rPr>
        <w:t xml:space="preserve">（6）</w:t>
      </w:r>
      <m:oMath>
        <m:r>
          <m:t>ϕ</m:t>
        </m:r>
      </m:oMath>
      <w:r>
        <w:t xml:space="preserve">18 </w:t>
      </w:r>
      <w:r>
        <w:rPr>
          <w:rFonts w:hint="eastAsia"/>
        </w:rPr>
        <w:t xml:space="preserve">mm銅円板での検証</w:t>
      </w:r>
    </w:p>
    <w:p>
      <w:pPr>
        <w:pStyle w:val="FirstParagraph"/>
      </w:pPr>
      <w:r>
        <w:rPr>
          <w:rFonts w:hint="eastAsia"/>
        </w:rPr>
        <w:t xml:space="preserve">本研究では</w:t>
      </w:r>
      <m:oMath>
        <m:r>
          <m:t>ϕ</m:t>
        </m:r>
      </m:oMath>
      <w:r>
        <w:t xml:space="preserve">15 </w:t>
      </w:r>
      <w:r>
        <w:rPr>
          <w:rFonts w:hint="eastAsia"/>
        </w:rPr>
        <w:t xml:space="preserve">mmの円板電極を中心に測定を進めたが，</w:t>
      </w:r>
      <m:oMath>
        <m:r>
          <m:t>ϕ</m:t>
        </m:r>
      </m:oMath>
      <w:r>
        <w:t xml:space="preserve">18 </w:t>
      </w:r>
      <w:r>
        <w:rPr>
          <w:rFonts w:hint="eastAsia"/>
        </w:rPr>
        <w:t xml:space="preserve">mm銅円板を用いた測定は未実施である．今後は</w:t>
      </w:r>
      <m:oMath>
        <m:r>
          <m:t>ϕ</m:t>
        </m:r>
      </m:oMath>
      <w:r>
        <w:t xml:space="preserve">18 </w:t>
      </w:r>
      <w:r>
        <w:rPr>
          <w:rFonts w:hint="eastAsia"/>
        </w:rPr>
        <w:t xml:space="preserve">mmでも同一手順の測定を行い，モード同定や外れ値判定の妥当性を再確認するとともに，円板直径の違いが推定値に与える影響を評価する必要がある．</w:t>
      </w:r>
    </w:p>
    <w:bookmarkEnd w:id="92"/>
    <w:bookmarkEnd w:id="93"/>
    <w:bookmarkEnd w:id="94"/>
    <w:bookmarkStart w:id="95" w:name="謝辞"/>
    <w:p>
      <w:pPr>
        <w:pStyle w:val="Heading1"/>
      </w:pPr>
      <w:r>
        <w:rPr>
          <w:rFonts w:hint="eastAsia"/>
        </w:rPr>
        <w:t xml:space="preserve">謝辞</w:t>
      </w:r>
    </w:p>
    <w:p>
      <w:pPr>
        <w:pStyle w:val="FirstParagraph"/>
      </w:pPr>
      <w:r>
        <w:rPr>
          <w:rFonts w:hint="eastAsia"/>
        </w:rPr>
        <w:t xml:space="preserve">本研究および本論文の作成にあたり，終始多大なるご指導ご鞭撻を賜りました春日貴志教授に深く感謝申し上げます．日頃の研究生活において，多くのご指導をいただきました，同研究室の専攻科生の内藤さくらさん，小池凛さんにも心から感謝いたします．</w:t>
      </w:r>
    </w:p>
    <w:p>
      <w:pPr>
        <w:pStyle w:val="BodyText"/>
      </w:pPr>
      <w:r>
        <w:rPr>
          <w:rFonts w:hint="eastAsia"/>
        </w:rPr>
        <w:t xml:space="preserve">審査を担当いただいた姜天水先生に深く感謝申し上げます．</w:t>
      </w:r>
    </w:p>
    <w:p>
      <w:pPr>
        <w:pStyle w:val="BodyText"/>
      </w:pPr>
      <w:r>
        <w:rPr>
          <w:rFonts w:hint="eastAsia"/>
        </w:rPr>
        <w:t xml:space="preserve">本論文は上記の方々のご指導・ご協力があったからこそ完成することができたと存じます．ありがとうございました．</w:t>
      </w:r>
    </w:p>
    <w:bookmarkEnd w:id="95"/>
    <w:bookmarkStart w:id="96" w:name="測定データmean-std-n20"/>
    <w:p>
      <w:pPr>
        <w:pStyle w:val="Heading1"/>
      </w:pPr>
      <w:r>
        <w:rPr>
          <w:rFonts w:hint="eastAsia"/>
        </w:rPr>
        <w:t xml:space="preserve">測定データ（mean</w:t>
      </w:r>
      <w:r>
        <w:t xml:space="preserve"> ± std, </w:t>
      </w:r>
      <w:r>
        <w:rPr>
          <w:rFonts w:hint="eastAsia"/>
        </w:rPr>
        <w:t xml:space="preserve">n=20）</w:t>
      </w:r>
    </w:p>
    <w:p>
      <w:pPr>
        <w:pStyle w:val="FirstParagraph"/>
      </w:pPr>
      <w:r>
        <w:rPr>
          <w:rFonts w:hint="eastAsia"/>
        </w:rPr>
        <w:t xml:space="preserve">付録Aには，本文図表で用いた全周波数点の数値（平均値と標準偏差）を転記した．これにより，図を参照しなくてもすべての数値を確認できる．表中の数値は最終集計値（n=20）である．</w:t>
      </w:r>
    </w:p>
    <w:p>
      <w:pPr>
        <w:pStyle w:val="TableCaption"/>
      </w:pPr>
      <w:r>
        <w:rPr>
          <w:rFonts w:hint="eastAsia"/>
        </w:rPr>
        <w:t xml:space="preserve">比誘電率</w:t>
      </w:r>
      <w:r>
        <w:t xml:space="preserve"> </w:t>
      </w:r>
      <m:oMath>
        <m:sSubSup>
          <m:e>
            <m:r>
              <m:t>ε</m:t>
            </m:r>
          </m:e>
          <m:sub>
            <m:r>
              <m:t>r</m:t>
            </m:r>
          </m:sub>
          <m:sup>
            <m:r>
              <m:rPr>
                <m:sty m:val="p"/>
              </m:rPr>
              <m:t>′</m:t>
            </m:r>
          </m:sup>
        </m:sSubSup>
      </m:oMath>
      <w:r>
        <w:rPr>
          <w:rFonts w:hint="eastAsia"/>
        </w:rPr>
        <w:t xml:space="preserve">（mean</w:t>
      </w:r>
      <w:r>
        <w:t xml:space="preserve"> ± std, </w:t>
      </w:r>
      <w:r>
        <w:rPr>
          <w:rFonts w:hint="eastAsia"/>
        </w:rPr>
        <w:t xml:space="preserve">n=20）</w:t>
      </w:r>
    </w:p>
    <w:tbl>
      <w:tblPr>
        <w:tblStyle w:val="Table"/>
        <w:tblW w:type="auto" w:w="0"/>
        <w:tblLook w:firstRow="1" w:lastRow="0" w:firstColumn="0" w:lastColumn="0" w:noHBand="0" w:noVBand="0" w:val="0020"/>
        <w:tblCaption w:val="比誘電率 \varepsilon_r'（mean ± std, n=20）"/>
      </w:tblPr>
      <w:tblGrid>
        <w:gridCol w:w="2640"/>
        <w:gridCol w:w="2640"/>
        <w:gridCol w:w="2640"/>
      </w:tblGrid>
      <w:tr>
        <w:trPr>
          <w:tblHeader w:val="on"/>
        </w:trPr>
        <w:tc>
          <w:tcPr/>
          <w:p>
            <w:pPr>
              <w:pStyle w:val="Compact"/>
              <w:jc w:val="right"/>
            </w:pPr>
            <w:r>
              <w:t xml:space="preserve">Frequency (GHz)</w:t>
            </w:r>
          </w:p>
        </w:tc>
        <w:tc>
          <w:tcPr/>
          <w:p>
            <w:pPr>
              <w:pStyle w:val="Compact"/>
              <w:jc w:val="right"/>
            </w:pPr>
            <w:r>
              <w:t xml:space="preserve">Mean</w:t>
            </w:r>
            <w:r>
              <w:t xml:space="preserve"> </w:t>
            </w:r>
            <m:oMath>
              <m:sSubSup>
                <m:e>
                  <m:r>
                    <m:t>ε</m:t>
                  </m:r>
                </m:e>
                <m:sub>
                  <m:r>
                    <m:t>r</m:t>
                  </m:r>
                </m:sub>
                <m:sup>
                  <m:r>
                    <m:rPr>
                      <m:sty m:val="p"/>
                    </m:rPr>
                    <m:t>′</m:t>
                  </m:r>
                </m:sup>
              </m:sSubSup>
            </m:oMath>
          </w:p>
        </w:tc>
        <w:tc>
          <w:tcPr/>
          <w:p>
            <w:pPr>
              <w:pStyle w:val="Compact"/>
              <w:jc w:val="right"/>
            </w:pPr>
            <w:r>
              <w:t xml:space="preserve">Std</w:t>
            </w:r>
            <w:r>
              <w:t xml:space="preserve"> </w:t>
            </w:r>
            <m:oMath>
              <m:sSubSup>
                <m:e>
                  <m:r>
                    <m:t>ε</m:t>
                  </m:r>
                </m:e>
                <m:sub>
                  <m:r>
                    <m:t>r</m:t>
                  </m:r>
                </m:sub>
                <m:sup>
                  <m:r>
                    <m:rPr>
                      <m:sty m:val="p"/>
                    </m:rPr>
                    <m:t>′</m:t>
                  </m:r>
                </m:sup>
              </m:sSubSup>
            </m:oMath>
          </w:p>
        </w:tc>
      </w:tr>
      <w:tr>
        <w:tc>
          <w:tcPr/>
          <w:p>
            <w:pPr>
              <w:pStyle w:val="Compact"/>
              <w:jc w:val="right"/>
            </w:pPr>
            <w:r>
              <w:t xml:space="preserve">12.6915</w:t>
            </w:r>
          </w:p>
        </w:tc>
        <w:tc>
          <w:tcPr/>
          <w:p>
            <w:pPr>
              <w:pStyle w:val="Compact"/>
              <w:jc w:val="right"/>
            </w:pPr>
            <w:r>
              <w:t xml:space="preserve">3.6009</w:t>
            </w:r>
          </w:p>
        </w:tc>
        <w:tc>
          <w:tcPr/>
          <w:p>
            <w:pPr>
              <w:pStyle w:val="Compact"/>
              <w:jc w:val="right"/>
            </w:pPr>
            <w:r>
              <w:t xml:space="preserve">0.0063</w:t>
            </w:r>
          </w:p>
        </w:tc>
      </w:tr>
      <w:tr>
        <w:tc>
          <w:tcPr/>
          <w:p>
            <w:pPr>
              <w:pStyle w:val="Compact"/>
              <w:jc w:val="right"/>
            </w:pPr>
            <w:r>
              <w:t xml:space="preserve">23.3084</w:t>
            </w:r>
          </w:p>
        </w:tc>
        <w:tc>
          <w:tcPr/>
          <w:p>
            <w:pPr>
              <w:pStyle w:val="Compact"/>
              <w:jc w:val="right"/>
            </w:pPr>
            <w:r>
              <w:t xml:space="preserve">3.5838</w:t>
            </w:r>
          </w:p>
        </w:tc>
        <w:tc>
          <w:tcPr/>
          <w:p>
            <w:pPr>
              <w:pStyle w:val="Compact"/>
              <w:jc w:val="right"/>
            </w:pPr>
            <w:r>
              <w:t xml:space="preserve">0.0274</w:t>
            </w:r>
          </w:p>
        </w:tc>
      </w:tr>
      <w:tr>
        <w:tc>
          <w:tcPr/>
          <w:p>
            <w:pPr>
              <w:pStyle w:val="Compact"/>
              <w:jc w:val="right"/>
            </w:pPr>
            <w:r>
              <w:t xml:space="preserve">33.8721</w:t>
            </w:r>
          </w:p>
        </w:tc>
        <w:tc>
          <w:tcPr/>
          <w:p>
            <w:pPr>
              <w:pStyle w:val="Compact"/>
              <w:jc w:val="right"/>
            </w:pPr>
            <w:r>
              <w:t xml:space="preserve">3.5826</w:t>
            </w:r>
          </w:p>
        </w:tc>
        <w:tc>
          <w:tcPr/>
          <w:p>
            <w:pPr>
              <w:pStyle w:val="Compact"/>
              <w:jc w:val="right"/>
            </w:pPr>
            <w:r>
              <w:t xml:space="preserve">0.0274</w:t>
            </w:r>
          </w:p>
        </w:tc>
      </w:tr>
      <w:tr>
        <w:tc>
          <w:tcPr/>
          <w:p>
            <w:pPr>
              <w:pStyle w:val="Compact"/>
              <w:jc w:val="right"/>
            </w:pPr>
            <w:r>
              <w:t xml:space="preserve">44.4253</w:t>
            </w:r>
          </w:p>
        </w:tc>
        <w:tc>
          <w:tcPr/>
          <w:p>
            <w:pPr>
              <w:pStyle w:val="Compact"/>
              <w:jc w:val="right"/>
            </w:pPr>
            <w:r>
              <w:t xml:space="preserve">3.5835</w:t>
            </w:r>
          </w:p>
        </w:tc>
        <w:tc>
          <w:tcPr/>
          <w:p>
            <w:pPr>
              <w:pStyle w:val="Compact"/>
              <w:jc w:val="right"/>
            </w:pPr>
            <w:r>
              <w:t xml:space="preserve">0.0272</w:t>
            </w:r>
          </w:p>
        </w:tc>
      </w:tr>
      <w:tr>
        <w:tc>
          <w:tcPr/>
          <w:p>
            <w:pPr>
              <w:pStyle w:val="Compact"/>
              <w:jc w:val="right"/>
            </w:pPr>
            <w:r>
              <w:t xml:space="preserve">54.9713</w:t>
            </w:r>
          </w:p>
        </w:tc>
        <w:tc>
          <w:tcPr/>
          <w:p>
            <w:pPr>
              <w:pStyle w:val="Compact"/>
              <w:jc w:val="right"/>
            </w:pPr>
            <w:r>
              <w:t xml:space="preserve">3.5852</w:t>
            </w:r>
          </w:p>
        </w:tc>
        <w:tc>
          <w:tcPr/>
          <w:p>
            <w:pPr>
              <w:pStyle w:val="Compact"/>
              <w:jc w:val="right"/>
            </w:pPr>
            <w:r>
              <w:t xml:space="preserve">0.0272</w:t>
            </w:r>
          </w:p>
        </w:tc>
      </w:tr>
      <w:tr>
        <w:tc>
          <w:tcPr/>
          <w:p>
            <w:pPr>
              <w:pStyle w:val="Compact"/>
              <w:jc w:val="right"/>
            </w:pPr>
            <w:r>
              <w:t xml:space="preserve">65.4813</w:t>
            </w:r>
          </w:p>
        </w:tc>
        <w:tc>
          <w:tcPr/>
          <w:p>
            <w:pPr>
              <w:pStyle w:val="Compact"/>
              <w:jc w:val="right"/>
            </w:pPr>
            <w:r>
              <w:t xml:space="preserve">3.5898</w:t>
            </w:r>
          </w:p>
        </w:tc>
        <w:tc>
          <w:tcPr/>
          <w:p>
            <w:pPr>
              <w:pStyle w:val="Compact"/>
              <w:jc w:val="right"/>
            </w:pPr>
            <w:r>
              <w:t xml:space="preserve">0.0286</w:t>
            </w:r>
          </w:p>
        </w:tc>
      </w:tr>
      <w:tr>
        <w:tc>
          <w:tcPr/>
          <w:p>
            <w:pPr>
              <w:pStyle w:val="Compact"/>
              <w:jc w:val="right"/>
            </w:pPr>
            <w:r>
              <w:t xml:space="preserve">75.9782</w:t>
            </w:r>
          </w:p>
        </w:tc>
        <w:tc>
          <w:tcPr/>
          <w:p>
            <w:pPr>
              <w:pStyle w:val="Compact"/>
              <w:jc w:val="right"/>
            </w:pPr>
            <w:r>
              <w:t xml:space="preserve">3.5927</w:t>
            </w:r>
          </w:p>
        </w:tc>
        <w:tc>
          <w:tcPr/>
          <w:p>
            <w:pPr>
              <w:pStyle w:val="Compact"/>
              <w:jc w:val="right"/>
            </w:pPr>
            <w:r>
              <w:t xml:space="preserve">0.0310</w:t>
            </w:r>
          </w:p>
        </w:tc>
      </w:tr>
      <w:tr>
        <w:tc>
          <w:tcPr/>
          <w:p>
            <w:pPr>
              <w:pStyle w:val="Compact"/>
              <w:jc w:val="right"/>
            </w:pPr>
            <w:r>
              <w:t xml:space="preserve">86.5899</w:t>
            </w:r>
          </w:p>
        </w:tc>
        <w:tc>
          <w:tcPr/>
          <w:p>
            <w:pPr>
              <w:pStyle w:val="Compact"/>
              <w:jc w:val="right"/>
            </w:pPr>
            <w:r>
              <w:t xml:space="preserve">3.5838</w:t>
            </w:r>
          </w:p>
        </w:tc>
        <w:tc>
          <w:tcPr/>
          <w:p>
            <w:pPr>
              <w:pStyle w:val="Compact"/>
              <w:jc w:val="right"/>
            </w:pPr>
            <w:r>
              <w:t xml:space="preserve">0.0248</w:t>
            </w:r>
          </w:p>
        </w:tc>
      </w:tr>
      <w:tr>
        <w:tc>
          <w:tcPr/>
          <w:p>
            <w:pPr>
              <w:pStyle w:val="Compact"/>
              <w:jc w:val="right"/>
            </w:pPr>
            <w:r>
              <w:t xml:space="preserve">96.6554</w:t>
            </w:r>
          </w:p>
        </w:tc>
        <w:tc>
          <w:tcPr/>
          <w:p>
            <w:pPr>
              <w:pStyle w:val="Compact"/>
              <w:jc w:val="right"/>
            </w:pPr>
            <w:r>
              <w:t xml:space="preserve">3.6115</w:t>
            </w:r>
          </w:p>
        </w:tc>
        <w:tc>
          <w:tcPr/>
          <w:p>
            <w:pPr>
              <w:pStyle w:val="Compact"/>
              <w:jc w:val="right"/>
            </w:pPr>
            <w:r>
              <w:t xml:space="preserve">0.0238</w:t>
            </w:r>
          </w:p>
        </w:tc>
      </w:tr>
      <w:tr>
        <w:tc>
          <w:tcPr/>
          <w:p>
            <w:pPr>
              <w:pStyle w:val="Compact"/>
              <w:jc w:val="right"/>
            </w:pPr>
            <w:r>
              <w:t xml:space="preserve">107.0115</w:t>
            </w:r>
          </w:p>
        </w:tc>
        <w:tc>
          <w:tcPr/>
          <w:p>
            <w:pPr>
              <w:pStyle w:val="Compact"/>
              <w:jc w:val="right"/>
            </w:pPr>
            <w:r>
              <w:t xml:space="preserve">3.5921</w:t>
            </w:r>
          </w:p>
        </w:tc>
        <w:tc>
          <w:tcPr/>
          <w:p>
            <w:pPr>
              <w:pStyle w:val="Compact"/>
              <w:jc w:val="right"/>
            </w:pPr>
            <w:r>
              <w:t xml:space="preserve">0.0161</w:t>
            </w:r>
          </w:p>
        </w:tc>
      </w:tr>
    </w:tbl>
    <w:p/>
    <w:p>
      <w:pPr>
        <w:pStyle w:val="TableCaption"/>
      </w:pPr>
      <w:r>
        <w:rPr>
          <w:rFonts w:hint="eastAsia"/>
        </w:rPr>
        <w:t xml:space="preserve">誘電損失</w:t>
      </w:r>
      <w:r>
        <w:t xml:space="preserve"> </w:t>
      </w:r>
      <m:oMath>
        <m:sSubSup>
          <m:e>
            <m:r>
              <m:t>ε</m:t>
            </m:r>
          </m:e>
          <m:sub>
            <m:r>
              <m:t>r</m:t>
            </m:r>
          </m:sub>
          <m:sup>
            <m:r>
              <m:rPr>
                <m:sty m:val="p"/>
              </m:rPr>
              <m:t>′</m:t>
            </m:r>
          </m:sup>
        </m:sSubSup>
        <m:r>
          <m:rPr>
            <m:sty m:val="p"/>
          </m:rPr>
          <m:t>tan</m:t>
        </m:r>
        <m:r>
          <m:t>δ</m:t>
        </m:r>
      </m:oMath>
      <w:r>
        <w:rPr>
          <w:rFonts w:hint="eastAsia"/>
        </w:rPr>
        <w:t xml:space="preserve">（mean</w:t>
      </w:r>
      <w:r>
        <w:t xml:space="preserve"> ± std, </w:t>
      </w:r>
      <w:r>
        <w:rPr>
          <w:rFonts w:hint="eastAsia"/>
        </w:rPr>
        <w:t xml:space="preserve">n=20）</w:t>
      </w:r>
    </w:p>
    <w:tbl>
      <w:tblPr>
        <w:tblStyle w:val="Table"/>
        <w:tblW w:type="auto" w:w="0"/>
        <w:tblLook w:firstRow="1" w:lastRow="0" w:firstColumn="0" w:lastColumn="0" w:noHBand="0" w:noVBand="0" w:val="0020"/>
        <w:tblCaption w:val="誘電損失 \varepsilon_r'\tan\delta（mean ± std, n=20）"/>
      </w:tblPr>
      <w:tblGrid>
        <w:gridCol w:w="2640"/>
        <w:gridCol w:w="2640"/>
        <w:gridCol w:w="2640"/>
      </w:tblGrid>
      <w:tr>
        <w:trPr>
          <w:tblHeader w:val="on"/>
        </w:trPr>
        <w:tc>
          <w:tcPr/>
          <w:p>
            <w:pPr>
              <w:pStyle w:val="Compact"/>
              <w:jc w:val="right"/>
            </w:pPr>
            <w:r>
              <w:t xml:space="preserve">Frequency (GHz)</w:t>
            </w:r>
          </w:p>
        </w:tc>
        <w:tc>
          <w:tcPr/>
          <w:p>
            <w:pPr>
              <w:pStyle w:val="Compact"/>
              <w:jc w:val="right"/>
            </w:pPr>
            <w:r>
              <w:t xml:space="preserve">Mean</w:t>
            </w:r>
            <w:r>
              <w:t xml:space="preserve"> </w:t>
            </w:r>
            <m:oMath>
              <m:sSubSup>
                <m:e>
                  <m:r>
                    <m:t>ε</m:t>
                  </m:r>
                </m:e>
                <m:sub>
                  <m:r>
                    <m:t>r</m:t>
                  </m:r>
                </m:sub>
                <m:sup>
                  <m:r>
                    <m:rPr>
                      <m:sty m:val="p"/>
                    </m:rPr>
                    <m:t>′</m:t>
                  </m:r>
                </m:sup>
              </m:sSubSup>
              <m:r>
                <m:rPr>
                  <m:sty m:val="p"/>
                </m:rPr>
                <m:t>tan</m:t>
              </m:r>
              <m:r>
                <m:t>δ</m:t>
              </m:r>
            </m:oMath>
          </w:p>
        </w:tc>
        <w:tc>
          <w:tcPr/>
          <w:p>
            <w:pPr>
              <w:pStyle w:val="Compact"/>
              <w:jc w:val="right"/>
            </w:pPr>
            <w:r>
              <w:t xml:space="preserve">Std</w:t>
            </w:r>
            <w:r>
              <w:t xml:space="preserve"> </w:t>
            </w:r>
            <m:oMath>
              <m:sSubSup>
                <m:e>
                  <m:r>
                    <m:t>ε</m:t>
                  </m:r>
                </m:e>
                <m:sub>
                  <m:r>
                    <m:t>r</m:t>
                  </m:r>
                </m:sub>
                <m:sup>
                  <m:r>
                    <m:rPr>
                      <m:sty m:val="p"/>
                    </m:rPr>
                    <m:t>′</m:t>
                  </m:r>
                </m:sup>
              </m:sSubSup>
              <m:r>
                <m:rPr>
                  <m:sty m:val="p"/>
                </m:rPr>
                <m:t>tan</m:t>
              </m:r>
              <m:r>
                <m:t>δ</m:t>
              </m:r>
            </m:oMath>
          </w:p>
        </w:tc>
      </w:tr>
      <w:tr>
        <w:tc>
          <w:tcPr/>
          <w:p>
            <w:pPr>
              <w:pStyle w:val="Compact"/>
              <w:jc w:val="right"/>
            </w:pPr>
            <w:r>
              <w:t xml:space="preserve">12.6915</w:t>
            </w:r>
          </w:p>
        </w:tc>
        <w:tc>
          <w:tcPr/>
          <w:p>
            <w:pPr>
              <w:pStyle w:val="Compact"/>
              <w:jc w:val="right"/>
            </w:pPr>
            <w:r>
              <w:t xml:space="preserve">0.0171067</w:t>
            </w:r>
          </w:p>
        </w:tc>
        <w:tc>
          <w:tcPr/>
          <w:p>
            <w:pPr>
              <w:pStyle w:val="Compact"/>
              <w:jc w:val="right"/>
            </w:pPr>
            <w:r>
              <w:t xml:space="preserve">0.0007323</w:t>
            </w:r>
          </w:p>
        </w:tc>
      </w:tr>
      <w:tr>
        <w:tc>
          <w:tcPr/>
          <w:p>
            <w:pPr>
              <w:pStyle w:val="Compact"/>
              <w:jc w:val="right"/>
            </w:pPr>
            <w:r>
              <w:t xml:space="preserve">23.3084</w:t>
            </w:r>
          </w:p>
        </w:tc>
        <w:tc>
          <w:tcPr/>
          <w:p>
            <w:pPr>
              <w:pStyle w:val="Compact"/>
              <w:jc w:val="right"/>
            </w:pPr>
            <w:r>
              <w:t xml:space="preserve">0.0192863</w:t>
            </w:r>
          </w:p>
        </w:tc>
        <w:tc>
          <w:tcPr/>
          <w:p>
            <w:pPr>
              <w:pStyle w:val="Compact"/>
              <w:jc w:val="right"/>
            </w:pPr>
            <w:r>
              <w:t xml:space="preserve">0.0008484</w:t>
            </w:r>
          </w:p>
        </w:tc>
      </w:tr>
      <w:tr>
        <w:tc>
          <w:tcPr/>
          <w:p>
            <w:pPr>
              <w:pStyle w:val="Compact"/>
              <w:jc w:val="right"/>
            </w:pPr>
            <w:r>
              <w:t xml:space="preserve">33.8721</w:t>
            </w:r>
          </w:p>
        </w:tc>
        <w:tc>
          <w:tcPr/>
          <w:p>
            <w:pPr>
              <w:pStyle w:val="Compact"/>
              <w:jc w:val="right"/>
            </w:pPr>
            <w:r>
              <w:t xml:space="preserve">0.0210164</w:t>
            </w:r>
          </w:p>
        </w:tc>
        <w:tc>
          <w:tcPr/>
          <w:p>
            <w:pPr>
              <w:pStyle w:val="Compact"/>
              <w:jc w:val="right"/>
            </w:pPr>
            <w:r>
              <w:t xml:space="preserve">0.0008971</w:t>
            </w:r>
          </w:p>
        </w:tc>
      </w:tr>
      <w:tr>
        <w:tc>
          <w:tcPr/>
          <w:p>
            <w:pPr>
              <w:pStyle w:val="Compact"/>
              <w:jc w:val="right"/>
            </w:pPr>
            <w:r>
              <w:t xml:space="preserve">44.4253</w:t>
            </w:r>
          </w:p>
        </w:tc>
        <w:tc>
          <w:tcPr/>
          <w:p>
            <w:pPr>
              <w:pStyle w:val="Compact"/>
              <w:jc w:val="right"/>
            </w:pPr>
            <w:r>
              <w:t xml:space="preserve">0.0224190</w:t>
            </w:r>
          </w:p>
        </w:tc>
        <w:tc>
          <w:tcPr/>
          <w:p>
            <w:pPr>
              <w:pStyle w:val="Compact"/>
              <w:jc w:val="right"/>
            </w:pPr>
            <w:r>
              <w:t xml:space="preserve">0.0010718</w:t>
            </w:r>
          </w:p>
        </w:tc>
      </w:tr>
      <w:tr>
        <w:tc>
          <w:tcPr/>
          <w:p>
            <w:pPr>
              <w:pStyle w:val="Compact"/>
              <w:jc w:val="right"/>
            </w:pPr>
            <w:r>
              <w:t xml:space="preserve">54.9713</w:t>
            </w:r>
          </w:p>
        </w:tc>
        <w:tc>
          <w:tcPr/>
          <w:p>
            <w:pPr>
              <w:pStyle w:val="Compact"/>
              <w:jc w:val="right"/>
            </w:pPr>
            <w:r>
              <w:t xml:space="preserve">0.0239117</w:t>
            </w:r>
          </w:p>
        </w:tc>
        <w:tc>
          <w:tcPr/>
          <w:p>
            <w:pPr>
              <w:pStyle w:val="Compact"/>
              <w:jc w:val="right"/>
            </w:pPr>
            <w:r>
              <w:t xml:space="preserve">0.0008743</w:t>
            </w:r>
          </w:p>
        </w:tc>
      </w:tr>
      <w:tr>
        <w:tc>
          <w:tcPr/>
          <w:p>
            <w:pPr>
              <w:pStyle w:val="Compact"/>
              <w:jc w:val="right"/>
            </w:pPr>
            <w:r>
              <w:t xml:space="preserve">65.4813</w:t>
            </w:r>
          </w:p>
        </w:tc>
        <w:tc>
          <w:tcPr/>
          <w:p>
            <w:pPr>
              <w:pStyle w:val="Compact"/>
              <w:jc w:val="right"/>
            </w:pPr>
            <w:r>
              <w:t xml:space="preserve">0.0256537</w:t>
            </w:r>
          </w:p>
        </w:tc>
        <w:tc>
          <w:tcPr/>
          <w:p>
            <w:pPr>
              <w:pStyle w:val="Compact"/>
              <w:jc w:val="right"/>
            </w:pPr>
            <w:r>
              <w:t xml:space="preserve">0.0012315</w:t>
            </w:r>
          </w:p>
        </w:tc>
      </w:tr>
      <w:tr>
        <w:tc>
          <w:tcPr/>
          <w:p>
            <w:pPr>
              <w:pStyle w:val="Compact"/>
              <w:jc w:val="right"/>
            </w:pPr>
            <w:r>
              <w:t xml:space="preserve">75.9782</w:t>
            </w:r>
          </w:p>
        </w:tc>
        <w:tc>
          <w:tcPr/>
          <w:p>
            <w:pPr>
              <w:pStyle w:val="Compact"/>
              <w:jc w:val="right"/>
            </w:pPr>
            <w:r>
              <w:t xml:space="preserve">0.0287547</w:t>
            </w:r>
          </w:p>
        </w:tc>
        <w:tc>
          <w:tcPr/>
          <w:p>
            <w:pPr>
              <w:pStyle w:val="Compact"/>
              <w:jc w:val="right"/>
            </w:pPr>
            <w:r>
              <w:t xml:space="preserve">0.0018832</w:t>
            </w:r>
          </w:p>
        </w:tc>
      </w:tr>
      <w:tr>
        <w:tc>
          <w:tcPr/>
          <w:p>
            <w:pPr>
              <w:pStyle w:val="Compact"/>
              <w:jc w:val="right"/>
            </w:pPr>
            <w:r>
              <w:t xml:space="preserve">86.5899</w:t>
            </w:r>
          </w:p>
        </w:tc>
        <w:tc>
          <w:tcPr/>
          <w:p>
            <w:pPr>
              <w:pStyle w:val="Compact"/>
              <w:jc w:val="right"/>
            </w:pPr>
            <w:r>
              <w:t xml:space="preserve">0.0451278</w:t>
            </w:r>
          </w:p>
        </w:tc>
        <w:tc>
          <w:tcPr/>
          <w:p>
            <w:pPr>
              <w:pStyle w:val="Compact"/>
              <w:jc w:val="right"/>
            </w:pPr>
            <w:r>
              <w:t xml:space="preserve">0.0181521</w:t>
            </w:r>
          </w:p>
        </w:tc>
      </w:tr>
      <w:tr>
        <w:tc>
          <w:tcPr/>
          <w:p>
            <w:pPr>
              <w:pStyle w:val="Compact"/>
              <w:jc w:val="right"/>
            </w:pPr>
            <w:r>
              <w:t xml:space="preserve">96.6554</w:t>
            </w:r>
          </w:p>
        </w:tc>
        <w:tc>
          <w:tcPr/>
          <w:p>
            <w:pPr>
              <w:pStyle w:val="Compact"/>
              <w:jc w:val="right"/>
            </w:pPr>
            <w:r>
              <w:t xml:space="preserve">0.0358969</w:t>
            </w:r>
          </w:p>
        </w:tc>
        <w:tc>
          <w:tcPr/>
          <w:p>
            <w:pPr>
              <w:pStyle w:val="Compact"/>
              <w:jc w:val="right"/>
            </w:pPr>
            <w:r>
              <w:t xml:space="preserve">0.0030009</w:t>
            </w:r>
          </w:p>
        </w:tc>
      </w:tr>
      <w:tr>
        <w:tc>
          <w:tcPr/>
          <w:p>
            <w:pPr>
              <w:pStyle w:val="Compact"/>
              <w:jc w:val="right"/>
            </w:pPr>
            <w:r>
              <w:t xml:space="preserve">107.0115</w:t>
            </w:r>
          </w:p>
        </w:tc>
        <w:tc>
          <w:tcPr/>
          <w:p>
            <w:pPr>
              <w:pStyle w:val="Compact"/>
              <w:jc w:val="right"/>
            </w:pPr>
            <w:r>
              <w:t xml:space="preserve">0.0335130</w:t>
            </w:r>
          </w:p>
        </w:tc>
        <w:tc>
          <w:tcPr/>
          <w:p>
            <w:pPr>
              <w:pStyle w:val="Compact"/>
              <w:jc w:val="right"/>
            </w:pPr>
            <w:r>
              <w:t xml:space="preserve">0.0015775</w:t>
            </w:r>
          </w:p>
        </w:tc>
      </w:tr>
    </w:tbl>
    <w:p/>
    <w:p>
      <w:pPr>
        <w:pStyle w:val="TableCaption"/>
      </w:pPr>
      <w:r>
        <w:rPr>
          <w:rFonts w:hint="eastAsia"/>
        </w:rPr>
        <w:t xml:space="preserve">実効導電率</w:t>
      </w:r>
      <w:r>
        <w:t xml:space="preserve"> </w:t>
      </w:r>
      <m:oMath>
        <m:sSub>
          <m:e>
            <m:r>
              <m:t>σ</m:t>
            </m:r>
          </m:e>
          <m:sub>
            <m:r>
              <m:rPr>
                <m:sty m:val="p"/>
              </m:rPr>
              <m:t>e</m:t>
            </m:r>
            <m:r>
              <m:rPr>
                <m:sty m:val="p"/>
              </m:rPr>
              <m:t>f</m:t>
            </m:r>
            <m:r>
              <m:rPr>
                <m:sty m:val="p"/>
              </m:rPr>
              <m:t>f</m:t>
            </m:r>
          </m:sub>
        </m:sSub>
      </m:oMath>
      <w:r>
        <w:rPr>
          <w:rFonts w:hint="eastAsia"/>
        </w:rPr>
        <w:t xml:space="preserve">（mean</w:t>
      </w:r>
      <w:r>
        <w:t xml:space="preserve"> ± std, </w:t>
      </w:r>
      <w:r>
        <w:rPr>
          <w:rFonts w:hint="eastAsia"/>
        </w:rPr>
        <w:t xml:space="preserve">n=20）</w:t>
      </w:r>
    </w:p>
    <w:tbl>
      <w:tblPr>
        <w:tblStyle w:val="Table"/>
        <w:tblW w:type="auto" w:w="0"/>
        <w:tblLook w:firstRow="1" w:lastRow="0" w:firstColumn="0" w:lastColumn="0" w:noHBand="0" w:noVBand="0" w:val="0020"/>
        <w:tblCaption w:val="実効導電率 \sigma_{\mathrm{eff}}（mean ± std, n=20）"/>
      </w:tblPr>
      <w:tblGrid>
        <w:gridCol w:w="2640"/>
        <w:gridCol w:w="2640"/>
        <w:gridCol w:w="2640"/>
      </w:tblGrid>
      <w:tr>
        <w:trPr>
          <w:tblHeader w:val="on"/>
        </w:trPr>
        <w:tc>
          <w:tcPr/>
          <w:p>
            <w:pPr>
              <w:pStyle w:val="Compact"/>
              <w:jc w:val="right"/>
            </w:pPr>
            <w:r>
              <w:t xml:space="preserve">Frequency (GHz)</w:t>
            </w:r>
          </w:p>
        </w:tc>
        <w:tc>
          <w:tcPr/>
          <w:p>
            <w:pPr>
              <w:pStyle w:val="Compact"/>
              <w:jc w:val="right"/>
            </w:pPr>
            <w:r>
              <w:t xml:space="preserve">Mean</w:t>
            </w:r>
            <w:r>
              <w:t xml:space="preserve"> </w:t>
            </w:r>
            <m:oMath>
              <m:sSub>
                <m:e>
                  <m:r>
                    <m:t>σ</m:t>
                  </m:r>
                </m:e>
                <m:sub>
                  <m:r>
                    <m:rPr>
                      <m:sty m:val="p"/>
                    </m:rPr>
                    <m:t>e</m:t>
                  </m:r>
                  <m:r>
                    <m:rPr>
                      <m:sty m:val="p"/>
                    </m:rPr>
                    <m:t>f</m:t>
                  </m:r>
                  <m:r>
                    <m:rPr>
                      <m:sty m:val="p"/>
                    </m:rPr>
                    <m:t>f</m:t>
                  </m:r>
                </m:sub>
              </m:sSub>
            </m:oMath>
            <w:r>
              <w:t xml:space="preserve"> </w:t>
            </w:r>
            <w:r>
              <w:t xml:space="preserve">(S/m)</w:t>
            </w:r>
          </w:p>
        </w:tc>
        <w:tc>
          <w:tcPr/>
          <w:p>
            <w:pPr>
              <w:pStyle w:val="Compact"/>
              <w:jc w:val="right"/>
            </w:pPr>
            <w:r>
              <w:t xml:space="preserve">Std (S/m)</w:t>
            </w:r>
          </w:p>
        </w:tc>
      </w:tr>
      <w:tr>
        <w:tc>
          <w:tcPr/>
          <w:p>
            <w:pPr>
              <w:pStyle w:val="Compact"/>
              <w:jc w:val="right"/>
            </w:pPr>
            <w:r>
              <w:t xml:space="preserve">12.6638</w:t>
            </w:r>
          </w:p>
        </w:tc>
        <w:tc>
          <w:tcPr/>
          <w:p>
            <w:pPr>
              <w:pStyle w:val="Compact"/>
              <w:jc w:val="right"/>
            </w:pPr>
            <w:r>
              <w:t xml:space="preserve">2.4146e7</w:t>
            </w:r>
          </w:p>
        </w:tc>
        <w:tc>
          <w:tcPr/>
          <w:p>
            <w:pPr>
              <w:pStyle w:val="Compact"/>
              <w:jc w:val="right"/>
            </w:pPr>
            <w:r>
              <w:t xml:space="preserve">2.4072e6</w:t>
            </w:r>
          </w:p>
        </w:tc>
      </w:tr>
      <w:tr>
        <w:tc>
          <w:tcPr/>
          <w:p>
            <w:pPr>
              <w:pStyle w:val="Compact"/>
              <w:jc w:val="right"/>
            </w:pPr>
            <w:r>
              <w:t xml:space="preserve">23.2561</w:t>
            </w:r>
          </w:p>
        </w:tc>
        <w:tc>
          <w:tcPr/>
          <w:p>
            <w:pPr>
              <w:pStyle w:val="Compact"/>
              <w:jc w:val="right"/>
            </w:pPr>
            <w:r>
              <w:t xml:space="preserve">8.2279e6</w:t>
            </w:r>
          </w:p>
        </w:tc>
        <w:tc>
          <w:tcPr/>
          <w:p>
            <w:pPr>
              <w:pStyle w:val="Compact"/>
              <w:jc w:val="right"/>
            </w:pPr>
            <w:r>
              <w:t xml:space="preserve">1.6116e6</w:t>
            </w:r>
          </w:p>
        </w:tc>
      </w:tr>
      <w:tr>
        <w:tc>
          <w:tcPr/>
          <w:p>
            <w:pPr>
              <w:pStyle w:val="Compact"/>
              <w:jc w:val="right"/>
            </w:pPr>
            <w:r>
              <w:t xml:space="preserve">33.7960</w:t>
            </w:r>
          </w:p>
        </w:tc>
        <w:tc>
          <w:tcPr/>
          <w:p>
            <w:pPr>
              <w:pStyle w:val="Compact"/>
              <w:jc w:val="right"/>
            </w:pPr>
            <w:r>
              <w:t xml:space="preserve">4.9135e6</w:t>
            </w:r>
          </w:p>
        </w:tc>
        <w:tc>
          <w:tcPr/>
          <w:p>
            <w:pPr>
              <w:pStyle w:val="Compact"/>
              <w:jc w:val="right"/>
            </w:pPr>
            <w:r>
              <w:t xml:space="preserve">1.1691e6</w:t>
            </w:r>
          </w:p>
        </w:tc>
      </w:tr>
      <w:tr>
        <w:tc>
          <w:tcPr/>
          <w:p>
            <w:pPr>
              <w:pStyle w:val="Compact"/>
              <w:jc w:val="right"/>
            </w:pPr>
            <w:r>
              <w:t xml:space="preserve">44.3247</w:t>
            </w:r>
          </w:p>
        </w:tc>
        <w:tc>
          <w:tcPr/>
          <w:p>
            <w:pPr>
              <w:pStyle w:val="Compact"/>
              <w:jc w:val="right"/>
            </w:pPr>
            <w:r>
              <w:t xml:space="preserve">3.6321e6</w:t>
            </w:r>
          </w:p>
        </w:tc>
        <w:tc>
          <w:tcPr/>
          <w:p>
            <w:pPr>
              <w:pStyle w:val="Compact"/>
              <w:jc w:val="right"/>
            </w:pPr>
            <w:r>
              <w:t xml:space="preserve">9.6109e5</w:t>
            </w:r>
          </w:p>
        </w:tc>
      </w:tr>
      <w:tr>
        <w:tc>
          <w:tcPr/>
          <w:p>
            <w:pPr>
              <w:pStyle w:val="Compact"/>
              <w:jc w:val="right"/>
            </w:pPr>
            <w:r>
              <w:t xml:space="preserve">54.8473</w:t>
            </w:r>
          </w:p>
        </w:tc>
        <w:tc>
          <w:tcPr/>
          <w:p>
            <w:pPr>
              <w:pStyle w:val="Compact"/>
              <w:jc w:val="right"/>
            </w:pPr>
            <w:r>
              <w:t xml:space="preserve">2.6096e6</w:t>
            </w:r>
          </w:p>
        </w:tc>
        <w:tc>
          <w:tcPr/>
          <w:p>
            <w:pPr>
              <w:pStyle w:val="Compact"/>
              <w:jc w:val="right"/>
            </w:pPr>
            <w:r>
              <w:t xml:space="preserve">1.0277e6</w:t>
            </w:r>
          </w:p>
        </w:tc>
      </w:tr>
      <w:tr>
        <w:tc>
          <w:tcPr/>
          <w:p>
            <w:pPr>
              <w:pStyle w:val="Compact"/>
              <w:jc w:val="right"/>
            </w:pPr>
            <w:r>
              <w:t xml:space="preserve">65.3264</w:t>
            </w:r>
          </w:p>
        </w:tc>
        <w:tc>
          <w:tcPr/>
          <w:p>
            <w:pPr>
              <w:pStyle w:val="Compact"/>
              <w:jc w:val="right"/>
            </w:pPr>
            <w:r>
              <w:t xml:space="preserve">3.4419e6</w:t>
            </w:r>
          </w:p>
        </w:tc>
        <w:tc>
          <w:tcPr/>
          <w:p>
            <w:pPr>
              <w:pStyle w:val="Compact"/>
              <w:jc w:val="right"/>
            </w:pPr>
            <w:r>
              <w:t xml:space="preserve">2.7636e6</w:t>
            </w:r>
          </w:p>
        </w:tc>
      </w:tr>
      <w:tr>
        <w:tc>
          <w:tcPr/>
          <w:p>
            <w:pPr>
              <w:pStyle w:val="Compact"/>
              <w:jc w:val="right"/>
            </w:pPr>
            <w:r>
              <w:t xml:space="preserve">75.7767</w:t>
            </w:r>
          </w:p>
        </w:tc>
        <w:tc>
          <w:tcPr/>
          <w:p>
            <w:pPr>
              <w:pStyle w:val="Compact"/>
              <w:jc w:val="right"/>
            </w:pPr>
            <w:r>
              <w:t xml:space="preserve">1.4033e6</w:t>
            </w:r>
          </w:p>
        </w:tc>
        <w:tc>
          <w:tcPr/>
          <w:p>
            <w:pPr>
              <w:pStyle w:val="Compact"/>
              <w:jc w:val="right"/>
            </w:pPr>
            <w:r>
              <w:t xml:space="preserve">1.6201e6</w:t>
            </w:r>
          </w:p>
        </w:tc>
      </w:tr>
      <w:tr>
        <w:tc>
          <w:tcPr/>
          <w:p>
            <w:pPr>
              <w:pStyle w:val="Compact"/>
              <w:jc w:val="right"/>
            </w:pPr>
            <w:r>
              <w:t xml:space="preserve">86.4699</w:t>
            </w:r>
          </w:p>
        </w:tc>
        <w:tc>
          <w:tcPr/>
          <w:p>
            <w:pPr>
              <w:pStyle w:val="Compact"/>
              <w:jc w:val="right"/>
            </w:pPr>
            <w:r>
              <w:t xml:space="preserve">3.4072e5</w:t>
            </w:r>
          </w:p>
        </w:tc>
        <w:tc>
          <w:tcPr/>
          <w:p>
            <w:pPr>
              <w:pStyle w:val="Compact"/>
              <w:jc w:val="right"/>
            </w:pPr>
            <w:r>
              <w:t xml:space="preserve">7.1732e5</w:t>
            </w:r>
          </w:p>
        </w:tc>
      </w:tr>
      <w:tr>
        <w:tc>
          <w:tcPr/>
          <w:p>
            <w:pPr>
              <w:pStyle w:val="Compact"/>
              <w:jc w:val="right"/>
            </w:pPr>
            <w:r>
              <w:t xml:space="preserve">96.5272</w:t>
            </w:r>
          </w:p>
        </w:tc>
        <w:tc>
          <w:tcPr/>
          <w:p>
            <w:pPr>
              <w:pStyle w:val="Compact"/>
              <w:jc w:val="right"/>
            </w:pPr>
            <w:r>
              <w:t xml:space="preserve">1.0772e6</w:t>
            </w:r>
          </w:p>
        </w:tc>
        <w:tc>
          <w:tcPr/>
          <w:p>
            <w:pPr>
              <w:pStyle w:val="Compact"/>
              <w:jc w:val="right"/>
            </w:pPr>
            <w:r>
              <w:t xml:space="preserve">1.8638e6</w:t>
            </w:r>
          </w:p>
        </w:tc>
      </w:tr>
      <w:tr>
        <w:tc>
          <w:tcPr/>
          <w:p>
            <w:pPr>
              <w:pStyle w:val="Compact"/>
              <w:jc w:val="right"/>
            </w:pPr>
            <w:r>
              <w:t xml:space="preserve">106.9216</w:t>
            </w:r>
          </w:p>
        </w:tc>
        <w:tc>
          <w:tcPr/>
          <w:p>
            <w:pPr>
              <w:pStyle w:val="Compact"/>
              <w:jc w:val="right"/>
            </w:pPr>
            <w:r>
              <w:t xml:space="preserve">3.6553e5</w:t>
            </w:r>
          </w:p>
        </w:tc>
        <w:tc>
          <w:tcPr/>
          <w:p>
            <w:pPr>
              <w:pStyle w:val="Compact"/>
              <w:jc w:val="right"/>
            </w:pPr>
            <w:r>
              <w:t xml:space="preserve">3.0212e4</w:t>
            </w:r>
          </w:p>
        </w:tc>
      </w:tr>
    </w:tbl>
    <w:p>
      <w:pPr>
        <w:pStyle w:val="BodyText"/>
      </w:pPr>
      <w:r>
        <w:rPr>
          <w:rFonts w:hint="eastAsia"/>
        </w:rPr>
        <w:t xml:space="preserve">注:</w:t>
      </w:r>
      <w:r>
        <w:t xml:space="preserve"> </w:t>
      </w:r>
      <w:r>
        <w:rPr>
          <w:rFonts w:hint="eastAsia"/>
        </w:rPr>
        <w:t xml:space="preserve">表中の数値は</w:t>
      </w:r>
      <w:r>
        <w:t xml:space="preserve"> SI </w:t>
      </w:r>
      <w:r>
        <w:rPr>
          <w:rFonts w:hint="eastAsia"/>
        </w:rPr>
        <w:t xml:space="preserve">単位（S/m）で示す．</w:t>
      </w:r>
    </w:p>
    <w:p>
      <w:pPr>
        <w:pStyle w:val="TableCaption"/>
      </w:pPr>
      <w:r>
        <w:rPr>
          <w:rFonts w:hint="eastAsia"/>
        </w:rPr>
        <w:t xml:space="preserve">伝送減衰算出結果（代表点）</w:t>
      </w:r>
    </w:p>
    <w:tbl>
      <w:tblPr>
        <w:tblStyle w:val="Table"/>
        <w:tblW w:type="auto" w:w="0"/>
        <w:tblLook w:firstRow="1" w:lastRow="0" w:firstColumn="0" w:lastColumn="0" w:noHBand="0" w:noVBand="0" w:val="0020"/>
        <w:tblCaption w:val="伝送減衰算出結果（代表点）"/>
      </w:tblPr>
      <w:tblGrid>
        <w:gridCol w:w="880"/>
        <w:gridCol w:w="880"/>
        <w:gridCol w:w="880"/>
        <w:gridCol w:w="880"/>
        <w:gridCol w:w="880"/>
        <w:gridCol w:w="880"/>
        <w:gridCol w:w="880"/>
        <w:gridCol w:w="880"/>
        <w:gridCol w:w="880"/>
      </w:tblGrid>
      <w:tr>
        <w:trPr>
          <w:tblHeader w:val="on"/>
        </w:trPr>
        <w:tc>
          <w:tcPr/>
          <w:p>
            <w:pPr>
              <w:pStyle w:val="Compact"/>
              <w:jc w:val="right"/>
            </w:pPr>
            <w:r>
              <w:t xml:space="preserve">Freq (GHz)</w:t>
            </w:r>
          </w:p>
        </w:tc>
        <w:tc>
          <w:tcPr/>
          <w:p>
            <w:pPr>
              <w:pStyle w:val="Compact"/>
              <w:jc w:val="right"/>
            </w:pPr>
            <m:oMath>
              <m:sSub>
                <m:e>
                  <m:r>
                    <m:t>Z</m:t>
                  </m:r>
                </m:e>
                <m:sub>
                  <m:r>
                    <m:t>0</m:t>
                  </m:r>
                </m:sub>
              </m:sSub>
            </m:oMath>
            <w:r>
              <w:t xml:space="preserve"> </w:t>
            </w:r>
            <w:r>
              <w:t xml:space="preserve">(ohm)</w:t>
            </w:r>
          </w:p>
        </w:tc>
        <w:tc>
          <w:tcPr/>
          <w:p>
            <w:pPr>
              <w:pStyle w:val="Compact"/>
              <w:jc w:val="right"/>
            </w:pPr>
            <m:oMath>
              <m:sSub>
                <m:e>
                  <m:r>
                    <m:t>α</m:t>
                  </m:r>
                </m:e>
                <m:sub>
                  <m:r>
                    <m:t>c</m:t>
                  </m:r>
                </m:sub>
              </m:sSub>
            </m:oMath>
            <w:r>
              <w:t xml:space="preserve"> </w:t>
            </w:r>
            <w:r>
              <w:t xml:space="preserve">(dB/m)</w:t>
            </w:r>
          </w:p>
        </w:tc>
        <w:tc>
          <w:tcPr/>
          <w:p>
            <w:pPr>
              <w:pStyle w:val="Compact"/>
              <w:jc w:val="right"/>
            </w:pPr>
            <m:oMath>
              <m:sSub>
                <m:e>
                  <m:r>
                    <m:t>α</m:t>
                  </m:r>
                </m:e>
                <m:sub>
                  <m:r>
                    <m:t>c</m:t>
                  </m:r>
                  <m:r>
                    <m:rPr>
                      <m:sty m:val="p"/>
                    </m:rPr>
                    <m:t>,</m:t>
                  </m:r>
                  <m:r>
                    <m:rPr>
                      <m:sty m:val="p"/>
                    </m:rPr>
                    <m:t>C</m:t>
                  </m:r>
                  <m:r>
                    <m:rPr>
                      <m:sty m:val="p"/>
                    </m:rPr>
                    <m:t>u</m:t>
                  </m:r>
                  <m:r>
                    <m:rPr>
                      <m:sty m:val="p"/>
                    </m:rPr>
                    <m:t>R</m:t>
                  </m:r>
                  <m:r>
                    <m:rPr>
                      <m:sty m:val="p"/>
                    </m:rPr>
                    <m:t>h</m:t>
                  </m:r>
                  <m:r>
                    <m:rPr>
                      <m:sty m:val="p"/>
                    </m:rPr>
                    <m:t>o</m:t>
                  </m:r>
                </m:sub>
              </m:sSub>
            </m:oMath>
            <w:r>
              <w:t xml:space="preserve"> </w:t>
            </w:r>
            <w:r>
              <w:t xml:space="preserve">(dB/m)</w:t>
            </w:r>
          </w:p>
        </w:tc>
        <w:tc>
          <w:tcPr/>
          <w:p>
            <w:pPr>
              <w:pStyle w:val="Compact"/>
              <w:jc w:val="right"/>
            </w:pPr>
            <m:oMath>
              <m:sSub>
                <m:e>
                  <m:r>
                    <m:t>α</m:t>
                  </m:r>
                </m:e>
                <m:sub>
                  <m:r>
                    <m:t>d</m:t>
                  </m:r>
                </m:sub>
              </m:sSub>
            </m:oMath>
            <w:r>
              <w:t xml:space="preserve"> </w:t>
            </w:r>
            <w:r>
              <w:t xml:space="preserve">(dB/m)</w:t>
            </w:r>
          </w:p>
        </w:tc>
        <w:tc>
          <w:tcPr/>
          <w:p>
            <w:pPr>
              <w:pStyle w:val="Compact"/>
              <w:jc w:val="right"/>
            </w:pPr>
            <m:oMath>
              <m:sSub>
                <m:e>
                  <m:r>
                    <m:t>α</m:t>
                  </m:r>
                </m:e>
                <m:sub>
                  <m:r>
                    <m:rPr>
                      <m:sty m:val="p"/>
                    </m:rPr>
                    <m:t>t</m:t>
                  </m:r>
                  <m:r>
                    <m:rPr>
                      <m:sty m:val="p"/>
                    </m:rPr>
                    <m:t>o</m:t>
                  </m:r>
                  <m:r>
                    <m:rPr>
                      <m:sty m:val="p"/>
                    </m:rPr>
                    <m:t>t</m:t>
                  </m:r>
                  <m:r>
                    <m:rPr>
                      <m:sty m:val="p"/>
                    </m:rPr>
                    <m:t>a</m:t>
                  </m:r>
                  <m:r>
                    <m:rPr>
                      <m:sty m:val="p"/>
                    </m:rPr>
                    <m:t>l</m:t>
                  </m:r>
                </m:sub>
              </m:sSub>
            </m:oMath>
            <w:r>
              <w:t xml:space="preserve"> </w:t>
            </w:r>
            <w:r>
              <w:t xml:space="preserve">(dB/m)</w:t>
            </w:r>
          </w:p>
        </w:tc>
        <w:tc>
          <w:tcPr/>
          <w:p>
            <w:pPr>
              <w:pStyle w:val="Compact"/>
              <w:jc w:val="right"/>
            </w:pPr>
            <m:oMath>
              <m:r>
                <m:t>σ</m:t>
              </m:r>
            </m:oMath>
            <w:r>
              <w:t xml:space="preserve"> </w:t>
            </w:r>
            <w:r>
              <w:t xml:space="preserve">(S/m)</w:t>
            </w:r>
          </w:p>
        </w:tc>
        <w:tc>
          <w:tcPr/>
          <w:p>
            <w:pPr>
              <w:pStyle w:val="Compact"/>
              <w:jc w:val="right"/>
            </w:pPr>
            <m:oMath>
              <m:r>
                <m:rPr>
                  <m:sty m:val="p"/>
                </m:rPr>
                <m:t>tan</m:t>
              </m:r>
              <m:r>
                <m:t>δ</m:t>
              </m:r>
            </m:oMath>
          </w:p>
        </w:tc>
        <w:tc>
          <w:tcPr/>
          <w:p>
            <w:pPr>
              <w:pStyle w:val="Compact"/>
              <w:jc w:val="right"/>
            </w:pPr>
            <m:oMath>
              <m:sSubSup>
                <m:e>
                  <m:r>
                    <m:t>ε</m:t>
                  </m:r>
                </m:e>
                <m:sub>
                  <m:r>
                    <m:t>r</m:t>
                  </m:r>
                </m:sub>
                <m:sup>
                  <m:r>
                    <m:rPr>
                      <m:sty m:val="p"/>
                    </m:rPr>
                    <m:t>′</m:t>
                  </m:r>
                </m:sup>
              </m:sSubSup>
            </m:oMath>
          </w:p>
        </w:tc>
      </w:tr>
      <w:tr>
        <w:tc>
          <w:tcPr/>
          <w:p>
            <w:pPr>
              <w:pStyle w:val="Compact"/>
              <w:jc w:val="right"/>
            </w:pPr>
            <w:r>
              <w:t xml:space="preserve">23.256</w:t>
            </w:r>
          </w:p>
        </w:tc>
        <w:tc>
          <w:tcPr/>
          <w:p>
            <w:pPr>
              <w:pStyle w:val="Compact"/>
              <w:jc w:val="right"/>
            </w:pPr>
            <w:r>
              <w:t xml:space="preserve">43.80</w:t>
            </w:r>
          </w:p>
        </w:tc>
        <w:tc>
          <w:tcPr/>
          <w:p>
            <w:pPr>
              <w:pStyle w:val="Compact"/>
              <w:jc w:val="right"/>
            </w:pPr>
            <w:r>
              <w:t xml:space="preserve">1.90</w:t>
            </w:r>
          </w:p>
        </w:tc>
        <w:tc>
          <w:tcPr/>
          <w:p>
            <w:pPr>
              <w:pStyle w:val="Compact"/>
              <w:jc w:val="right"/>
            </w:pPr>
            <w:r>
              <w:t xml:space="preserve">0.73</w:t>
            </w:r>
          </w:p>
        </w:tc>
        <w:tc>
          <w:tcPr/>
          <w:p>
            <w:pPr>
              <w:pStyle w:val="Compact"/>
              <w:jc w:val="right"/>
            </w:pPr>
            <w:r>
              <w:t xml:space="preserve">0.345</w:t>
            </w:r>
          </w:p>
        </w:tc>
        <w:tc>
          <w:tcPr/>
          <w:p>
            <w:pPr>
              <w:pStyle w:val="Compact"/>
              <w:jc w:val="right"/>
            </w:pPr>
            <w:r>
              <w:t xml:space="preserve">2.25</w:t>
            </w:r>
          </w:p>
        </w:tc>
        <w:tc>
          <w:tcPr/>
          <w:p>
            <w:pPr>
              <w:pStyle w:val="Compact"/>
              <w:jc w:val="right"/>
            </w:pPr>
            <w:r>
              <w:t xml:space="preserve">8.23e6</w:t>
            </w:r>
          </w:p>
        </w:tc>
        <w:tc>
          <w:tcPr/>
          <w:p>
            <w:pPr>
              <w:pStyle w:val="Compact"/>
              <w:jc w:val="right"/>
            </w:pPr>
            <w:r>
              <w:t xml:space="preserve">5.38e-3</w:t>
            </w:r>
          </w:p>
        </w:tc>
        <w:tc>
          <w:tcPr/>
          <w:p>
            <w:pPr>
              <w:pStyle w:val="Compact"/>
              <w:jc w:val="right"/>
            </w:pPr>
            <w:r>
              <w:t xml:space="preserve">3.591</w:t>
            </w:r>
          </w:p>
        </w:tc>
      </w:tr>
      <w:tr>
        <w:tc>
          <w:tcPr/>
          <w:p>
            <w:pPr>
              <w:pStyle w:val="Compact"/>
              <w:jc w:val="right"/>
            </w:pPr>
            <w:r>
              <w:t xml:space="preserve">33.796</w:t>
            </w:r>
          </w:p>
        </w:tc>
        <w:tc>
          <w:tcPr/>
          <w:p>
            <w:pPr>
              <w:pStyle w:val="Compact"/>
              <w:jc w:val="right"/>
            </w:pPr>
            <w:r>
              <w:t xml:space="preserve">43.80</w:t>
            </w:r>
          </w:p>
        </w:tc>
        <w:tc>
          <w:tcPr/>
          <w:p>
            <w:pPr>
              <w:pStyle w:val="Compact"/>
              <w:jc w:val="right"/>
            </w:pPr>
            <w:r>
              <w:t xml:space="preserve">2.97</w:t>
            </w:r>
          </w:p>
        </w:tc>
        <w:tc>
          <w:tcPr/>
          <w:p>
            <w:pPr>
              <w:pStyle w:val="Compact"/>
              <w:jc w:val="right"/>
            </w:pPr>
            <w:r>
              <w:t xml:space="preserve">0.88</w:t>
            </w:r>
          </w:p>
        </w:tc>
        <w:tc>
          <w:tcPr/>
          <w:p>
            <w:pPr>
              <w:pStyle w:val="Compact"/>
              <w:jc w:val="right"/>
            </w:pPr>
            <w:r>
              <w:t xml:space="preserve">0.547</w:t>
            </w:r>
          </w:p>
        </w:tc>
        <w:tc>
          <w:tcPr/>
          <w:p>
            <w:pPr>
              <w:pStyle w:val="Compact"/>
              <w:jc w:val="right"/>
            </w:pPr>
            <w:r>
              <w:t xml:space="preserve">3.52</w:t>
            </w:r>
          </w:p>
        </w:tc>
        <w:tc>
          <w:tcPr/>
          <w:p>
            <w:pPr>
              <w:pStyle w:val="Compact"/>
              <w:jc w:val="right"/>
            </w:pPr>
            <w:r>
              <w:t xml:space="preserve">4.91e6</w:t>
            </w:r>
          </w:p>
        </w:tc>
        <w:tc>
          <w:tcPr/>
          <w:p>
            <w:pPr>
              <w:pStyle w:val="Compact"/>
              <w:jc w:val="right"/>
            </w:pPr>
            <w:r>
              <w:t xml:space="preserve">5.87e-3</w:t>
            </w:r>
          </w:p>
        </w:tc>
        <w:tc>
          <w:tcPr/>
          <w:p>
            <w:pPr>
              <w:pStyle w:val="Compact"/>
              <w:jc w:val="right"/>
            </w:pPr>
            <w:r>
              <w:t xml:space="preserve">3.590</w:t>
            </w:r>
          </w:p>
        </w:tc>
      </w:tr>
      <w:tr>
        <w:tc>
          <w:tcPr/>
          <w:p>
            <w:pPr>
              <w:pStyle w:val="Compact"/>
              <w:jc w:val="right"/>
            </w:pPr>
            <w:r>
              <w:t xml:space="preserve">44.325</w:t>
            </w:r>
          </w:p>
        </w:tc>
        <w:tc>
          <w:tcPr/>
          <w:p>
            <w:pPr>
              <w:pStyle w:val="Compact"/>
              <w:jc w:val="right"/>
            </w:pPr>
            <w:r>
              <w:t xml:space="preserve">43.80</w:t>
            </w:r>
          </w:p>
        </w:tc>
        <w:tc>
          <w:tcPr/>
          <w:p>
            <w:pPr>
              <w:pStyle w:val="Compact"/>
              <w:jc w:val="right"/>
            </w:pPr>
            <w:r>
              <w:t xml:space="preserve">3.96</w:t>
            </w:r>
          </w:p>
        </w:tc>
        <w:tc>
          <w:tcPr/>
          <w:p>
            <w:pPr>
              <w:pStyle w:val="Compact"/>
              <w:jc w:val="right"/>
            </w:pPr>
            <w:r>
              <w:t xml:space="preserve">1.01</w:t>
            </w:r>
          </w:p>
        </w:tc>
        <w:tc>
          <w:tcPr/>
          <w:p>
            <w:pPr>
              <w:pStyle w:val="Compact"/>
              <w:jc w:val="right"/>
            </w:pPr>
            <w:r>
              <w:t xml:space="preserve">0.766</w:t>
            </w:r>
          </w:p>
        </w:tc>
        <w:tc>
          <w:tcPr/>
          <w:p>
            <w:pPr>
              <w:pStyle w:val="Compact"/>
              <w:jc w:val="right"/>
            </w:pPr>
            <w:r>
              <w:t xml:space="preserve">4.72</w:t>
            </w:r>
          </w:p>
        </w:tc>
        <w:tc>
          <w:tcPr/>
          <w:p>
            <w:pPr>
              <w:pStyle w:val="Compact"/>
              <w:jc w:val="right"/>
            </w:pPr>
            <w:r>
              <w:t xml:space="preserve">3.63e6</w:t>
            </w:r>
          </w:p>
        </w:tc>
        <w:tc>
          <w:tcPr/>
          <w:p>
            <w:pPr>
              <w:pStyle w:val="Compact"/>
              <w:jc w:val="right"/>
            </w:pPr>
            <w:r>
              <w:t xml:space="preserve">6.26e-3</w:t>
            </w:r>
          </w:p>
        </w:tc>
        <w:tc>
          <w:tcPr/>
          <w:p>
            <w:pPr>
              <w:pStyle w:val="Compact"/>
              <w:jc w:val="right"/>
            </w:pPr>
            <w:r>
              <w:t xml:space="preserve">3.591</w:t>
            </w:r>
          </w:p>
        </w:tc>
      </w:tr>
      <w:tr>
        <w:tc>
          <w:tcPr/>
          <w:p>
            <w:pPr>
              <w:pStyle w:val="Compact"/>
              <w:jc w:val="right"/>
            </w:pPr>
            <w:r>
              <w:t xml:space="preserve">54.847</w:t>
            </w:r>
          </w:p>
        </w:tc>
        <w:tc>
          <w:tcPr/>
          <w:p>
            <w:pPr>
              <w:pStyle w:val="Compact"/>
              <w:jc w:val="right"/>
            </w:pPr>
            <w:r>
              <w:t xml:space="preserve">43.79</w:t>
            </w:r>
          </w:p>
        </w:tc>
        <w:tc>
          <w:tcPr/>
          <w:p>
            <w:pPr>
              <w:pStyle w:val="Compact"/>
              <w:jc w:val="right"/>
            </w:pPr>
            <w:r>
              <w:t xml:space="preserve">5.19</w:t>
            </w:r>
          </w:p>
        </w:tc>
        <w:tc>
          <w:tcPr/>
          <w:p>
            <w:pPr>
              <w:pStyle w:val="Compact"/>
              <w:jc w:val="right"/>
            </w:pPr>
            <w:r>
              <w:t xml:space="preserve">1.12</w:t>
            </w:r>
          </w:p>
        </w:tc>
        <w:tc>
          <w:tcPr/>
          <w:p>
            <w:pPr>
              <w:pStyle w:val="Compact"/>
              <w:jc w:val="right"/>
            </w:pPr>
            <w:r>
              <w:t xml:space="preserve">1.010</w:t>
            </w:r>
          </w:p>
        </w:tc>
        <w:tc>
          <w:tcPr/>
          <w:p>
            <w:pPr>
              <w:pStyle w:val="Compact"/>
              <w:jc w:val="right"/>
            </w:pPr>
            <w:r>
              <w:t xml:space="preserve">6.20</w:t>
            </w:r>
          </w:p>
        </w:tc>
        <w:tc>
          <w:tcPr/>
          <w:p>
            <w:pPr>
              <w:pStyle w:val="Compact"/>
              <w:jc w:val="right"/>
            </w:pPr>
            <w:r>
              <w:t xml:space="preserve">2.61e6</w:t>
            </w:r>
          </w:p>
        </w:tc>
        <w:tc>
          <w:tcPr/>
          <w:p>
            <w:pPr>
              <w:pStyle w:val="Compact"/>
              <w:jc w:val="right"/>
            </w:pPr>
            <w:r>
              <w:t xml:space="preserve">6.67e-3</w:t>
            </w:r>
          </w:p>
        </w:tc>
        <w:tc>
          <w:tcPr/>
          <w:p>
            <w:pPr>
              <w:pStyle w:val="Compact"/>
              <w:jc w:val="right"/>
            </w:pPr>
            <w:r>
              <w:t xml:space="preserve">3.592</w:t>
            </w:r>
          </w:p>
        </w:tc>
      </w:tr>
      <w:tr>
        <w:tc>
          <w:tcPr/>
          <w:p>
            <w:pPr>
              <w:pStyle w:val="Compact"/>
              <w:jc w:val="right"/>
            </w:pPr>
            <w:r>
              <w:t xml:space="preserve">65.326</w:t>
            </w:r>
          </w:p>
        </w:tc>
        <w:tc>
          <w:tcPr/>
          <w:p>
            <w:pPr>
              <w:pStyle w:val="Compact"/>
              <w:jc w:val="right"/>
            </w:pPr>
            <w:r>
              <w:t xml:space="preserve">43.77</w:t>
            </w:r>
          </w:p>
        </w:tc>
        <w:tc>
          <w:tcPr/>
          <w:p>
            <w:pPr>
              <w:pStyle w:val="Compact"/>
              <w:jc w:val="right"/>
            </w:pPr>
            <w:r>
              <w:t xml:space="preserve">4.94</w:t>
            </w:r>
          </w:p>
        </w:tc>
        <w:tc>
          <w:tcPr/>
          <w:p>
            <w:pPr>
              <w:pStyle w:val="Compact"/>
              <w:jc w:val="right"/>
            </w:pPr>
            <w:r>
              <w:t xml:space="preserve">1.22</w:t>
            </w:r>
          </w:p>
        </w:tc>
        <w:tc>
          <w:tcPr/>
          <w:p>
            <w:pPr>
              <w:pStyle w:val="Compact"/>
              <w:jc w:val="right"/>
            </w:pPr>
            <w:r>
              <w:t xml:space="preserve">1.290</w:t>
            </w:r>
          </w:p>
        </w:tc>
        <w:tc>
          <w:tcPr/>
          <w:p>
            <w:pPr>
              <w:pStyle w:val="Compact"/>
              <w:jc w:val="right"/>
            </w:pPr>
            <w:r>
              <w:t xml:space="preserve">6.23</w:t>
            </w:r>
          </w:p>
        </w:tc>
        <w:tc>
          <w:tcPr/>
          <w:p>
            <w:pPr>
              <w:pStyle w:val="Compact"/>
              <w:jc w:val="right"/>
            </w:pPr>
            <w:r>
              <w:t xml:space="preserve">3.44e6</w:t>
            </w:r>
          </w:p>
        </w:tc>
        <w:tc>
          <w:tcPr/>
          <w:p>
            <w:pPr>
              <w:pStyle w:val="Compact"/>
              <w:jc w:val="right"/>
            </w:pPr>
            <w:r>
              <w:t xml:space="preserve">7.15e-3</w:t>
            </w:r>
          </w:p>
        </w:tc>
        <w:tc>
          <w:tcPr/>
          <w:p>
            <w:pPr>
              <w:pStyle w:val="Compact"/>
              <w:jc w:val="right"/>
            </w:pPr>
            <w:r>
              <w:t xml:space="preserve">3.597</w:t>
            </w:r>
          </w:p>
        </w:tc>
      </w:tr>
      <w:tr>
        <w:tc>
          <w:tcPr/>
          <w:p>
            <w:pPr>
              <w:pStyle w:val="Compact"/>
              <w:jc w:val="right"/>
            </w:pPr>
            <w:r>
              <w:t xml:space="preserve">75.777</w:t>
            </w:r>
          </w:p>
        </w:tc>
        <w:tc>
          <w:tcPr/>
          <w:p>
            <w:pPr>
              <w:pStyle w:val="Compact"/>
              <w:jc w:val="right"/>
            </w:pPr>
            <w:r>
              <w:t xml:space="preserve">43.75</w:t>
            </w:r>
          </w:p>
        </w:tc>
        <w:tc>
          <w:tcPr/>
          <w:p>
            <w:pPr>
              <w:pStyle w:val="Compact"/>
              <w:jc w:val="right"/>
            </w:pPr>
            <w:r>
              <w:t xml:space="preserve">8.33</w:t>
            </w:r>
          </w:p>
        </w:tc>
        <w:tc>
          <w:tcPr/>
          <w:p>
            <w:pPr>
              <w:pStyle w:val="Compact"/>
              <w:jc w:val="right"/>
            </w:pPr>
            <w:r>
              <w:t xml:space="preserve">1.32</w:t>
            </w:r>
          </w:p>
        </w:tc>
        <w:tc>
          <w:tcPr/>
          <w:p>
            <w:pPr>
              <w:pStyle w:val="Compact"/>
              <w:jc w:val="right"/>
            </w:pPr>
            <w:r>
              <w:t xml:space="preserve">1.644</w:t>
            </w:r>
          </w:p>
        </w:tc>
        <w:tc>
          <w:tcPr/>
          <w:p>
            <w:pPr>
              <w:pStyle w:val="Compact"/>
              <w:jc w:val="right"/>
            </w:pPr>
            <w:r>
              <w:t xml:space="preserve">9.98</w:t>
            </w:r>
          </w:p>
        </w:tc>
        <w:tc>
          <w:tcPr/>
          <w:p>
            <w:pPr>
              <w:pStyle w:val="Compact"/>
              <w:jc w:val="right"/>
            </w:pPr>
            <w:r>
              <w:t xml:space="preserve">1.40e6</w:t>
            </w:r>
          </w:p>
        </w:tc>
        <w:tc>
          <w:tcPr/>
          <w:p>
            <w:pPr>
              <w:pStyle w:val="Compact"/>
              <w:jc w:val="right"/>
            </w:pPr>
            <w:r>
              <w:t xml:space="preserve">7.85e-3</w:t>
            </w:r>
          </w:p>
        </w:tc>
        <w:tc>
          <w:tcPr/>
          <w:p>
            <w:pPr>
              <w:pStyle w:val="Compact"/>
              <w:jc w:val="right"/>
            </w:pPr>
            <w:r>
              <w:t xml:space="preserve">3.601</w:t>
            </w:r>
          </w:p>
        </w:tc>
      </w:tr>
      <w:tr>
        <w:tc>
          <w:tcPr/>
          <w:p>
            <w:pPr>
              <w:pStyle w:val="Compact"/>
              <w:jc w:val="right"/>
            </w:pPr>
            <w:r>
              <w:t xml:space="preserve">96.527</w:t>
            </w:r>
          </w:p>
        </w:tc>
        <w:tc>
          <w:tcPr/>
          <w:p>
            <w:pPr>
              <w:pStyle w:val="Compact"/>
              <w:jc w:val="right"/>
            </w:pPr>
            <w:r>
              <w:t xml:space="preserve">43.73</w:t>
            </w:r>
          </w:p>
        </w:tc>
        <w:tc>
          <w:tcPr/>
          <w:p>
            <w:pPr>
              <w:pStyle w:val="Compact"/>
              <w:jc w:val="right"/>
            </w:pPr>
            <w:r>
              <w:t xml:space="preserve">10.74</w:t>
            </w:r>
          </w:p>
        </w:tc>
        <w:tc>
          <w:tcPr/>
          <w:p>
            <w:pPr>
              <w:pStyle w:val="Compact"/>
              <w:jc w:val="right"/>
            </w:pPr>
            <w:r>
              <w:t xml:space="preserve">1.49</w:t>
            </w:r>
          </w:p>
        </w:tc>
        <w:tc>
          <w:tcPr/>
          <w:p>
            <w:pPr>
              <w:pStyle w:val="Compact"/>
              <w:jc w:val="right"/>
            </w:pPr>
            <w:r>
              <w:t xml:space="preserve">2.646</w:t>
            </w:r>
          </w:p>
        </w:tc>
        <w:tc>
          <w:tcPr/>
          <w:p>
            <w:pPr>
              <w:pStyle w:val="Compact"/>
              <w:jc w:val="right"/>
            </w:pPr>
            <w:r>
              <w:t xml:space="preserve">13.38</w:t>
            </w:r>
          </w:p>
        </w:tc>
        <w:tc>
          <w:tcPr/>
          <w:p>
            <w:pPr>
              <w:pStyle w:val="Compact"/>
              <w:jc w:val="right"/>
            </w:pPr>
            <w:r>
              <w:t xml:space="preserve">1.08e6</w:t>
            </w:r>
          </w:p>
        </w:tc>
        <w:tc>
          <w:tcPr/>
          <w:p>
            <w:pPr>
              <w:pStyle w:val="Compact"/>
              <w:jc w:val="right"/>
            </w:pPr>
            <w:r>
              <w:t xml:space="preserve">9.91e-3</w:t>
            </w:r>
          </w:p>
        </w:tc>
        <w:tc>
          <w:tcPr/>
          <w:p>
            <w:pPr>
              <w:pStyle w:val="Compact"/>
              <w:jc w:val="right"/>
            </w:pPr>
            <w:r>
              <w:t xml:space="preserve">3.605</w:t>
            </w:r>
          </w:p>
        </w:tc>
      </w:tr>
      <w:tr>
        <w:tc>
          <w:tcPr/>
          <w:p>
            <w:pPr>
              <w:pStyle w:val="Compact"/>
              <w:jc w:val="right"/>
            </w:pPr>
            <w:r>
              <w:t xml:space="preserve">106.922</w:t>
            </w:r>
          </w:p>
        </w:tc>
        <w:tc>
          <w:tcPr/>
          <w:p>
            <w:pPr>
              <w:pStyle w:val="Compact"/>
              <w:jc w:val="right"/>
            </w:pPr>
            <w:r>
              <w:t xml:space="preserve">43.81</w:t>
            </w:r>
          </w:p>
        </w:tc>
        <w:tc>
          <w:tcPr/>
          <w:p>
            <w:pPr>
              <w:pStyle w:val="Compact"/>
              <w:jc w:val="right"/>
            </w:pPr>
            <w:r>
              <w:t xml:space="preserve">19.37</w:t>
            </w:r>
          </w:p>
        </w:tc>
        <w:tc>
          <w:tcPr/>
          <w:p>
            <w:pPr>
              <w:pStyle w:val="Compact"/>
              <w:jc w:val="right"/>
            </w:pPr>
            <w:r>
              <w:t xml:space="preserve">1.56</w:t>
            </w:r>
          </w:p>
        </w:tc>
        <w:tc>
          <w:tcPr/>
          <w:p>
            <w:pPr>
              <w:pStyle w:val="Compact"/>
              <w:jc w:val="right"/>
            </w:pPr>
            <w:r>
              <w:t xml:space="preserve">2.752</w:t>
            </w:r>
          </w:p>
        </w:tc>
        <w:tc>
          <w:tcPr/>
          <w:p>
            <w:pPr>
              <w:pStyle w:val="Compact"/>
              <w:jc w:val="right"/>
            </w:pPr>
            <w:r>
              <w:t xml:space="preserve">22.12</w:t>
            </w:r>
          </w:p>
        </w:tc>
        <w:tc>
          <w:tcPr/>
          <w:p>
            <w:pPr>
              <w:pStyle w:val="Compact"/>
              <w:jc w:val="right"/>
            </w:pPr>
            <w:r>
              <w:t xml:space="preserve">3.66e5</w:t>
            </w:r>
          </w:p>
        </w:tc>
        <w:tc>
          <w:tcPr/>
          <w:p>
            <w:pPr>
              <w:pStyle w:val="Compact"/>
              <w:jc w:val="right"/>
            </w:pPr>
            <w:r>
              <w:t xml:space="preserve">9.33e-3</w:t>
            </w:r>
          </w:p>
        </w:tc>
        <w:tc>
          <w:tcPr/>
          <w:p>
            <w:pPr>
              <w:pStyle w:val="Compact"/>
              <w:jc w:val="right"/>
            </w:pPr>
            <w:r>
              <w:t xml:space="preserve">3.587</w:t>
            </w:r>
          </w:p>
        </w:tc>
      </w:tr>
    </w:tbl>
    <w:p>
      <w:pPr>
        <w:pStyle w:val="BodyText"/>
      </w:pPr>
      <w:r>
        <w:rPr>
          <w:rFonts w:hint="eastAsia"/>
        </w:rPr>
        <w:t xml:space="preserve">注:</w:t>
      </w:r>
      <w:r>
        <w:t xml:space="preserve"> </w:t>
      </w:r>
      <w:r>
        <w:rPr>
          <w:rFonts w:hint="eastAsia"/>
        </w:rPr>
        <w:t xml:space="preserve">表は本文で用いた算出結果（主要出力）を再掲したものである．ここに示す</w:t>
      </w:r>
      <w:r>
        <w:t xml:space="preserve"> </w:t>
      </w:r>
      <m:oMath>
        <m:r>
          <m:t>σ</m:t>
        </m:r>
      </m:oMath>
      <w:r>
        <w:t xml:space="preserve"> </w:t>
      </w:r>
      <w:r>
        <w:rPr>
          <w:rFonts w:hint="eastAsia"/>
        </w:rPr>
        <w:t xml:space="preserve">は実効導電率</w:t>
      </w:r>
      <w:r>
        <w:t xml:space="preserve"> </w:t>
      </w:r>
      <m:oMath>
        <m:sSub>
          <m:e>
            <m:r>
              <m:t>σ</m:t>
            </m:r>
          </m:e>
          <m:sub>
            <m:r>
              <m:rPr>
                <m:sty m:val="p"/>
              </m:rPr>
              <m:t>e</m:t>
            </m:r>
            <m:r>
              <m:rPr>
                <m:sty m:val="p"/>
              </m:rPr>
              <m:t>f</m:t>
            </m:r>
            <m:r>
              <m:rPr>
                <m:sty m:val="p"/>
              </m:rPr>
              <m:t>f</m:t>
            </m:r>
          </m:sub>
        </m:sSub>
      </m:oMath>
      <w:r>
        <w:rPr>
          <w:rFonts w:hint="eastAsia"/>
        </w:rPr>
        <w:t xml:space="preserve">（S/m）である．</w:t>
      </w:r>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70" Target="media/rId70.png" /><Relationship Type="http://schemas.openxmlformats.org/officeDocument/2006/relationships/image" Id="rId60" Target="media/rId60.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BCDRを用いた基板の誘電損失と表面粗さによる 電気伝導性の測定 Measurement of Substrate Dielectric Loss and Surface-Roughness-Induced Effective Conductivity Using a Balanced-Type Circular-Disk Resonator (BCDR)</dc:title>
  <dc:creator>長野工業高等専門学校 電気電子工学科　栁原 魁人 （指導教員 春日 貴志）</dc:creator>
  <cp:keywords/>
  <dcterms:created xsi:type="dcterms:W3CDTF">2026-02-06T05:53:46Z</dcterms:created>
  <dcterms:modified xsi:type="dcterms:W3CDTF">2026-02-06T05:53:46Z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人工知能（AI）やクラウドコンピューティング，第5世代移動通信システム（5G）の普及により，データセンターおよびバックボーンネットワークにおける伝送帯域は年率40%以上で増大している．第6世代移動通信システム（6G）では100 GHz帯を超えるミリ波・サブテラヘルツ帯の利用が想定されており，この周波数域ではプリント基板における信号減衰が伝送品質を左右する主要因となる．信号減衰は誘電体内部のエネルギー散逸に起因する誘電損失と，配線導体でのジュール熱に起因する導体損失の総和で決定されるが，従来の測定手法では誘電体の評価が主眼に置かれ，導体表面粗さ（Surface Roughness）が表皮効果と相互作用して高周波抵抗を増大させる現象については定量的評価が不十分であった．本研究では，TM_{0m0}モードを利用した平衡形円板共振器法（BCDR）を用い，低損失基板材料MEGTRON6の複素誘電率および実効導電率を10 GHz–67 GHz（本文解析範囲；測定有効点は最大65.3 GHz）において評価した．測定の結果，平均比誘電率は\varepsilon_r' \approx 3.59で周波数依存性は小さい一方，実効導電率\sigma_{\mathrm{eff}}(f)は周波数上昇に伴って1–2桁低下することが明らかとなった（例：12.7 GHzで 2.41 × 107 S m−1，23.3 GHzで 8.23 × 106 S m−1，65.3 GHzで 3.44 × 106 S m−1）．本文の結論は67 GHz以下の測定帯域に基づく．測定は複数日にわたり合計20回実施し，本文で示す各データ点および図は20回の測定の平均値である．</vt:lpwstr>
  </property>
  <property fmtid="{D5CDD505-2E9C-101B-9397-08002B2CF9AE}" pid="3" name="bibliography">
    <vt:lpwstr/>
  </property>
  <property fmtid="{D5CDD505-2E9C-101B-9397-08002B2CF9AE}" pid="4" name="date">
    <vt:lpwstr>2026-02-06</vt:lpwstr>
  </property>
</Properties>
</file>