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6E" w:val="clear"/>
            <w:tcMar>
              <w:top w:type="dxa" w:w="300"/>
              <w:left w:type="dxa" w:w="360"/>
              <w:bottom w:type="dxa" w:w="30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ЧТО ОБЯЗАТЕЛЬНО НА САЙТЕ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8D4F0"/>
                <w:sz w:val="24"/>
                <w:szCs w:val="24"/>
              </w:rPr>
              <w:t xml:space="preserve">Чеклист для дизайнера · Тильда · Школа танцев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Документ для внутреннего использования. Красный «!» = юридически обязательный элемент. Серый «☐» = важная рекомендация. Всё это нужно проверить перед публикацией сайта.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А. ЮРИДИЧЕСКИЕ ОБЯЗАТЕЛЬНЫЕ ЭЛЕМЕНТЫ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0392B" w:sz="6"/>
              <w:left w:val="single" w:color="C0392B" w:sz="12"/>
              <w:bottom w:val="single" w:color="CCCCCC" w:sz="1"/>
              <w:right w:val="single" w:color="CCCCCC" w:sz="1"/>
            </w:tcBorders>
            <w:shd w:fill="FD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КРИТИЧНО</w:t>
            </w:r>
          </w:p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Без этих элементов сайт не соответствует российскому законодательству. Штрафы от 15 000 до 100 000 ₽.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Политика конфиденциальности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546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4"/>
                <w:szCs w:val="24"/>
              </w:rPr>
              <w:t xml:space="preserve">!</w:t>
            </w:r>
          </w:p>
        </w:tc>
        <w:tc>
          <w:tcPr>
            <w:tcW w:type="dxa" w:w="8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Страница «Политика конфиденциальности» создана на сайте (отдельная страница)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546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4"/>
                <w:szCs w:val="24"/>
              </w:rPr>
              <w:t xml:space="preserve">!</w:t>
            </w:r>
          </w:p>
        </w:tc>
        <w:tc>
          <w:tcPr>
            <w:tcW w:type="dxa" w:w="8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В политике заполнены данные оператора: ФИО, ИНН, ОГРНИП (если ИП), адрес, email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546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4"/>
                <w:szCs w:val="24"/>
              </w:rPr>
              <w:t xml:space="preserve">!</w:t>
            </w:r>
          </w:p>
        </w:tc>
        <w:tc>
          <w:tcPr>
            <w:tcW w:type="dxa" w:w="8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Указаны сайты, на которых собираются данные (ссылки на сайт)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546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4"/>
                <w:szCs w:val="24"/>
              </w:rPr>
              <w:t xml:space="preserve">!</w:t>
            </w:r>
          </w:p>
        </w:tc>
        <w:tc>
          <w:tcPr>
            <w:tcW w:type="dxa" w:w="8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Указан срок хранения данных и способ отзыва согласия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546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4"/>
                <w:szCs w:val="24"/>
              </w:rPr>
              <w:t xml:space="preserve">!</w:t>
            </w:r>
          </w:p>
        </w:tc>
        <w:tc>
          <w:tcPr>
            <w:tcW w:type="dxa" w:w="8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Политика доступна по прямой ссылке (не спрятана)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Согласие на обработку данных — под КАЖДОЙ формой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546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4"/>
                <w:szCs w:val="24"/>
              </w:rPr>
              <w:t xml:space="preserve">!</w:t>
            </w:r>
          </w:p>
        </w:tc>
        <w:tc>
          <w:tcPr>
            <w:tcW w:type="dxa" w:w="8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Под формой записи на пробный урок — чекбокс с текстом: «Я даю согласие на обработку персональных данных»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546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4"/>
                <w:szCs w:val="24"/>
              </w:rPr>
              <w:t xml:space="preserve">!</w:t>
            </w:r>
          </w:p>
        </w:tc>
        <w:tc>
          <w:tcPr>
            <w:tcW w:type="dxa" w:w="8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Слово «персональных данных» — активная гиперссылка на страницу Политики конфиденциальности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546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4"/>
                <w:szCs w:val="24"/>
              </w:rPr>
              <w:t xml:space="preserve">!</w:t>
            </w:r>
          </w:p>
        </w:tc>
        <w:tc>
          <w:tcPr>
            <w:tcW w:type="dxa" w:w="8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Чекбокс НЕ предустановлен (галочка не стоит по умолчанию)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546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4"/>
                <w:szCs w:val="24"/>
              </w:rPr>
              <w:t xml:space="preserve">!</w:t>
            </w:r>
          </w:p>
        </w:tc>
        <w:tc>
          <w:tcPr>
            <w:tcW w:type="dxa" w:w="8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Та же конструкция под формой обратного звонка / заявки (если есть отдельные формы)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Оферта или договор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546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4"/>
                <w:szCs w:val="24"/>
              </w:rPr>
              <w:t xml:space="preserve">!</w:t>
            </w:r>
          </w:p>
        </w:tc>
        <w:tc>
          <w:tcPr>
            <w:tcW w:type="dxa" w:w="8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На сайте размещена публичная оферта (отдельная страница) — если не подписываете договор вручную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546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4"/>
                <w:szCs w:val="24"/>
              </w:rPr>
              <w:t xml:space="preserve">!</w:t>
            </w:r>
          </w:p>
        </w:tc>
        <w:tc>
          <w:tcPr>
            <w:tcW w:type="dxa" w:w="8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Под кнопкой оплаты / кнопкой «Записаться» — ссылка: «Нажимая кнопку, вы принимаете условия оферты»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Реквизиты в футере сайта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546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4"/>
                <w:szCs w:val="24"/>
              </w:rPr>
              <w:t xml:space="preserve">!</w:t>
            </w:r>
          </w:p>
        </w:tc>
        <w:tc>
          <w:tcPr>
            <w:tcW w:type="dxa" w:w="8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В футере указаны: ФИО (или название ИП), ИНН, ОГРНИП (если ИП)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546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4"/>
                <w:szCs w:val="24"/>
              </w:rPr>
              <w:t xml:space="preserve">!</w:t>
            </w:r>
          </w:p>
        </w:tc>
        <w:tc>
          <w:tcPr>
            <w:tcW w:type="dxa" w:w="8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Контактный email и телефон в футере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546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4"/>
                <w:szCs w:val="24"/>
              </w:rPr>
              <w:t xml:space="preserve">!</w:t>
            </w:r>
          </w:p>
        </w:tc>
        <w:tc>
          <w:tcPr>
            <w:tcW w:type="dxa" w:w="8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Ссылки на Политику конфиденциальности и Оферту в футере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Б. ФУНКЦИОНАЛЬНЫЕ ТРЕБОВАНИЯ</w:t>
      </w:r>
    </w:p>
    <w:p>
      <w:pPr>
        <w:spacing w:after="8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Формы на сайте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546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4"/>
                <w:szCs w:val="24"/>
              </w:rPr>
              <w:t xml:space="preserve">☐</w:t>
            </w:r>
          </w:p>
        </w:tc>
        <w:tc>
          <w:tcPr>
            <w:tcW w:type="dxa" w:w="8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Форма записи на пробный урок работает и отправляет уведомление заказчику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546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4"/>
                <w:szCs w:val="24"/>
              </w:rPr>
              <w:t xml:space="preserve">☐</w:t>
            </w:r>
          </w:p>
        </w:tc>
        <w:tc>
          <w:tcPr>
            <w:tcW w:type="dxa" w:w="8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Поле «Имя» и «Телефон» — обязательные, email — опциональный (только то, что реально нужно)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546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4"/>
                <w:szCs w:val="24"/>
              </w:rPr>
              <w:t xml:space="preserve">☐</w:t>
            </w:r>
          </w:p>
        </w:tc>
        <w:tc>
          <w:tcPr>
            <w:tcW w:type="dxa" w:w="8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После отправки формы — сообщение пользователю: «Спасибо! Мы свяжемся с вами в течение...»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546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4"/>
                <w:szCs w:val="24"/>
              </w:rPr>
              <w:t xml:space="preserve">☐</w:t>
            </w:r>
          </w:p>
        </w:tc>
        <w:tc>
          <w:tcPr>
            <w:tcW w:type="dxa" w:w="8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Настроена отправка данных формы на email заказчика (через Tilda или Zapier)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Контактные данные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546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4"/>
                <w:szCs w:val="24"/>
              </w:rPr>
              <w:t xml:space="preserve">☐</w:t>
            </w:r>
          </w:p>
        </w:tc>
        <w:tc>
          <w:tcPr>
            <w:tcW w:type="dxa" w:w="8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Телефон — кликабелен (ссылка tel:)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546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4"/>
                <w:szCs w:val="24"/>
              </w:rPr>
              <w:t xml:space="preserve">☐</w:t>
            </w:r>
          </w:p>
        </w:tc>
        <w:tc>
          <w:tcPr>
            <w:tcW w:type="dxa" w:w="8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WhatsApp / Telegram — ссылки открываются в нужном мессенджере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546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4"/>
                <w:szCs w:val="24"/>
              </w:rPr>
              <w:t xml:space="preserve">☐</w:t>
            </w:r>
          </w:p>
        </w:tc>
        <w:tc>
          <w:tcPr>
            <w:tcW w:type="dxa" w:w="8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Адрес студии — со ссылкой на Яндекс Карты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546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4"/>
                <w:szCs w:val="24"/>
              </w:rPr>
              <w:t xml:space="preserve">☐</w:t>
            </w:r>
          </w:p>
        </w:tc>
        <w:tc>
          <w:tcPr>
            <w:tcW w:type="dxa" w:w="8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Карта встроена на страницу «Контакты»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222222"/>
          <w:sz w:val="22"/>
          <w:szCs w:val="22"/>
        </w:rPr>
        <w:t xml:space="preserve">Мобильная версия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546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4"/>
                <w:szCs w:val="24"/>
              </w:rPr>
              <w:t xml:space="preserve">☐</w:t>
            </w:r>
          </w:p>
        </w:tc>
        <w:tc>
          <w:tcPr>
            <w:tcW w:type="dxa" w:w="8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Все блоки корректно отображаются на iPhone SE (375px) и стандартных Android экранах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546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4"/>
                <w:szCs w:val="24"/>
              </w:rPr>
              <w:t xml:space="preserve">☐</w:t>
            </w:r>
          </w:p>
        </w:tc>
        <w:tc>
          <w:tcPr>
            <w:tcW w:type="dxa" w:w="8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Шрифты читаемы на мобильном (не мельче 14px)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546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4"/>
                <w:szCs w:val="24"/>
              </w:rPr>
              <w:t xml:space="preserve">☐</w:t>
            </w:r>
          </w:p>
        </w:tc>
        <w:tc>
          <w:tcPr>
            <w:tcW w:type="dxa" w:w="8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Кнопки достаточно крупные для нажатия пальцем (минимум 44px в высоту)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546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4"/>
                <w:szCs w:val="24"/>
              </w:rPr>
              <w:t xml:space="preserve">☐</w:t>
            </w:r>
          </w:p>
        </w:tc>
        <w:tc>
          <w:tcPr>
            <w:tcW w:type="dxa" w:w="8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Меню работает на мобильном (бургер-меню или аналог)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В. SEO И ТЕХНИЧЕСКИЕ НАСТРОЙКИ В ТИЛЬДЕ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546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4"/>
                <w:szCs w:val="24"/>
              </w:rPr>
              <w:t xml:space="preserve">☐</w:t>
            </w:r>
          </w:p>
        </w:tc>
        <w:tc>
          <w:tcPr>
            <w:tcW w:type="dxa" w:w="8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Настроен Title и Description для главной страницы (Настройки сайта → SEO)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546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4"/>
                <w:szCs w:val="24"/>
              </w:rPr>
              <w:t xml:space="preserve">☐</w:t>
            </w:r>
          </w:p>
        </w:tc>
        <w:tc>
          <w:tcPr>
            <w:tcW w:type="dxa" w:w="8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У всех изображений заполнен Alt-текст на русском языке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546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4"/>
                <w:szCs w:val="24"/>
              </w:rPr>
              <w:t xml:space="preserve">☐</w:t>
            </w:r>
          </w:p>
        </w:tc>
        <w:tc>
          <w:tcPr>
            <w:tcW w:type="dxa" w:w="8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Подключён счётчик Яндекс.Метрика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546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4"/>
                <w:szCs w:val="24"/>
              </w:rPr>
              <w:t xml:space="preserve">☐</w:t>
            </w:r>
          </w:p>
        </w:tc>
        <w:tc>
          <w:tcPr>
            <w:tcW w:type="dxa" w:w="8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Настроен robots.txt (Тильда делает автоматически, но проверить)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546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4"/>
                <w:szCs w:val="24"/>
              </w:rPr>
              <w:t xml:space="preserve">☐</w:t>
            </w:r>
          </w:p>
        </w:tc>
        <w:tc>
          <w:tcPr>
            <w:tcW w:type="dxa" w:w="8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Сайт подключён через HTTPS (SSL-сертификат)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546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4"/>
                <w:szCs w:val="24"/>
              </w:rPr>
              <w:t xml:space="preserve">☐</w:t>
            </w:r>
          </w:p>
        </w:tc>
        <w:tc>
          <w:tcPr>
            <w:tcW w:type="dxa" w:w="8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Фавикон (иконка вкладки) установлен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546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4"/>
                <w:szCs w:val="24"/>
              </w:rPr>
              <w:t xml:space="preserve">☐</w:t>
            </w:r>
          </w:p>
        </w:tc>
        <w:tc>
          <w:tcPr>
            <w:tcW w:type="dxa" w:w="8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OG-изображение для соцсетей настроено (для красивого превью при шеринге)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4" w:space="4"/>
        </w:pBdr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Г. ФИНАЛЬНАЯ ПРОВЕРКА ПЕРЕД ПУБЛИКАЦИЕЙ</w:t>
      </w:r>
    </w:p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546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4"/>
                <w:szCs w:val="24"/>
              </w:rPr>
              <w:t xml:space="preserve">☐</w:t>
            </w:r>
          </w:p>
        </w:tc>
        <w:tc>
          <w:tcPr>
            <w:tcW w:type="dxa" w:w="8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Все тексты проверены на опечатки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546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4"/>
                <w:szCs w:val="24"/>
              </w:rPr>
              <w:t xml:space="preserve">☐</w:t>
            </w:r>
          </w:p>
        </w:tc>
        <w:tc>
          <w:tcPr>
            <w:tcW w:type="dxa" w:w="8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Цены актуальные и совпадают с тем, что говорит заказчик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546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4"/>
                <w:szCs w:val="24"/>
              </w:rPr>
              <w:t xml:space="preserve">☐</w:t>
            </w:r>
          </w:p>
        </w:tc>
        <w:tc>
          <w:tcPr>
            <w:tcW w:type="dxa" w:w="8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Все ссылки рабочие (нет битых ссылок)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546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4"/>
                <w:szCs w:val="24"/>
              </w:rPr>
              <w:t xml:space="preserve">!</w:t>
            </w:r>
          </w:p>
        </w:tc>
        <w:tc>
          <w:tcPr>
            <w:tcW w:type="dxa" w:w="8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Политика конфиденциальности заполнена реальными данными заказчика (не шаблонные [плейсхолдеры])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546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4"/>
                <w:szCs w:val="24"/>
              </w:rPr>
              <w:t xml:space="preserve">!</w:t>
            </w:r>
          </w:p>
        </w:tc>
        <w:tc>
          <w:tcPr>
            <w:tcW w:type="dxa" w:w="8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Оферта заполнена реальными данными и услугами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546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4"/>
                <w:szCs w:val="24"/>
              </w:rPr>
              <w:t xml:space="preserve">!</w:t>
            </w:r>
          </w:p>
        </w:tc>
        <w:tc>
          <w:tcPr>
            <w:tcW w:type="dxa" w:w="8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Чекбоксы под формами работают (можно поставить/снять галочку)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546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4"/>
                <w:szCs w:val="24"/>
              </w:rPr>
              <w:t xml:space="preserve">☐</w:t>
            </w:r>
          </w:p>
        </w:tc>
        <w:tc>
          <w:tcPr>
            <w:tcW w:type="dxa" w:w="8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Протестирована отправка формы — данные приходят заказчику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8546"/>
      </w:tblGrid>
      <w:t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E75B6"/>
                <w:sz w:val="24"/>
                <w:szCs w:val="24"/>
              </w:rPr>
              <w:t xml:space="preserve">☐</w:t>
            </w:r>
          </w:p>
        </w:tc>
        <w:tc>
          <w:tcPr>
            <w:tcW w:type="dxa" w:w="85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Заказчик подтвердил все тексты и цены перед публикацией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0FB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6E"/>
                <w:sz w:val="22"/>
                <w:szCs w:val="22"/>
              </w:rPr>
              <w:t xml:space="preserve">ПРИМЕЧАНИЕ О ДОКУМЕНТАХ ЗАКАЗЧИКА</w:t>
            </w:r>
          </w:p>
          <w:p>
            <w:pPr>
              <w:spacing w:after="80" w:before="8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У заказчика должны быть готовы и заполнены реальными данными следующие документы:</w:t>
            </w:r>
          </w:p>
          <w:p>
            <w:pPr>
              <w:spacing w:after="80" w:before="8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• Политика конфиденциальности (шаблон предоставлен)</w:t>
            </w:r>
          </w:p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• Согласие на обработку персональных данных (шаблон предоставлен)</w:t>
            </w:r>
          </w:p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• Согласие на рассылку (шаблон предоставлен, только если планируется рассылка)</w:t>
            </w:r>
          </w:p>
          <w:p>
            <w:r>
              <w:rPr>
                <w:rFonts w:ascii="Arial" w:cs="Arial" w:eastAsia="Arial" w:hAnsi="Arial"/>
                <w:color w:val="222222"/>
                <w:sz w:val="22"/>
                <w:szCs w:val="22"/>
              </w:rPr>
              <w:t xml:space="preserve">• Публичная оферта или шаблон договора (шаблон предоставлен)</w:t>
            </w:r>
          </w:p>
          <w:p>
            <w:pPr>
              <w:spacing w:after="80" w:before="8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C0392B"/>
                <w:sz w:val="22"/>
                <w:szCs w:val="22"/>
              </w:rPr>
              <w:t xml:space="preserve">Все шаблоны нужно заполнить данными заказчика ПЕРЕД публикацией сайта.</w:t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2026-04-04T13:29:50.172Z</dcterms:created>
  <dcterms:modified xsi:type="dcterms:W3CDTF">2026-04-04T13:29:50.172Z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