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и архитектору по T01.1</w:t>
      </w:r>
    </w:p>
    <w:p>
      <w:r>
        <w:t>Избранные маршруты • TRANSPORT-45585 • к модели данных версии 1.7 от 12 октября 2026 года</w:t>
      </w:r>
    </w:p>
    <w:p>
      <w:r>
        <w:t>В списке только открытые вопросы: каждому соответствует пометка согласования в тексте модели. Решённые вопросы в список не включаются, они зафиксированы в журнале решений. По каждому вопросу приведено предлагаемое решение - достаточно подтвердить его или назвать другое.</w:t>
      </w:r>
    </w:p>
    <w:p/>
    <w:p>
      <w:pPr>
        <w:pStyle w:val="Heading1"/>
      </w:pPr>
      <w:r>
        <w:t>Часть 1. Заказчику</w:t>
      </w:r>
    </w:p>
    <w:p>
      <w:r>
        <w:rPr>
          <w:b/>
        </w:rPr>
        <w:t>1. Можно ли изменять даты у действующего маршрута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У маршрута, срок действия которого ещё не истёк, период задаётся при создании и дальше не изменяется. Подтвердите это правило или разрешите изменение дат.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 спрашиваем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Бизнес-требования (§8.3 и §12) говорят, что корректировка маршрута доступна по всем полям, а период действия - одно из полей записи.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Если изменение разрешено, изменение дат возвращается в перечень оснований для повторной проверки дубля. Пересечение периодов остаётся критерием дубля в любом случае.</w:t>
            </w:r>
          </w:p>
        </w:tc>
      </w:tr>
    </w:tbl>
    <w:p/>
    <w:p>
      <w:r>
        <w:rPr>
          <w:b/>
        </w:rPr>
        <w:t>2. Можно ли продлевать истёкший маршрут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Истёкший маршрут не продлевается: запись доступна только для чтения, запрос на изменение даты окончания отклоняется. Подтвердите это правило или разрешите продление.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 спрашиваем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Вопрос задавался на встрече 30.09 и остался без ответа. Запрет восстановления деактивированного маршрута заказчик подтвердил 24.09, но продление истёкшего - отдельное решение.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От ответа зависит, остаётся ли истёкшая запись только для чтения или её можно вернуть в работу продлением периода. Это решение независимо от вопроса 1: даты действующего маршрута и продление истёкшего могут регулироваться по-разному.</w:t>
            </w:r>
          </w:p>
        </w:tc>
      </w:tr>
    </w:tbl>
    <w:p/>
    <w:p>
      <w:r>
        <w:rPr>
          <w:b/>
        </w:rPr>
        <w:t>3. Переход на другой договор при смене прайса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При загрузке нового прайса прежний тариф отключается, и маршрут ищет тариф-преемник. Допустимо ли, чтобы преемник относился к другому договору, или искать его можно только в рамках прежнего договора?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 спрашиваем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Это бизнес-решение: технический алгоритм поиска архитектор определяет уже после него.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критериев поиска тарифа-преемника и доступность маршрута после смены прайса.</w:t>
            </w:r>
          </w:p>
        </w:tc>
      </w:tr>
    </w:tbl>
    <w:p/>
    <w:p>
      <w:r>
        <w:rPr>
          <w:b/>
        </w:rPr>
        <w:t>4. Рекомендуемая цена в отчётности: два разных отчёта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Рекомендуемая стоимость пересчитывается при редактировании маршрута, поэтому в записи лежит последнее рассчитанное значение, а прежние доступны по истории. Укажите источник значения отдельно для двух случаев: для реестра поездок (отчётность по заявкам) и для выгрузки самого справочника маршрутов. Возможные источники: текущая запись, первоначальная версия маршрута, версия маршрута, указанная в заявке.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 спрашиваем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Назначение «ориентир при создании и снимок для отчётности» подтверждено, но после решения о пересчёте источник стал неоднозначным, и для двух отчётов он может быть разным.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Контракт отчётности. На состав полей модели не влияет: все три значения доступны - текущее из записи, прежние из истории.</w:t>
            </w:r>
          </w:p>
        </w:tc>
      </w:tr>
    </w:tbl>
    <w:p/>
    <w:p>
      <w:pPr>
        <w:pStyle w:val="Heading1"/>
      </w:pPr>
      <w:r>
        <w:t>Часть 2. Архитектору</w:t>
      </w:r>
    </w:p>
    <w:p>
      <w:pPr>
        <w:pStyle w:val="Heading2"/>
      </w:pPr>
      <w:r>
        <w:t>Модель данных и ограничения</w:t>
      </w:r>
    </w:p>
    <w:p>
      <w:r>
        <w:rPr>
          <w:b/>
        </w:rPr>
        <w:t>1. Точность, диапазоны и округление числовых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total_km - numeric(7,3), километры; travel_time и total_time - numeric(6,1), минуты; recommended_cost и fixed_cost - int4, копейки. Значение вне диапазона отклоняется.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Округление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Half-up. Момент округления: время в пути получается делением миллисекунд на 60 000 с округлением до 0,1 минуты; полное время округляется один раз после суммирования времени в пути и ожиданий, а не по каждому слагаемому; расстояние округляется до 0,001 км.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На встрече 08.10 подтверждены только тип jsonb, тип int8 и единица планового ожидания. Точность, диапазоны и правила округления остаются проектными.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Типы колонок в DDL и правила округления в описании расчётных полей.</w:t>
            </w:r>
          </w:p>
        </w:tc>
      </w:tr>
    </w:tbl>
    <w:p/>
    <w:p>
      <w:r>
        <w:rPr>
          <w:b/>
        </w:rPr>
        <w:t>2. Обязательность страны у первой точки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У первой точки обязательны страна и непустой регион; у остальных точек адресные части необязательны, координаты обязательны везде.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Сомнение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Страна в поиске геозоны не используется - сервис геозон её не принимает. Допустим и вариант не требовать страну нигде, подставляя пустую строку при вызове расчёта.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Колонка обязательности в таблице полей, комментарий к waypoints в DDL и подпись на ER-диаграмме.</w:t>
            </w:r>
          </w:p>
        </w:tc>
      </w:tr>
    </w:tbl>
    <w:p/>
    <w:p>
      <w:r>
        <w:rPr>
          <w:b/>
        </w:rPr>
        <w:t>3. Состав точки маршрута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Адрес точки хранится по значению, без идентификатора адреса, как в заявке. Поля building и structure трактуются по адресному контракту: building - корпус, structure - строение. Район (district) в состав точки не входит и в поиск геозоны не передаётся.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Проверка на стенде 12.10: района нет ни в ответе адресного сервиса, ни в запросе построения маршрута; заявка его в поиск зоны не передаёт.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элемента waypoints и правила сопоставления полей при передаче в заявку.</w:t>
            </w:r>
          </w:p>
        </w:tc>
      </w:tr>
    </w:tbl>
    <w:p/>
    <w:p>
      <w:r>
        <w:rPr>
          <w:b/>
        </w:rPr>
        <w:t>4. Ключ дубля route_key и прикладная проверка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Поле route_key типа varchar(64) - хеш SHA-256 от организации, точек по порядку, вида транспорта, класса услуги и ночного признака; по нему неуникальный индекс. Правило дубля проверяет приложение под транзакционной блокировкой по этому ключу: ограничением базы данных правило не выражается, потому что зависит от текущей даты.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подтвердить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Само поле, его тип, неуникальный индекс и протокол блокировки: состав кандидатов, исключения, перечень изменений, требующих проверки, порядок взятия блокировок.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полей, DDL и требования к реализации сервиса.</w:t>
            </w:r>
          </w:p>
        </w:tc>
      </w:tr>
    </w:tbl>
    <w:p/>
    <w:p>
      <w:r>
        <w:rPr>
          <w:b/>
        </w:rPr>
        <w:t>5. Снимок привязки к тарифу и матрица его обновления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 записи хранятся tariff_id, tariff_number, tariff_contract_id и tariff_department_id. Снимок заполняется при создании и при импорте, обновляется при изменении параметров, влияющих на выбор тарифа, и при перепривязке; при обычном сохранении не обновляется.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 нужен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Чтение тарифа по идентификатору даёт его текущее состояние: при правке карточки тарифа договор и подразделение перезаписываются под прежним идентификатором.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полей и правила их обновления.</w:t>
            </w:r>
          </w:p>
        </w:tc>
      </w:tr>
    </w:tbl>
    <w:p/>
    <w:p>
      <w:r>
        <w:rPr>
          <w:b/>
        </w:rPr>
        <w:t>6. Поиск тарифа-преемника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Критерии делятся на сохранённые и вычисляемые. Сохранённые берутся из снимка: организация, договор, подразделение, вид транспорта, класс услуги и - для такси - ночной признак. Территория в сохранённые критерии не входит: ветка геозон определяется заново от первой точки, преемник берётся на том уровне ветки, где найден, и уровень может отличаться от исходного.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решить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Приоритет общего тарифа организации над тарифом подразделения.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Зависимость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Допустимость перехода на другой договор - бизнес-решение, вынесено заказчику (часть 1, вопрос 3). Алгоритм определяется после ответа.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Алгоритм доступности маршрута после смены прайса.</w:t>
            </w:r>
          </w:p>
        </w:tc>
      </w:tr>
    </w:tbl>
    <w:p/>
    <w:p>
      <w:r>
        <w:rPr>
          <w:b/>
        </w:rPr>
        <w:t>7. Привязка к автомобилю и снимок его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Автомобиль хранится в transport_id - идентификатор в сервисе перевозчиков, без внешнего ключа; данные для отображения - в transport_info (номер, марка, модель). Снимок пишется при установке и смене transport_id и далее не обновляется. Для остальных классов оба поля пусты, это закреплено проверкой в базе.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решить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Имя поля и тип ссылки, а также как отличать отсутствие необязательных данных для отображения от невозможности проверить автомобиль при сбое сервиса перевозчиков.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полей, проверка chk_transport_by_class и поведение при сбое зависимости.</w:t>
            </w:r>
          </w:p>
        </w:tc>
      </w:tr>
    </w:tbl>
    <w:p/>
    <w:p>
      <w:r>
        <w:rPr>
          <w:b/>
        </w:rPr>
        <w:t>8. Источник данных организации для нового сервиса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Контекст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Числовой код организации digitId кодируется в номере маршрута и хранится в служебной таблице счётчика. В токене доступа ни организации, ни digitId нет, поэтому значение берётся из локальной копии организации - принято решение о полной локальной цепочке с подпиской на топики, как у остальных сервисов платформы. Соответствие «XXXX - это digitId, а не organizationCode» зафиксировано и к согласованию не выносится.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решить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Контракты сообщений топиков организаций, подразделений и сотрудников: можно ли переиспользовать готовые описания соседних сервисов. Способ начальной загрузки и проверки полноты данных. Поведение API, пока данные ещё не доехали: предлагается отказ с отдельным кодом и без подстановки значений по умолчанию. Обработка увольнений и деактиваций сотрудников.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Объём работ сервиса и поведение при неготовности данных. Это новая работа, в прежней оценке её нет.</w:t>
            </w:r>
          </w:p>
        </w:tc>
      </w:tr>
    </w:tbl>
    <w:p/>
    <w:p>
      <w:pPr>
        <w:pStyle w:val="Heading2"/>
      </w:pPr>
      <w:r>
        <w:t>Сроки действия и тарифы</w:t>
      </w:r>
    </w:p>
    <w:p>
      <w:r>
        <w:rPr>
          <w:b/>
        </w:rPr>
        <w:t>9. Как определяется истечение срока действия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Истечение определяется по valid_to при чтении: признак активности при этом не меняется, фоновый перевод записи не выполняется.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Расхождение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Бизнес-требования (§8.4) говорят, что по истечении периода маршрут переводится в неактивное состояние; на встрече 24.09 подтверждено, что удалённый и истёкший маршруты отличаются только причиной деактивации. Наше понимание: «неактивный» означает «не показывается в списке выбора», и это достигается вычислением по valid_to без фоновой задачи - требование выполняется, расходится только способ.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Нужна ли фоновая задача и меняется ли is_active при истечении.</w:t>
            </w:r>
          </w:p>
        </w:tc>
      </w:tr>
    </w:tbl>
    <w:p/>
    <w:p>
      <w:r>
        <w:rPr>
          <w:b/>
        </w:rPr>
        <w:t>10. Часовой пояс границ периода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Границы периода трактуются в часовом поясе региона первой точки, последний день включается целиком, датой заказа считается местная дата поездки.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Правило сравнения дат при проверке доступности маршрута.</w:t>
            </w:r>
          </w:p>
        </w:tc>
      </w:tr>
    </w:tbl>
    <w:p/>
    <w:p>
      <w:r>
        <w:rPr>
          <w:b/>
        </w:rPr>
        <w:t>11. Проверка срока договора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Доступность проверяется по трём условиям: тариф активен, договор активен и срок договора покрывает нужную дату. Прямая проверка дат выполнима - договоры отдаются с датами начала и окончания.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Срок договора платформа проверяет фоновой задачей, поэтому флаг договора может отставать от фактического срока.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Правило доступности маршрута на дату.</w:t>
            </w:r>
          </w:p>
        </w:tc>
      </w:tr>
    </w:tbl>
    <w:p/>
    <w:p>
      <w:r>
        <w:rPr>
          <w:b/>
        </w:rPr>
        <w:t>12. Как обеспечить расчёт рекомендуемой цены без коэффициентов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Надбавки за время суток и день недели в рекомендуемую цену не входят - подтверждено заказчиком. Способ выполнения не определён.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Чего не хватает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Отключить временные коэффициенты платформа не позволяет: расчёт всегда умножает цену на коэффициент полосы по дате и времени. Расчёт на условную дату снимает надбавки выходного дня и вечера, но коэффициент выбранной полосы - дневной или ночной - остаётся, и если в тарифе он отличается от единицы, требование не выполняется.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Как обеспечить цену без коэффициента полосы: делить результат на коэффициент, запрашивать базовую ставку отдельно, просить доработку расчёта или признать коэффициент допустимым. Сам выбор условной даты для такси (ближайший будний день, 12:00; для ночного тарифа 23:00; часовой пояс региона первой точки) при этом остаётся в силе.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Для трансфера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Первоначальный расчёт выполняется на дату создания маршрута, пересчёт при редактировании - на текущую дату сохранения. Подтвердите оба момента.</w:t>
            </w:r>
          </w:p>
        </w:tc>
      </w:tr>
    </w:tbl>
    <w:p/>
    <w:p>
      <w:pPr>
        <w:pStyle w:val="Heading2"/>
      </w:pPr>
      <w:r>
        <w:t>Ошибки и внешние сервисы</w:t>
      </w:r>
    </w:p>
    <w:p>
      <w:r>
        <w:rPr>
          <w:b/>
        </w:rPr>
        <w:t>13. Правило обработки ошибок сервиса geo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установлено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Ответ 417 не различает «объект не найден» и сбой провайдера: признака причины в теле нет. Поиск адреса строкой: «не найдено» приходит как успешный ответ с пустым списком, поэтому 417 на этом вызове указывает на сбой. Обратное геокодирование по координатам: 417 может означать «объект не найден», но не позволяет исключить сбой провайдера - на стенде 12.10 получен такой ответ для точки без строений.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Поиск строкой: пустой список - отказ по данным, 417 - сбой зависимости. Обратное геокодирование: пока причины не различаются, 502 по умолчанию не отдаётся. Таймаут - 504. Пустой результат подсказок при вводе адреса ошибкой не является.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решить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Итоговое поведение API для 417 на обратном геокодировании остаётся открытым, пока причины неразличимы. Отдельно: просить ли владельца сервиса geo публиковать код причины в теле ответа - код у сервиса уже есть и используется для выбора уровня журналирования, но наружу не отдаётся.</w:t>
            </w:r>
          </w:p>
        </w:tc>
      </w:tr>
    </w:tbl>
    <w:p/>
    <w:p>
      <w:r>
        <w:rPr>
          <w:b/>
        </w:rPr>
        <w:t>14. Машинный код причины в теле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Проблема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 общем формате тела ошибки нет поля для бизнес-кода: есть время, путь, сущность, сообщение и перечень ошибок по полям. При этом один статус несёт несколько разных причин - например, статус 409 используется для дубля, конфликта версии и запрета изменения записи. Различать их по тексту сообщения ненадёжно.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Добавить поле кода в общую библиотеку; изменение обратно совместимое, но совместимость с заполненным полем нужно проверить у потребителей. До появления поля - временная мера: код в начале сообщения в оговорённом виде, с явной пометкой, что это временно.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решить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Расширять общую библиотеку или вводить собственный формат ответа сервиса. Вопрос адресован также владельцу общей библиотеки.</w:t>
            </w:r>
          </w:p>
        </w:tc>
      </w:tr>
    </w:tbl>
    <w:p/>
    <w:p>
      <w:r>
        <w:rPr>
          <w:b/>
        </w:rPr>
        <w:t>15. Обратное геокодирование и сохранение при неудаче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Адрес, выбранный из справочника, обратно не геокодировать; обратный вызов нужен только при ручном вводе координат. Результат проверять по расстоянию до найденного объекта и по региону.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Условия сохранения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Сохранение возможно, если выполнены все условия: у первой точки заполнены обязательные поля, у каждой точки есть координаты, расчёт маршрута выполнен и расчёт стоимости по тарифу выполнен. Отсутствие объекта по координатам сохранению не препятствует - адресные части вводит пользователь. Сбой сервиса geo - другой случай: при нём расчёт маршрута невыполним, поэтому сохранение не выполняется.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задать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Величину радиуса поиска и порог расхождения. Обратное геокодирование ищет только здания, поэтому для склада, площадки или точки на трассе пустой ответ - штатный исход.</w:t>
            </w:r>
          </w:p>
        </w:tc>
      </w:tr>
    </w:tbl>
    <w:p/>
    <w:p>
      <w:pPr>
        <w:pStyle w:val="Heading2"/>
      </w:pPr>
      <w:r>
        <w:t>Прочее</w:t>
      </w:r>
    </w:p>
    <w:p>
      <w:r>
        <w:rPr>
          <w:b/>
        </w:rPr>
        <w:t>16. История изменений: представление значений и сохранение без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История ведётся по схеме «одна строка - одно изменённое поле», значения хранятся текстом. Сохранение без фактических изменений не увеличивает версию записи, не меняет поля аудита и не создаёт записей истории. Штатная библиотека аудита журнала HTTP-действий историю значений не заменяет.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подтвердить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Правила текстового представления значений и способ реализации правила о сохранении без изменений: сравнение бизнес-полей на стороне сервиса до записи.</w:t>
            </w:r>
          </w:p>
        </w:tc>
      </w:tr>
    </w:tbl>
    <w:p/>
    <w:p>
      <w:r>
        <w:rPr>
          <w:b/>
        </w:rPr>
        <w:t>17. Состав схемы и DDL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Схема содержит favorite_route, favorite_route_history, служебный счётчик номера company_sq и служебные таблицы библиотеки проверки прав urls и roles. DDL в документе - черновик создания схемы, не готовая миграция.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подтвердить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схемы целиком и то, что служебные таблицы заводятся в схеме сервиса.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Не проверено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Выполнение скрипта в PostgreSQL: синтаксис выверен чтением, запуск на СУБД не выполнялся.</w:t>
            </w:r>
          </w:p>
        </w:tc>
      </w:tr>
    </w:tbl>
    <w:p/>
    <w:p>
      <w:pPr>
        <w:pStyle w:val="Heading1"/>
      </w:pPr>
      <w:r>
        <w:t>Часть 3. Интеграторам</w:t>
      </w:r>
    </w:p>
    <w:p>
      <w:r>
        <w:rPr>
          <w:b/>
        </w:rPr>
        <w:t>1. Какие данные адреса нужны диспетчерской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Сейчас в сообщение очереди уходит адрес одной строкой, структурированного адреса нет. Какие данные адреса нужны диспетчерской и нужно ли передавать название точки из избранного маршрута.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полей точки, которые должны быть заполнены обязательно, и контракт передачи адреса в заявку.</w:t>
            </w:r>
          </w:p>
        </w:tc>
      </w:tr>
    </w:tbl>
    <w:p/>
    <w:p>
      <w:pPr>
        <w:pStyle w:val="Heading1"/>
      </w:pPr>
      <w:r>
        <w:t>Очерёдность ответов</w:t>
      </w:r>
    </w:p>
    <w:p>
      <w:r>
        <w:t>Вопросы заказчику 1 и 2 нужны первыми: от них зависят формулировки в нескольких местах модели и перечень оснований для повторной проверки дубля. Вопрос заказчику 3 нужен раньше вопроса архитектору 6: алгоритм поиска тарифа-преемника определяется после бизнес-решения о договоре. Вопрос заказчику 4 нужен к моменту проектирования отчётности.</w:t>
      </w:r>
    </w:p>
    <w:p>
      <w:r>
        <w:t>Вопросы архитектору 1-8 нужны до утверждения модели: они определяют состав полей, типы, ограничения и источник данных организации.</w:t>
      </w:r>
    </w:p>
    <w:p>
      <w:r>
        <w:t>Вопросы 9-12 нужны до реализации логики доступности маршрута и расчёта стоимости - откладывать их нельзя, иначе логика будет написана по непроверенным допущениям.</w:t>
      </w:r>
    </w:p>
    <w:p>
      <w:r>
        <w:t>Вопросы 13-15 нужны до фиксации контракта API в задаче T01.2.</w:t>
      </w:r>
    </w:p>
    <w:p>
      <w:r>
        <w:t>Вопрос 16 нужен до реализации истории изменений, вопрос 17 - до подготовки миграции.</w:t>
      </w:r>
    </w:p>
    <w:p>
      <w:r>
        <w:t>Вопрос интеграторам нужен до фиксации контракта передачи адреса в заявку: он затрагивает состав обязательных полей точки.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