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и архитектору по T01.1</w:t>
      </w:r>
    </w:p>
    <w:p>
      <w:r>
        <w:t>Избранные маршруты • TRANSPORT-45585 • к модели данных версии 1.6 от 12 октября 2026 года</w:t>
      </w:r>
    </w:p>
    <w:p>
      <w:r>
        <w:t>В списке только открытые вопросы: каждому соответствует пометка согласования в тексте модели. Решённые вопросы в список не включаются, они зафиксированы в журнале решений. По каждому пункту приведено предлагаемое решение - достаточно подтвердить его или назвать другое.</w:t>
      </w:r>
    </w:p>
    <w:p/>
    <w:p>
      <w:pPr>
        <w:pStyle w:val="Heading1"/>
      </w:pPr>
      <w:r>
        <w:t>Часть 1. Заказчику</w:t>
      </w:r>
    </w:p>
    <w:p>
      <w:r>
        <w:rPr>
          <w:b/>
        </w:rPr>
        <w:t>1. Срок действия маршрута: можно ли его редактировать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Период действия маршрута задаётся при создании и дальше не изменяется - ни у активной записи, ни у истёкшей. Истёкший маршрут не продлевается. Подтвердите, пожалуйста, это правило.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Бизнес-требования (§8.3 и §12) говорят, что корректировка маршрута доступна по всем полям, а период - одно из полей записи. Вопрос о непродлении истёкшего маршрута задавался на встрече 30.09 и остался без ответа.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Если редактирование периода разрешено, изменение дат возвращается в перечень оснований для повторной проверки дубля, а правило «только для чтения» остаётся лишь для деактивированных и истёкших записей. Пересечение периодов остаётся критерием дубля в любом случае.</w:t>
            </w:r>
          </w:p>
        </w:tc>
      </w:tr>
    </w:tbl>
    <w:p/>
    <w:p>
      <w:r>
        <w:rPr>
          <w:b/>
        </w:rPr>
        <w:t>2. Номер маршрута: что означает XXXX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Номер имеет вид FR-XXXX-XXXXXXXX, где XXXX - числовой код организации digitId (13 превращается в 0013). Подтвердите, что это digitId, а не organizationCode.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От этого зависит источник значения для счётчика номеров и связь служебной таблицы с организацией.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При другом ответе меняется правило формирования номера и источник числового кода.</w:t>
            </w:r>
          </w:p>
        </w:tc>
      </w:tr>
    </w:tbl>
    <w:p/>
    <w:p>
      <w:r>
        <w:rPr>
          <w:b/>
        </w:rPr>
        <w:t>3. Рекомендуемая цена в реестрах: из какой версии маршрута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Рекомендуемая стоимость пересчитывается при редактировании маршрута, поэтому в записи лежит последнее рассчитанное значение, а прежние доступны по истории. Из какого источника реестры и выгрузки должны брать цену: из текущей записи, из первоначальной версии или из той версии маршрута, которая указана в заявке.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спрашиваем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Назначение «ориентир при создании и снимок для реестров» подтверждено, но после решения о пересчёте источник значения для отчётности стал неоднозначным.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Ответ определяет контракт отчётности; на состав полей модели он не влияет.</w:t>
            </w:r>
          </w:p>
        </w:tc>
      </w:tr>
    </w:tbl>
    <w:p/>
    <w:p>
      <w:pPr>
        <w:pStyle w:val="Heading1"/>
      </w:pPr>
      <w:r>
        <w:t>Часть 2. Архитектору</w:t>
      </w:r>
    </w:p>
    <w:p>
      <w:pPr>
        <w:pStyle w:val="Heading2"/>
      </w:pPr>
      <w:r>
        <w:t>Модель данных и ограничения</w:t>
      </w:r>
    </w:p>
    <w:p>
      <w:r>
        <w:rPr>
          <w:b/>
        </w:rPr>
        <w:t>1. Точность и диапазоны числовых полей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total_km - numeric(7,3), километры; travel_time и total_time - numeric(6,1), минуты; recommended_cost и fixed_cost - int4, копейки. Значение вне диапазона отклоняется.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Статус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На встрече 08.10 подтверждены только тип jsonb, тип int8 и единица планового ожидания. Точность и диапазоны остаются проектными.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Типы колонок в DDL и правила округления в описании расчётных полей.</w:t>
            </w:r>
          </w:p>
        </w:tc>
      </w:tr>
    </w:tbl>
    <w:p/>
    <w:p>
      <w:r>
        <w:rPr>
          <w:b/>
        </w:rPr>
        <w:t>2. Обязательность страны у первой 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У первой точки обязательны страна и непустой регион; у остальных точек адресные части необязательны, координаты обязательны везде.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Сомнение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Страна в поиске геозоны не используется - сервис геозон её не принимает. Допустим и вариант не требовать страну нигде, подставляя пустую строку при вызове расчёта.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Колонка обязательности в таблице полей, комментарий к waypoints в DDL и подпись на ER-диаграмме.</w:t>
            </w:r>
          </w:p>
        </w:tc>
      </w:tr>
    </w:tbl>
    <w:p/>
    <w:p>
      <w:r>
        <w:rPr>
          <w:b/>
        </w:rPr>
        <w:t>3. Состав точки маршрута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Адрес точки хранится по значению, без идентификатора адреса, как в заявке. Поля building и structure трактуются по адресному контракту: building - корпус, structure - строение. Район (district) в состав точки не входит и в поиск геозоны не передаётся.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Проверка на стенде 12.10: района нет ни в ответе адресного сервиса, ни в запросе построения маршрута; заявка его в поиск зоны не передаёт.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элемента waypoints и правила сопоставления полей при передаче в заявку.</w:t>
            </w:r>
          </w:p>
        </w:tc>
      </w:tr>
    </w:tbl>
    <w:p/>
    <w:p>
      <w:r>
        <w:rPr>
          <w:b/>
        </w:rPr>
        <w:t>4. Ключ дубля route_key и прикладная проверка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Поле route_key типа varchar(64) - хеш SHA-256 от организации, точек по порядку, вида транспорта, класса услуги и ночного признака; по нему неуникальный индекс. Правило дубля проверяет приложение под транзакционной блокировкой по этому ключу: ограничением базы данных правило не выражается, потому что зависит от текущей даты.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подтвердить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Само поле, его тип, неуникальный индекс и протокол блокировки: состав кандидатов, исключения, перечень изменений, требующих проверки, порядок взятия блокировок.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полей, DDL и требования к реализации сервиса.</w:t>
            </w:r>
          </w:p>
        </w:tc>
      </w:tr>
    </w:tbl>
    <w:p/>
    <w:p>
      <w:r>
        <w:rPr>
          <w:b/>
        </w:rPr>
        <w:t>5. Снимок привязки к тарифу и матрица его обновления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 записи хранятся tariff_id, tariff_number, tariff_contract_id и tariff_department_id. Снимок заполняется при создании и при импорте, обновляется при изменении параметров, влияющих на выбор тарифа, и при перепривязке; при обычном сохранении не обновляется.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 нужен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Чтение тарифа по идентификатору даёт его текущее состояние: при правке карточки тарифа договор и подразделение перезаписываются под прежним идентификатором.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 и правила их обновления.</w:t>
            </w:r>
          </w:p>
        </w:tc>
      </w:tr>
    </w:tbl>
    <w:p/>
    <w:p>
      <w:r>
        <w:rPr>
          <w:b/>
        </w:rPr>
        <w:t>6. Поиск тарифа-преемника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Критерии делятся на сохранённые и вычисляемые. Сохранённые берутся из снимка: организация, договор, подразделение, вид транспорта, класс услуги и - для такси - ночной признак. Территория в сохранённые критерии не входит: ветка геозон определяется заново от первой точки, преемник берётся на том уровне ветки, где найден, и уровень может отличаться от исходного.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 дополнительно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Приоритет общего тарифа организации над тарифом подразделения и допустим ли переход на другой договор.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Алгоритм доступности маршрута после смены прайса.</w:t>
            </w:r>
          </w:p>
        </w:tc>
      </w:tr>
    </w:tbl>
    <w:p/>
    <w:p>
      <w:r>
        <w:rPr>
          <w:b/>
        </w:rPr>
        <w:t>7. Привязка к автомобилю и снимок его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Автомобиль хранится в transport_id - идентификатор в сервисе перевозчиков, без внешнего ключа; данные для отображения - в transport_info (номер, марка, модель). Снимок пишется при установке и смене transport_id и далее не обновляется. Для остальных классов оба поля пусты, это закреплено проверкой в базе.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Имя поля и тип ссылки, а также как отличать отсутствие необязательных данных для отображения от невозможности проверить автомобиль при сбое сервиса перевозчиков.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полей, проверка chk_transport_by_class и поведение при сбое зависимости.</w:t>
            </w:r>
          </w:p>
        </w:tc>
      </w:tr>
    </w:tbl>
    <w:p/>
    <w:p>
      <w:pPr>
        <w:pStyle w:val="Heading2"/>
      </w:pPr>
      <w:r>
        <w:t>Сроки действия и тарифы</w:t>
      </w:r>
    </w:p>
    <w:p>
      <w:r>
        <w:rPr>
          <w:b/>
        </w:rPr>
        <w:t>8. Как определяется истечение срока действия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Истечение определяется по valid_to при чтении: признак активности при этом не меняется, фоновый перевод записи не выполняется.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Расхождение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Бизнес-требования (§8.4) говорят, что по истечении периода маршрут переводится в неактивное состояние; на встрече 24.09 подтверждено, что удалённый и истёкший маршруты отличаются только причиной деактивации. Наше понимание: «неактивный» означает «не показывается в списке выбора», и это достигается вычислением по valid_to без фоновой задачи - требование выполняется, расходится только способ.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Нужна ли фоновая задача и меняется ли is_active при истечении.</w:t>
            </w:r>
          </w:p>
        </w:tc>
      </w:tr>
    </w:tbl>
    <w:p/>
    <w:p>
      <w:r>
        <w:rPr>
          <w:b/>
        </w:rPr>
        <w:t>9. Часовой пояс границ периода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Границы периода трактуются в часовом поясе региона первой точки, последний день включается целиком, датой заказа считается местная дата поездки.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Правило сравнения дат при проверке доступности маршрута.</w:t>
            </w:r>
          </w:p>
        </w:tc>
      </w:tr>
    </w:tbl>
    <w:p/>
    <w:p>
      <w:r>
        <w:rPr>
          <w:b/>
        </w:rPr>
        <w:t>10. Проверка срока договора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Доступность проверяется по трём условиям: тариф активен, договор активен и срок договора покрывает нужную дату. Прямая проверка дат выполнима - договоры отдаются с датами начала и окончания.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Срок договора платформа проверяет фоновой задачей, поэтому флаг договора может отставать от фактического срока.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Правило доступности маршрута на дату.</w:t>
            </w:r>
          </w:p>
        </w:tc>
      </w:tr>
    </w:tbl>
    <w:p/>
    <w:p>
      <w:r>
        <w:rPr>
          <w:b/>
        </w:rPr>
        <w:t>11. Расчёт рекомендуемой цены без временных надбавок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Для такси расчёт на условную дату, при которой не срабатывают надбавки выходного дня и вечера: ближайший будний день, 12:00; для ночного тарифа 23:00; часовой пояс региона первой точки. Для группового трансфера - дата создания маршрута.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Почему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Отключить временные коэффициенты платформа не позволяет: расчёт всегда умножает цену на коэффициент полосы по дате и времени.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Способ выполнения подтверждённого требования о цене без надбавок.</w:t>
            </w:r>
          </w:p>
        </w:tc>
      </w:tr>
    </w:tbl>
    <w:p/>
    <w:p>
      <w:pPr>
        <w:pStyle w:val="Heading2"/>
      </w:pPr>
      <w:r>
        <w:t>Ошибки и внешние сервисы</w:t>
      </w:r>
    </w:p>
    <w:p>
      <w:r>
        <w:rPr>
          <w:b/>
        </w:rPr>
        <w:t>12. Правило обработки ошибок сервиса geo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Правило задаётся по вызовам. Поиск адреса строкой: «не найдено» приходит как успешный ответ с пустым списком, поэтому ответ 417 на этом вызове означает сбой и отдаётся как 502. Обратное геокодирование по координатам: ответ 417 штатно означает «объект не найден», поэтому 502 по умолчанию на нём не отдаётся. Таймаут - 504. Пустой результат подсказок при вводе адреса ошибкой не является.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Основание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Проверено кодом и на стенде 12.10. Само преобразование статусов - проектное решение нового API: из кода следует только неоднозначность ответа 417.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Просить ли владельца сервиса geo публиковать код причины в теле ответа - код у сервиса уже есть и используется для выбора уровня журналирования, но наружу не отдаётся.</w:t>
            </w:r>
          </w:p>
        </w:tc>
      </w:tr>
    </w:tbl>
    <w:p/>
    <w:p>
      <w:r>
        <w:rPr>
          <w:b/>
        </w:rPr>
        <w:t>13. Машинный код причины в теле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Проблема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 общем формате тела ошибки нет поля для бизнес-кода: есть время, путь, сущность, сообщение и перечень ошибок по полям. При этом один статус несёт несколько разных причин - например, статус 409 используется для дубля, конфликта версии и запрета изменения записи. Различать их по тексту сообщения ненадёжно.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Добавить поле кода в общую библиотеку; изменение обратно совместимое, но совместимость с заполненным полем нужно проверить у потребителей. До появления поля - временная мера: код в начале сообщения в оговорённом виде, с явной пометкой, что это временно.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решить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Расширять общую библиотеку или вводить собственный формат ответа сервиса. Вопрос адресован также владельцу общей библиотеки.</w:t>
            </w:r>
          </w:p>
        </w:tc>
      </w:tr>
    </w:tbl>
    <w:p/>
    <w:p>
      <w:r>
        <w:rPr>
          <w:b/>
        </w:rPr>
        <w:t>14. Обратное геокодирование при ручном вводе координат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Адрес, выбранный из справочника, обратно не геокодировать; обратный вызов нужен только при ручном вводе координат. Результат проверять по расстоянию до найденного объекта и по региону. При неудаче разрешать сохранение по координатам и введённым пользователем адресным частям.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задать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Величину радиуса поиска и порог расхождения. Обратное геокодирование ищет только здания, поэтому для склада, площадки или точки на трассе ответ может быть пустым.</w:t>
            </w:r>
          </w:p>
        </w:tc>
      </w:tr>
    </w:tbl>
    <w:p/>
    <w:p>
      <w:pPr>
        <w:pStyle w:val="Heading2"/>
      </w:pPr>
      <w:r>
        <w:t>Прочее</w:t>
      </w:r>
    </w:p>
    <w:p>
      <w:r>
        <w:rPr>
          <w:b/>
        </w:rPr>
        <w:t>15. История изменений: представление значений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История ведётся по схеме «одна строка - одно изменённое поле», значения хранятся текстом. Штатная библиотека аудита журнала HTTP-действий историю значений не заменяет.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подтвердить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Правила текстового представления значений и поведение при сохранении без изменений.</w:t>
            </w:r>
          </w:p>
        </w:tc>
      </w:tr>
    </w:tbl>
    <w:p/>
    <w:p>
      <w:r>
        <w:rPr>
          <w:b/>
        </w:rPr>
        <w:t>16. Состав схемы и DDL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Предлагаем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Схема содержит favorite_route, favorite_route_history, служебный счётчик номера company_sq и служебные таблицы библиотеки проверки прав urls и roles. DDL в документе - черновик создания схемы, не готовая миграция.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Нужно подтвердить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схемы целиком и то, что служебные таблицы заводятся в схеме сервиса.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Не проверено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Выполнение скрипта в PostgreSQL: синтаксис выверен чтением, запуск на СУБД не выполнялся.</w:t>
            </w:r>
          </w:p>
        </w:tc>
      </w:tr>
    </w:tbl>
    <w:p/>
    <w:p>
      <w:pPr>
        <w:pStyle w:val="Heading1"/>
      </w:pPr>
      <w:r>
        <w:t>Часть 3. Интеграторам</w:t>
      </w:r>
    </w:p>
    <w:p>
      <w:r>
        <w:rPr>
          <w:b/>
        </w:rPr>
        <w:t>1. Какие данные адреса нужны диспетчерской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Сейчас в сообщение очереди уходит адрес одной строкой, структурированного адреса нет. Какие данные адреса нужны диспетчерской и нужно ли передавать название точки из избранного маршрута.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Что изменится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Состав полей точки, которые должны быть заполнены обязательно.</w:t>
            </w:r>
          </w:p>
        </w:tc>
      </w:tr>
    </w:tbl>
    <w:p/>
    <w:p>
      <w:pPr>
        <w:pStyle w:val="Heading1"/>
      </w:pPr>
      <w:r>
        <w:t>Очерёдность ответов</w:t>
      </w:r>
    </w:p>
    <w:p>
      <w:r>
        <w:t>Первым нужен ответ заказчика по сроку действия маршрута (часть 1, вопрос 1): от него зависят правило редактирования, перечень оснований для повторной проверки дубля и формулировки в четырёх местах документа.</w:t>
      </w:r>
    </w:p>
    <w:p>
      <w:r>
        <w:t>Затем ответы архитектора по модели данных - вопросы 1-7 части 2: они определяют состав полей, типы и ограничения, то есть содержание самой модели.</w:t>
      </w:r>
    </w:p>
    <w:p>
      <w:r>
        <w:t>Вопросы 8-11 влияют на правила доступности маршрута и могут решаться параллельно с реализацией.</w:t>
      </w:r>
    </w:p>
    <w:p>
      <w:r>
        <w:t>Вопросы 12-14 относятся к контракту API и внешним сервисам: они нужны задаче T01.2, но модель данных не меняют.</w:t>
      </w:r>
    </w:p>
    <w:p>
      <w:r>
        <w:t>Вопросы 15-16 и вопрос интеграторам можно закрыть последними.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