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вопрос архитектору 19 (T01.2/T04.1).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7).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Правило «по весу контракта» поэтому недетерминировано, и рекомендуемая цена маршрута может не совпасть с ценой, которую получит пассажир при обычном заказе (вопросы архитектору 1, заказчику 14).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Поэтому поиск tariffId по параметрам требует цепочки зон и отбора на стороне сервиса маршрутов (вопрос архитектору 2).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значения по умолчанию - вопросы архитектору 2, заказчику 16.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проверка на стенде (вопрос архитектору 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Какой tariffId подставляется в заявку при заказе по маршруту —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вопрос архитектору 6 (T04.1)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Открыто: выбор тарифа и договора при нескольких тарифах одного класса (вопросы архитектору 1, заказчику 14); способ поиска tariffId (вопрос архитектору 2); роли для POST search и списка тарифов (вопрос архитектору 3); фильтр списка по должности сотрудника (вопросы архитектору 5, заказчику 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17 (T01.2)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вопрос заказчику 13.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8)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D07, вопрос архитектору 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вопрос архитектору 11 (штатный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Детали совместной проверки периодов маршрута и тарифа - вопросы архитектору 4 и заказчику 8.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 обсуждаются в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