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rPr>
          <w:color w:val="C00000"/>
        </w:rPr>
        <w:t>T01.1 • TRANSPORT-45585 • Версия 1.6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4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Имя поля закреплено и используется в контракте API.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безопасна. При пересчёте во время редактирования используется дата пересчёта - текущая на момент сохранения. Для такси дата расчёта определяется отдельно, чтобы не срабатывали временные надбавки.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не заполняется никогда - к сервису перевозчиков по ним обращения нет; это закреплено проверкой chk_transport_by_class, которая требует пустых transport_id и transport_info.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color w:val="C00000"/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 и подразделение перезаписываются под прежним идентификатором, поэтому исходные параметры привязки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rPr>
          <w:color w:val="C00000"/>
        </w:rP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 (route_key она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на стенде он не возвращается ни в ответе адресного сервиса, ни в запросе построения маршрута, для определения территории тарифа он не обязателен, и заявка его в поиск зоны не передаёт.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rPr>
          <w:color w:val="C00000"/>
        </w:rPr>
        <w:t>Пустое необязательное поле точки в waypoints не записывается: ключ опускается, null не записывается.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Для street и house пустую строку подставляет сам резолвер территории.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