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 xml:space="preserve">Версия от 09.10.2026 (двадцать </w:t>
      </w:r>
      <w:r>
        <w:rPr>
          <w:color w:val="C00000"/>
        </w:rPr>
        <w:t>третья</w:t>
      </w:r>
      <w:r>
        <w:t xml:space="preserve">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w:t>
      </w:r>
      <w:r>
        <w:rPr>
          <w:color w:val="C00000"/>
        </w:rPr>
        <w:t>второй</w:t>
      </w:r>
      <w:r>
        <w:t xml:space="preserve"> редакцией в </w:t>
      </w:r>
      <w:r>
        <w:rPr>
          <w:color w:val="C00000"/>
        </w:rPr>
        <w:t>приложении исправлено правило цены класса TRANSFER_CAR_CHOICE: занятость автомобиля создание маршрута не блокирует.</w:t>
      </w:r>
      <w:r>
        <w:t xml:space="preserve">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Pr>
                <w:color w:val="C00000"/>
              </w:rPr>
            </w:r>
            <w:r>
              <w:rPr>
                <w:b/>
                <w:color w:val="C00000"/>
              </w:rPr>
              <w:t>Тема (откуда вопрос)</w:t>
            </w:r>
          </w:p>
        </w:tc>
        <w:tc>
          <w:tcPr>
            <w:tcW w:type="dxa" w:w="5386"/>
          </w:tcPr>
          <w:p>
            <w:r>
              <w:rPr>
                <w:color w:val="C00000"/>
              </w:rPr>
            </w:r>
            <w:r>
              <w:rPr>
                <w:b/>
                <w:color w:val="C00000"/>
              </w:rPr>
              <w:t>Решение</w:t>
            </w:r>
          </w:p>
        </w:tc>
        <w:tc>
          <w:tcPr>
            <w:tcW w:type="dxa" w:w="1984"/>
          </w:tcPr>
          <w:p>
            <w:r>
              <w:rPr>
                <w:color w:val="C00000"/>
              </w:rPr>
            </w:r>
            <w:r>
              <w:rPr>
                <w:b/>
                <w:color w:val="C00000"/>
              </w:rPr>
              <w:t>Основание</w:t>
            </w:r>
          </w:p>
        </w:tc>
      </w:tr>
      <w:tr>
        <w:tc>
          <w:tcPr>
            <w:tcW w:type="dxa" w:w="2551"/>
          </w:tcPr>
          <w:p>
            <w:r>
              <w:rPr>
                <w:color w:val="C00000"/>
              </w:rPr>
              <w:t>Расчёт рекомендуемой цены: пересчёт, условная дата, коэффициенты (ред. 17, вопрос 2)</w:t>
            </w:r>
          </w:p>
        </w:tc>
        <w:tc>
          <w:tcPr>
            <w:tcW w:type="dxa" w:w="5386"/>
          </w:tcPr>
          <w:p>
            <w:r>
              <w:rPr>
                <w:color w:val="C00000"/>
              </w:rP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rPr>
                <w:color w:val="C00000"/>
              </w:rPr>
              <w:t>T01.1, D12; заказчик 08.10 (15:26–15:45)</w:t>
            </w:r>
          </w:p>
        </w:tc>
      </w:tr>
      <w:tr>
        <w:tc>
          <w:tcPr>
            <w:tcW w:type="dxa" w:w="2551"/>
          </w:tcPr>
          <w:p>
            <w:r>
              <w:rPr>
                <w:color w:val="C00000"/>
              </w:rPr>
              <w:t>Название точки (ред. 17, вопрос 3)</w:t>
            </w:r>
          </w:p>
        </w:tc>
        <w:tc>
          <w:tcPr>
            <w:tcW w:type="dxa" w:w="5386"/>
          </w:tcPr>
          <w:p>
            <w:r>
              <w:rPr>
                <w:color w:val="C00000"/>
              </w:rP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rPr>
                <w:color w:val="C00000"/>
              </w:rPr>
              <w:t>T01.1, D01, D05</w:t>
            </w:r>
          </w:p>
        </w:tc>
      </w:tr>
      <w:tr>
        <w:tc>
          <w:tcPr>
            <w:tcW w:type="dxa" w:w="2551"/>
          </w:tcPr>
          <w:p>
            <w:r>
              <w:rPr>
                <w:color w:val="C00000"/>
              </w:rP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rPr>
                <w:color w:val="C00000"/>
              </w:rPr>
              <w:t>T01.1, раздел 5; заказчик 08.10 (09:58–10:36)</w:t>
            </w:r>
          </w:p>
        </w:tc>
      </w:tr>
      <w:tr>
        <w:tc>
          <w:tcPr>
            <w:tcW w:type="dxa" w:w="2551"/>
          </w:tcPr>
          <w:p>
            <w:r>
              <w:rPr>
                <w:color w:val="C00000"/>
              </w:rPr>
              <w:t>Права доступа (вопрос 14 списка по T01.2; ред. 17, вопрос 7)</w:t>
            </w:r>
          </w:p>
        </w:tc>
        <w:tc>
          <w:tcPr>
            <w:tcW w:type="dxa" w:w="5386"/>
          </w:tcPr>
          <w:p>
            <w:r>
              <w:rPr>
                <w:color w:val="C00000"/>
              </w:rP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rPr>
                <w:color w:val="C00000"/>
              </w:rPr>
              <w:t>[КОД] role_check_starter (DatabaseRolesMigration, UrlRoleRepositoryImpl, UrlEndpointAllowController); протокол 10.09, п. 10</w:t>
            </w:r>
          </w:p>
        </w:tc>
      </w:tr>
      <w:tr>
        <w:tc>
          <w:tcPr>
            <w:tcW w:type="dxa" w:w="2551"/>
          </w:tcPr>
          <w:p>
            <w:r>
              <w:rPr>
                <w:color w:val="C00000"/>
              </w:rPr>
              <w:t>Методы изменения и деактивации (вопрос 15)</w:t>
            </w:r>
          </w:p>
        </w:tc>
        <w:tc>
          <w:tcPr>
            <w:tcW w:type="dxa" w:w="5386"/>
          </w:tcPr>
          <w:p>
            <w:r>
              <w:rPr>
                <w:color w:val="C00000"/>
              </w:rP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rPr>
                <w:color w:val="C00000"/>
              </w:rPr>
              <w:t>T01.2; [КОД]</w:t>
            </w:r>
          </w:p>
        </w:tc>
      </w:tr>
      <w:tr>
        <w:tc>
          <w:tcPr>
            <w:tcW w:type="dxa" w:w="2551"/>
          </w:tcPr>
          <w:p>
            <w:r>
              <w:rPr>
                <w:color w:val="C00000"/>
              </w:rPr>
              <w:t>Семантика PUT (вопрос 16)</w:t>
            </w:r>
          </w:p>
        </w:tc>
        <w:tc>
          <w:tcPr>
            <w:tcW w:type="dxa" w:w="5386"/>
          </w:tcPr>
          <w:p>
            <w:r>
              <w:rPr>
                <w:color w:val="C00000"/>
              </w:rP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rPr>
                <w:color w:val="C00000"/>
              </w:rPr>
              <w:t>T01.2; [КОД]; T01.1, D07</w:t>
            </w:r>
          </w:p>
        </w:tc>
      </w:tr>
      <w:tr>
        <w:tc>
          <w:tcPr>
            <w:tcW w:type="dxa" w:w="2551"/>
          </w:tcPr>
          <w:p>
            <w:r>
              <w:rPr>
                <w:color w:val="C00000"/>
              </w:rPr>
              <w:t>Состояния записи и повторный DELETE (вопрос 17)</w:t>
            </w:r>
          </w:p>
        </w:tc>
        <w:tc>
          <w:tcPr>
            <w:tcW w:type="dxa" w:w="5386"/>
          </w:tcPr>
          <w:p>
            <w:r>
              <w:rPr>
                <w:color w:val="C00000"/>
              </w:rP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rPr>
                <w:color w:val="C00000"/>
              </w:rPr>
              <w:t>T01.2; T01.1, D14, раздел 6</w:t>
            </w:r>
          </w:p>
        </w:tc>
      </w:tr>
      <w:tr>
        <w:tc>
          <w:tcPr>
            <w:tcW w:type="dxa" w:w="2551"/>
          </w:tcPr>
          <w:p>
            <w:r>
              <w:rPr>
                <w:color w:val="C00000"/>
              </w:rPr>
              <w:t>Предрасчёт и список тарифов для формы (вопрос 18)</w:t>
            </w:r>
          </w:p>
        </w:tc>
        <w:tc>
          <w:tcPr>
            <w:tcW w:type="dxa" w:w="5386"/>
          </w:tcPr>
          <w:p>
            <w:r>
              <w:rPr>
                <w:color w:val="C00000"/>
              </w:rP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rPr>
                <w:color w:val="C00000"/>
              </w:rPr>
              <w:t>T01.1, D07, D12; решение заказчика 08.10 о ручном выборе тарифа</w:t>
            </w:r>
          </w:p>
        </w:tc>
      </w:tr>
      <w:tr>
        <w:tc>
          <w:tcPr>
            <w:tcW w:type="dxa" w:w="2551"/>
          </w:tcPr>
          <w:p>
            <w:r>
              <w:rPr>
                <w:color w:val="C00000"/>
              </w:rPr>
              <w:t>Идемпотентность POST (вопрос 19)</w:t>
            </w:r>
          </w:p>
        </w:tc>
        <w:tc>
          <w:tcPr>
            <w:tcW w:type="dxa" w:w="5386"/>
          </w:tcPr>
          <w:p>
            <w:r>
              <w:rPr>
                <w:color w:val="C00000"/>
              </w:rP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rPr>
                <w:color w:val="C00000"/>
              </w:rPr>
              <w:t>T01.2; [КОД]</w:t>
            </w:r>
          </w:p>
        </w:tc>
      </w:tr>
      <w:tr>
        <w:tc>
          <w:tcPr>
            <w:tcW w:type="dxa" w:w="2551"/>
          </w:tcPr>
          <w:p>
            <w:r>
              <w:rPr>
                <w:color w:val="C00000"/>
              </w:rPr>
              <w:t>Ошибки geo и тарифа при сохранении (вопрос 23)</w:t>
            </w:r>
          </w:p>
        </w:tc>
        <w:tc>
          <w:tcPr>
            <w:tcW w:type="dxa" w:w="5386"/>
          </w:tcPr>
          <w:p>
            <w:r>
              <w:rPr>
                <w:color w:val="C00000"/>
              </w:rP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rPr>
                <w:color w:val="C00000"/>
              </w:rPr>
              <w:t>[КОД] geo-main, ControllerExceptionHandler</w:t>
            </w:r>
          </w:p>
        </w:tc>
      </w:tr>
      <w:tr>
        <w:tc>
          <w:tcPr>
            <w:tcW w:type="dxa" w:w="2551"/>
          </w:tcPr>
          <w:p>
            <w:r>
              <w:rPr>
                <w:color w:val="C00000"/>
              </w:rPr>
              <w:t>Территория тарифа и даты тарифа (вопрос 26)</w:t>
            </w:r>
          </w:p>
        </w:tc>
        <w:tc>
          <w:tcPr>
            <w:tcW w:type="dxa" w:w="5386"/>
          </w:tcPr>
          <w:p>
            <w:r>
              <w:rPr>
                <w:color w:val="C00000"/>
              </w:rP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rPr>
                <w:color w:val="C00000"/>
              </w:rPr>
              <w:t>T01.1, D01, D07, D14; заказчик 08.10; [КОД] DIGeo.store.ts, GeoServiceClientImpl, CalculateServiceImpl, GroupTransferTariffRepository; [СТЕНД]</w:t>
            </w:r>
          </w:p>
        </w:tc>
      </w:tr>
      <w:tr>
        <w:tc>
          <w:tcPr>
            <w:tcW w:type="dxa" w:w="2551"/>
          </w:tcPr>
          <w:p>
            <w:r>
              <w:rPr>
                <w:color w:val="C00000"/>
              </w:rPr>
              <w:t>Перечень тарифов для выбора (вопросы 25, 27, 28, 29 списка по T01.2)</w:t>
            </w:r>
          </w:p>
        </w:tc>
        <w:tc>
          <w:tcPr>
            <w:tcW w:type="dxa" w:w="5386"/>
          </w:tcPr>
          <w:p>
            <w:r>
              <w:rPr>
                <w:color w:val="C00000"/>
              </w:rP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rPr>
                <w:color w:val="C00000"/>
              </w:rPr>
              <w:t>T01.1, D07; заказчик 08.10 (16:59–20:37) и 09.10</w:t>
            </w:r>
          </w:p>
        </w:tc>
      </w:tr>
      <w:tr>
        <w:tc>
          <w:tcPr>
            <w:tcW w:type="dxa" w:w="2551"/>
          </w:tcPr>
          <w:p>
            <w:r>
              <w:rPr>
                <w:color w:val="C00000"/>
              </w:rPr>
              <w:t>Число вызовов тарифов и кэш (вопрос 21)</w:t>
            </w:r>
          </w:p>
        </w:tc>
        <w:tc>
          <w:tcPr>
            <w:tcW w:type="dxa" w:w="5386"/>
          </w:tcPr>
          <w:p>
            <w:r>
              <w:rPr>
                <w:color w:val="C00000"/>
              </w:rPr>
              <w:t>Отложено: без собственного кэша, решение по замеру времени ответа в T01.4 (около 15–20 вызовов на открытие списка выбора).</w:t>
            </w:r>
          </w:p>
        </w:tc>
        <w:tc>
          <w:tcPr>
            <w:tcW w:type="dxa" w:w="1984"/>
          </w:tcPr>
          <w:p>
            <w:r>
              <w:rPr>
                <w:color w:val="C00000"/>
              </w:rPr>
              <w:t>T01.1, D07</w:t>
            </w:r>
          </w:p>
        </w:tc>
      </w:tr>
      <w:tr>
        <w:tc>
          <w:tcPr>
            <w:tcW w:type="dxa" w:w="2551"/>
          </w:tcPr>
          <w:p>
            <w:r>
              <w:rPr>
                <w:color w:val="C00000"/>
              </w:rPr>
              <w:t>Массовый импорт (вопрос 22)</w:t>
            </w:r>
          </w:p>
        </w:tc>
        <w:tc>
          <w:tcPr>
            <w:tcW w:type="dxa" w:w="5386"/>
          </w:tcPr>
          <w:p>
            <w:r>
              <w:rPr>
                <w:color w:val="C00000"/>
              </w:rP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rPr>
                <w:color w:val="C00000"/>
              </w:rPr>
              <w:t>T01.2; [КОД] excel-main, tariff-main</w:t>
            </w:r>
          </w:p>
        </w:tc>
      </w:tr>
      <w:tr>
        <w:tc>
          <w:tcPr>
            <w:tcW w:type="dxa" w:w="2551"/>
          </w:tcPr>
          <w:p>
            <w:r>
              <w:rPr>
                <w:color w:val="C00000"/>
              </w:rP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автомобилей перевозчика с тарифом на дату создания (тариф находится без автомобиля, а цена считается по автомобилям); занятость автомобиля не учитывается и создание маршрута не блокирует; если ни у одного автомобиля нет тарифа, маршрут не сохраняется; нужен ли сам класс и привязка маршрута к конкретным автомобилям - уточняет заказчик.</w:t>
            </w:r>
          </w:p>
        </w:tc>
        <w:tc>
          <w:tcPr>
            <w:tcW w:type="dxa" w:w="1984"/>
          </w:tcPr>
          <w:p>
            <w:r>
              <w:rPr>
                <w:color w:val="C00000"/>
              </w:rP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