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T01.2: решения по умолчанию из вопросов архитектору (редакция 4)</w:t>
      </w:r>
    </w:p>
    <w:p>
      <w:r>
        <w:t>Версия от 09.10.2026, редакция 3 (в редакции 2 добавлены ошибки geo, даты тарифа, цена TRANSFER_CAR_CHOICE, номер тарифа; в редакции 3 коды ошибки проверки активных заявок - 502 и 504; в редакции 4 исправлено правило цены TRANSFER_CAR_CHOICE).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автора определяется по токену и сотруднику;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(было вопрос 12)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проверка в транзакции с блокировкой по организации либо уникальный индекс по хешу ключа сравнения. Критерий дубля подтверждён заказчиком 08.10 (точки маршрута, ночной или дневной тариф, вид транспорта, класс, пересекающийся период); при дубле отказ с номером существующего маршрута (предлагаемый код - 409, тело ответа определяется в T01.2).</w:t>
            </w:r>
          </w:p>
        </w:tc>
        <w:tc>
          <w:tcPr>
            <w:tcW w:type="dxa" w:w="4989"/>
          </w:tcPr>
          <w:p>
            <w: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>Все коды 417 от geo отдаются как 422 с текстом провайдера: geo не различает «адрес не найден» и сбой провайдера, поэтому пользователю - «уточните точки»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tariff_id и recommendedCost обязательны, берутся по автомобилю с минимальной ценой среди автомобилей перевозчика с тарифом на дату создания; занятость автомобиля не учитывается и создание маршрута не блокирует; если ни у одного автомобиля нет тарифа,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>T01.1, поле tariff_number (правки19); встреча 08.10, 18:43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тарифов); 500 - только внутренняя ошибка сервиса маршрутов, 503 - только когда сам сервис не готов (например, данные организации ещё не получены)).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